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50" w:after="50" w:line="360" w:lineRule="auto"/>
        <w:jc w:val="center"/>
        <w:rPr>
          <w:rFonts w:ascii="黑体" w:eastAsia="黑体"/>
          <w:sz w:val="32"/>
          <w:szCs w:val="32"/>
          <w:highlight w:val="none"/>
        </w:rPr>
      </w:pPr>
    </w:p>
    <w:p>
      <w:pPr>
        <w:spacing w:before="50" w:after="50" w:line="360" w:lineRule="auto"/>
        <w:jc w:val="center"/>
        <w:rPr>
          <w:rFonts w:ascii="黑体" w:eastAsia="黑体"/>
          <w:sz w:val="44"/>
          <w:szCs w:val="44"/>
          <w:highlight w:val="none"/>
        </w:rPr>
      </w:pPr>
      <w:r>
        <w:rPr>
          <w:rFonts w:hint="eastAsia" w:ascii="黑体" w:eastAsia="黑体"/>
          <w:sz w:val="44"/>
          <w:szCs w:val="44"/>
          <w:highlight w:val="none"/>
        </w:rPr>
        <w:t>新开行</w:t>
      </w:r>
      <w:r>
        <w:rPr>
          <w:rFonts w:ascii="黑体" w:eastAsia="黑体"/>
          <w:sz w:val="44"/>
          <w:szCs w:val="44"/>
          <w:highlight w:val="none"/>
        </w:rPr>
        <w:t>贷款</w:t>
      </w:r>
      <w:r>
        <w:rPr>
          <w:rFonts w:hint="eastAsia" w:ascii="黑体" w:eastAsia="黑体"/>
          <w:sz w:val="44"/>
          <w:szCs w:val="44"/>
          <w:highlight w:val="none"/>
        </w:rPr>
        <w:t>湖北黄石</w:t>
      </w:r>
      <w:r>
        <w:rPr>
          <w:rFonts w:ascii="黑体" w:eastAsia="黑体"/>
          <w:sz w:val="44"/>
          <w:szCs w:val="44"/>
          <w:highlight w:val="none"/>
        </w:rPr>
        <w:t>现代有轨电车</w:t>
      </w:r>
    </w:p>
    <w:p>
      <w:pPr>
        <w:spacing w:before="50" w:after="50" w:line="360" w:lineRule="auto"/>
        <w:jc w:val="center"/>
        <w:rPr>
          <w:rFonts w:ascii="黑体" w:eastAsia="黑体"/>
          <w:sz w:val="44"/>
          <w:szCs w:val="44"/>
          <w:highlight w:val="none"/>
        </w:rPr>
      </w:pPr>
      <w:r>
        <w:rPr>
          <w:rFonts w:hint="eastAsia" w:ascii="黑体" w:eastAsia="黑体"/>
          <w:sz w:val="44"/>
          <w:szCs w:val="44"/>
          <w:highlight w:val="none"/>
        </w:rPr>
        <w:t>一期项目正线轨道工程</w:t>
      </w:r>
      <w:r>
        <w:rPr>
          <w:rFonts w:hint="eastAsia" w:ascii="黑体" w:eastAsia="黑体"/>
          <w:sz w:val="44"/>
          <w:szCs w:val="44"/>
          <w:highlight w:val="none"/>
          <w:lang w:val="en-US" w:eastAsia="zh-CN"/>
        </w:rPr>
        <w:t>SI-01</w:t>
      </w:r>
      <w:r>
        <w:rPr>
          <w:rFonts w:hint="eastAsia" w:ascii="黑体" w:eastAsia="黑体"/>
          <w:sz w:val="44"/>
          <w:szCs w:val="44"/>
          <w:highlight w:val="none"/>
        </w:rPr>
        <w:t xml:space="preserve"> </w:t>
      </w:r>
    </w:p>
    <w:p>
      <w:pPr>
        <w:jc w:val="center"/>
        <w:rPr>
          <w:rFonts w:ascii="黑体" w:eastAsia="黑体"/>
          <w:sz w:val="72"/>
          <w:szCs w:val="72"/>
          <w:highlight w:val="none"/>
        </w:rPr>
      </w:pPr>
    </w:p>
    <w:p>
      <w:pPr>
        <w:jc w:val="center"/>
        <w:rPr>
          <w:rFonts w:ascii="黑体" w:eastAsia="黑体"/>
          <w:sz w:val="72"/>
          <w:szCs w:val="72"/>
          <w:highlight w:val="none"/>
        </w:rPr>
      </w:pPr>
    </w:p>
    <w:p>
      <w:pPr>
        <w:jc w:val="center"/>
        <w:rPr>
          <w:rFonts w:ascii="黑体" w:eastAsia="黑体"/>
          <w:sz w:val="72"/>
          <w:szCs w:val="72"/>
          <w:highlight w:val="none"/>
        </w:rPr>
      </w:pPr>
      <w:r>
        <w:rPr>
          <w:rFonts w:hint="eastAsia" w:ascii="黑体" w:eastAsia="黑体"/>
          <w:sz w:val="72"/>
          <w:szCs w:val="72"/>
          <w:highlight w:val="none"/>
        </w:rPr>
        <w:t>招 标 文 件</w:t>
      </w: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437"/>
        <w:rPr>
          <w:rFonts w:ascii="黑体" w:eastAsia="黑体"/>
          <w:sz w:val="32"/>
          <w:szCs w:val="32"/>
          <w:highlight w:val="none"/>
        </w:rPr>
      </w:pPr>
    </w:p>
    <w:p>
      <w:pPr>
        <w:spacing w:line="360" w:lineRule="auto"/>
        <w:ind w:firstLine="1072" w:firstLineChars="335"/>
        <w:rPr>
          <w:sz w:val="32"/>
          <w:szCs w:val="32"/>
          <w:highlight w:val="none"/>
        </w:rPr>
      </w:pPr>
      <w:r>
        <w:rPr>
          <w:rFonts w:hint="eastAsia" w:ascii="黑体" w:eastAsia="黑体"/>
          <w:sz w:val="32"/>
          <w:szCs w:val="32"/>
          <w:highlight w:val="none"/>
        </w:rPr>
        <w:t>招 标 人：黄石市铁路建设投资有限公司</w:t>
      </w:r>
    </w:p>
    <w:p>
      <w:pPr>
        <w:spacing w:line="540" w:lineRule="exact"/>
        <w:ind w:firstLine="1072" w:firstLineChars="335"/>
        <w:rPr>
          <w:rFonts w:ascii="黑体" w:eastAsia="黑体"/>
          <w:sz w:val="32"/>
          <w:szCs w:val="32"/>
          <w:highlight w:val="none"/>
        </w:rPr>
      </w:pPr>
      <w:r>
        <w:rPr>
          <w:rFonts w:hint="eastAsia" w:ascii="黑体" w:eastAsia="黑体"/>
          <w:sz w:val="32"/>
          <w:szCs w:val="32"/>
          <w:highlight w:val="none"/>
        </w:rPr>
        <w:t>日    期： 2021年</w:t>
      </w:r>
      <w:r>
        <w:rPr>
          <w:rFonts w:hint="eastAsia" w:ascii="黑体" w:eastAsia="黑体"/>
          <w:sz w:val="32"/>
          <w:szCs w:val="32"/>
          <w:highlight w:val="none"/>
          <w:lang w:val="en-US" w:eastAsia="zh-CN"/>
        </w:rPr>
        <w:t>2</w:t>
      </w:r>
      <w:r>
        <w:rPr>
          <w:rFonts w:hint="eastAsia" w:ascii="黑体" w:eastAsia="黑体"/>
          <w:sz w:val="32"/>
          <w:szCs w:val="32"/>
          <w:highlight w:val="none"/>
        </w:rPr>
        <w:t>月</w:t>
      </w:r>
    </w:p>
    <w:p>
      <w:pPr>
        <w:spacing w:after="468" w:afterLines="150" w:line="540" w:lineRule="exact"/>
        <w:ind w:firstLine="437"/>
        <w:jc w:val="center"/>
        <w:rPr>
          <w:rFonts w:ascii="黑体" w:eastAsia="黑体"/>
          <w:sz w:val="48"/>
          <w:szCs w:val="48"/>
          <w:highlight w:val="none"/>
          <w:u w:val="single"/>
        </w:rPr>
      </w:pPr>
      <w:r>
        <w:rPr>
          <w:b/>
          <w:sz w:val="52"/>
          <w:szCs w:val="52"/>
          <w:highlight w:val="none"/>
        </w:rPr>
        <w:br w:type="page"/>
      </w:r>
    </w:p>
    <w:p>
      <w:pPr>
        <w:pStyle w:val="320"/>
        <w:ind w:firstLine="3373" w:firstLineChars="1200"/>
        <w:rPr>
          <w:highlight w:val="none"/>
        </w:rPr>
      </w:pPr>
      <w:r>
        <w:rPr>
          <w:highlight w:val="none"/>
          <w:lang w:val="zh-CN"/>
        </w:rPr>
        <w:t>目</w:t>
      </w:r>
      <w:r>
        <w:rPr>
          <w:rFonts w:hint="eastAsia"/>
          <w:highlight w:val="none"/>
          <w:lang w:val="zh-CN"/>
        </w:rPr>
        <w:t xml:space="preserve">   </w:t>
      </w:r>
      <w:r>
        <w:rPr>
          <w:highlight w:val="none"/>
          <w:lang w:val="zh-CN"/>
        </w:rPr>
        <w:t>录</w:t>
      </w:r>
    </w:p>
    <w:p>
      <w:pPr>
        <w:pStyle w:val="35"/>
        <w:tabs>
          <w:tab w:val="right" w:leader="dot" w:pos="8306"/>
          <w:tab w:val="clear" w:pos="8302"/>
        </w:tabs>
        <w:rPr>
          <w:highlight w:val="none"/>
        </w:rPr>
      </w:pPr>
      <w:r>
        <w:rPr>
          <w:highlight w:val="none"/>
        </w:rPr>
        <w:fldChar w:fldCharType="begin"/>
      </w:r>
      <w:r>
        <w:rPr>
          <w:highlight w:val="none"/>
        </w:rPr>
        <w:instrText xml:space="preserve"> TOC \o "1-3" \h \z \u </w:instrText>
      </w:r>
      <w:r>
        <w:rPr>
          <w:highlight w:val="none"/>
        </w:rPr>
        <w:fldChar w:fldCharType="separate"/>
      </w:r>
      <w:r>
        <w:rPr>
          <w:highlight w:val="none"/>
        </w:rPr>
        <w:fldChar w:fldCharType="begin"/>
      </w:r>
      <w:r>
        <w:rPr>
          <w:highlight w:val="none"/>
        </w:rPr>
        <w:instrText xml:space="preserve"> HYPERLINK \l _Toc24503 </w:instrText>
      </w:r>
      <w:r>
        <w:rPr>
          <w:highlight w:val="none"/>
        </w:rPr>
        <w:fldChar w:fldCharType="separate"/>
      </w:r>
      <w:r>
        <w:rPr>
          <w:rFonts w:hint="eastAsia" w:cs="Times New Roman"/>
          <w:kern w:val="0"/>
          <w:szCs w:val="30"/>
          <w:highlight w:val="none"/>
        </w:rPr>
        <w:t>第二章  投标人须知</w:t>
      </w:r>
      <w:r>
        <w:rPr>
          <w:highlight w:val="none"/>
        </w:rPr>
        <w:tab/>
      </w:r>
      <w:r>
        <w:rPr>
          <w:highlight w:val="none"/>
        </w:rPr>
        <w:fldChar w:fldCharType="begin"/>
      </w:r>
      <w:r>
        <w:rPr>
          <w:highlight w:val="none"/>
        </w:rPr>
        <w:instrText xml:space="preserve"> PAGEREF _Toc24503 </w:instrText>
      </w:r>
      <w:r>
        <w:rPr>
          <w:highlight w:val="none"/>
        </w:rPr>
        <w:fldChar w:fldCharType="separate"/>
      </w:r>
      <w:r>
        <w:rPr>
          <w:highlight w:val="none"/>
        </w:rPr>
        <w:t>18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_Toc5572 </w:instrText>
      </w:r>
      <w:r>
        <w:rPr>
          <w:highlight w:val="none"/>
        </w:rPr>
        <w:fldChar w:fldCharType="separate"/>
      </w:r>
      <w:r>
        <w:rPr>
          <w:rFonts w:hint="eastAsia" w:asciiTheme="minorEastAsia" w:hAnsiTheme="minorEastAsia" w:eastAsiaTheme="minorEastAsia"/>
          <w:szCs w:val="21"/>
          <w:highlight w:val="none"/>
        </w:rPr>
        <w:t>1 ．总则</w:t>
      </w:r>
      <w:r>
        <w:rPr>
          <w:highlight w:val="none"/>
        </w:rPr>
        <w:tab/>
      </w:r>
      <w:r>
        <w:rPr>
          <w:highlight w:val="none"/>
        </w:rPr>
        <w:fldChar w:fldCharType="begin"/>
      </w:r>
      <w:r>
        <w:rPr>
          <w:highlight w:val="none"/>
        </w:rPr>
        <w:instrText xml:space="preserve"> PAGEREF _Toc5572 </w:instrText>
      </w:r>
      <w:r>
        <w:rPr>
          <w:highlight w:val="none"/>
        </w:rPr>
        <w:fldChar w:fldCharType="separate"/>
      </w:r>
      <w:r>
        <w:rPr>
          <w:highlight w:val="none"/>
        </w:rPr>
        <w:t>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_Toc10839 </w:instrText>
      </w:r>
      <w:r>
        <w:rPr>
          <w:highlight w:val="none"/>
        </w:rPr>
        <w:fldChar w:fldCharType="separate"/>
      </w:r>
      <w:r>
        <w:rPr>
          <w:rFonts w:hint="eastAsia" w:asciiTheme="minorEastAsia" w:hAnsiTheme="minorEastAsia" w:eastAsiaTheme="minorEastAsia"/>
          <w:szCs w:val="21"/>
          <w:highlight w:val="none"/>
        </w:rPr>
        <w:t>2．招标文件</w:t>
      </w:r>
      <w:r>
        <w:rPr>
          <w:highlight w:val="none"/>
        </w:rPr>
        <w:tab/>
      </w:r>
      <w:r>
        <w:rPr>
          <w:highlight w:val="none"/>
        </w:rPr>
        <w:fldChar w:fldCharType="begin"/>
      </w:r>
      <w:r>
        <w:rPr>
          <w:highlight w:val="none"/>
        </w:rPr>
        <w:instrText xml:space="preserve"> PAGEREF _Toc10839 </w:instrText>
      </w:r>
      <w:r>
        <w:rPr>
          <w:highlight w:val="none"/>
        </w:rPr>
        <w:fldChar w:fldCharType="separate"/>
      </w:r>
      <w:r>
        <w:rPr>
          <w:highlight w:val="none"/>
        </w:rPr>
        <w:t>29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_Toc17758 </w:instrText>
      </w:r>
      <w:r>
        <w:rPr>
          <w:highlight w:val="none"/>
        </w:rPr>
        <w:fldChar w:fldCharType="separate"/>
      </w:r>
      <w:r>
        <w:rPr>
          <w:rFonts w:hint="eastAsia" w:asciiTheme="minorEastAsia" w:hAnsiTheme="minorEastAsia" w:eastAsiaTheme="minorEastAsia"/>
          <w:szCs w:val="21"/>
          <w:highlight w:val="none"/>
        </w:rPr>
        <w:t>3．投标文件</w:t>
      </w:r>
      <w:r>
        <w:rPr>
          <w:highlight w:val="none"/>
        </w:rPr>
        <w:tab/>
      </w:r>
      <w:r>
        <w:rPr>
          <w:highlight w:val="none"/>
        </w:rPr>
        <w:fldChar w:fldCharType="begin"/>
      </w:r>
      <w:r>
        <w:rPr>
          <w:highlight w:val="none"/>
        </w:rPr>
        <w:instrText xml:space="preserve"> PAGEREF _Toc17758 </w:instrText>
      </w:r>
      <w:r>
        <w:rPr>
          <w:highlight w:val="none"/>
        </w:rPr>
        <w:fldChar w:fldCharType="separate"/>
      </w:r>
      <w:r>
        <w:rPr>
          <w:highlight w:val="none"/>
        </w:rPr>
        <w:t>30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_Toc13112 </w:instrText>
      </w:r>
      <w:r>
        <w:rPr>
          <w:highlight w:val="none"/>
        </w:rPr>
        <w:fldChar w:fldCharType="separate"/>
      </w:r>
      <w:r>
        <w:rPr>
          <w:rFonts w:hint="eastAsia" w:asciiTheme="minorEastAsia" w:hAnsiTheme="minorEastAsia" w:eastAsiaTheme="minorEastAsia"/>
          <w:szCs w:val="21"/>
          <w:highlight w:val="none"/>
        </w:rPr>
        <w:t>4．投标</w:t>
      </w:r>
      <w:r>
        <w:rPr>
          <w:highlight w:val="none"/>
        </w:rPr>
        <w:tab/>
      </w:r>
      <w:r>
        <w:rPr>
          <w:highlight w:val="none"/>
        </w:rPr>
        <w:fldChar w:fldCharType="begin"/>
      </w:r>
      <w:r>
        <w:rPr>
          <w:highlight w:val="none"/>
        </w:rPr>
        <w:instrText xml:space="preserve"> PAGEREF _Toc13112 </w:instrText>
      </w:r>
      <w:r>
        <w:rPr>
          <w:highlight w:val="none"/>
        </w:rPr>
        <w:fldChar w:fldCharType="separate"/>
      </w:r>
      <w:r>
        <w:rPr>
          <w:highlight w:val="none"/>
        </w:rPr>
        <w:t>33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_Toc4431 </w:instrText>
      </w:r>
      <w:r>
        <w:rPr>
          <w:highlight w:val="none"/>
        </w:rPr>
        <w:fldChar w:fldCharType="separate"/>
      </w:r>
      <w:r>
        <w:rPr>
          <w:rFonts w:hint="eastAsia" w:asciiTheme="minorEastAsia" w:hAnsiTheme="minorEastAsia" w:eastAsiaTheme="minorEastAsia"/>
          <w:szCs w:val="21"/>
          <w:highlight w:val="none"/>
        </w:rPr>
        <w:t>5．开标</w:t>
      </w:r>
      <w:r>
        <w:rPr>
          <w:highlight w:val="none"/>
        </w:rPr>
        <w:tab/>
      </w:r>
      <w:r>
        <w:rPr>
          <w:highlight w:val="none"/>
        </w:rPr>
        <w:fldChar w:fldCharType="begin"/>
      </w:r>
      <w:r>
        <w:rPr>
          <w:highlight w:val="none"/>
        </w:rPr>
        <w:instrText xml:space="preserve"> PAGEREF _Toc4431 </w:instrText>
      </w:r>
      <w:r>
        <w:rPr>
          <w:highlight w:val="none"/>
        </w:rPr>
        <w:fldChar w:fldCharType="separate"/>
      </w:r>
      <w:r>
        <w:rPr>
          <w:highlight w:val="none"/>
        </w:rPr>
        <w:t>33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_Toc4811 </w:instrText>
      </w:r>
      <w:r>
        <w:rPr>
          <w:highlight w:val="none"/>
        </w:rPr>
        <w:fldChar w:fldCharType="separate"/>
      </w:r>
      <w:r>
        <w:rPr>
          <w:rFonts w:hint="eastAsia" w:asciiTheme="minorEastAsia" w:hAnsiTheme="minorEastAsia" w:eastAsiaTheme="minorEastAsia"/>
          <w:szCs w:val="21"/>
          <w:highlight w:val="none"/>
        </w:rPr>
        <w:t>6．评标</w:t>
      </w:r>
      <w:r>
        <w:rPr>
          <w:highlight w:val="none"/>
        </w:rPr>
        <w:tab/>
      </w:r>
      <w:r>
        <w:rPr>
          <w:highlight w:val="none"/>
        </w:rPr>
        <w:fldChar w:fldCharType="begin"/>
      </w:r>
      <w:r>
        <w:rPr>
          <w:highlight w:val="none"/>
        </w:rPr>
        <w:instrText xml:space="preserve"> PAGEREF _Toc4811 </w:instrText>
      </w:r>
      <w:r>
        <w:rPr>
          <w:highlight w:val="none"/>
        </w:rPr>
        <w:fldChar w:fldCharType="separate"/>
      </w:r>
      <w:r>
        <w:rPr>
          <w:highlight w:val="none"/>
        </w:rPr>
        <w:t>34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_Toc17155 </w:instrText>
      </w:r>
      <w:r>
        <w:rPr>
          <w:highlight w:val="none"/>
        </w:rPr>
        <w:fldChar w:fldCharType="separate"/>
      </w:r>
      <w:r>
        <w:rPr>
          <w:rFonts w:hint="eastAsia" w:asciiTheme="minorEastAsia" w:hAnsiTheme="minorEastAsia" w:eastAsiaTheme="minorEastAsia"/>
          <w:szCs w:val="21"/>
          <w:highlight w:val="none"/>
        </w:rPr>
        <w:t>7．合同授予</w:t>
      </w:r>
      <w:r>
        <w:rPr>
          <w:highlight w:val="none"/>
        </w:rPr>
        <w:tab/>
      </w:r>
      <w:r>
        <w:rPr>
          <w:highlight w:val="none"/>
        </w:rPr>
        <w:fldChar w:fldCharType="begin"/>
      </w:r>
      <w:r>
        <w:rPr>
          <w:highlight w:val="none"/>
        </w:rPr>
        <w:instrText xml:space="preserve"> PAGEREF _Toc17155 </w:instrText>
      </w:r>
      <w:r>
        <w:rPr>
          <w:highlight w:val="none"/>
        </w:rPr>
        <w:fldChar w:fldCharType="separate"/>
      </w:r>
      <w:r>
        <w:rPr>
          <w:highlight w:val="none"/>
        </w:rPr>
        <w:t>35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_Toc15492 </w:instrText>
      </w:r>
      <w:r>
        <w:rPr>
          <w:highlight w:val="none"/>
        </w:rPr>
        <w:fldChar w:fldCharType="separate"/>
      </w:r>
      <w:r>
        <w:rPr>
          <w:rFonts w:hint="eastAsia" w:asciiTheme="minorEastAsia" w:hAnsiTheme="minorEastAsia" w:eastAsiaTheme="minorEastAsia"/>
          <w:szCs w:val="21"/>
          <w:highlight w:val="none"/>
        </w:rPr>
        <w:t>8．重新招标和不再招标</w:t>
      </w:r>
      <w:r>
        <w:rPr>
          <w:highlight w:val="none"/>
        </w:rPr>
        <w:tab/>
      </w:r>
      <w:r>
        <w:rPr>
          <w:highlight w:val="none"/>
        </w:rPr>
        <w:fldChar w:fldCharType="begin"/>
      </w:r>
      <w:r>
        <w:rPr>
          <w:highlight w:val="none"/>
        </w:rPr>
        <w:instrText xml:space="preserve"> PAGEREF _Toc15492 </w:instrText>
      </w:r>
      <w:r>
        <w:rPr>
          <w:highlight w:val="none"/>
        </w:rPr>
        <w:fldChar w:fldCharType="separate"/>
      </w:r>
      <w:r>
        <w:rPr>
          <w:highlight w:val="none"/>
        </w:rPr>
        <w:t>36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_Toc30962 </w:instrText>
      </w:r>
      <w:r>
        <w:rPr>
          <w:highlight w:val="none"/>
        </w:rPr>
        <w:fldChar w:fldCharType="separate"/>
      </w:r>
      <w:r>
        <w:rPr>
          <w:rFonts w:hint="eastAsia" w:asciiTheme="minorEastAsia" w:hAnsiTheme="minorEastAsia" w:eastAsiaTheme="minorEastAsia"/>
          <w:szCs w:val="21"/>
          <w:highlight w:val="none"/>
        </w:rPr>
        <w:t>9．纪律和监督</w:t>
      </w:r>
      <w:r>
        <w:rPr>
          <w:highlight w:val="none"/>
        </w:rPr>
        <w:tab/>
      </w:r>
      <w:r>
        <w:rPr>
          <w:highlight w:val="none"/>
        </w:rPr>
        <w:fldChar w:fldCharType="begin"/>
      </w:r>
      <w:r>
        <w:rPr>
          <w:highlight w:val="none"/>
        </w:rPr>
        <w:instrText xml:space="preserve"> PAGEREF _Toc30962 </w:instrText>
      </w:r>
      <w:r>
        <w:rPr>
          <w:highlight w:val="none"/>
        </w:rPr>
        <w:fldChar w:fldCharType="separate"/>
      </w:r>
      <w:r>
        <w:rPr>
          <w:highlight w:val="none"/>
        </w:rPr>
        <w:t>36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_Toc12940 </w:instrText>
      </w:r>
      <w:r>
        <w:rPr>
          <w:highlight w:val="none"/>
        </w:rPr>
        <w:fldChar w:fldCharType="separate"/>
      </w:r>
      <w:r>
        <w:rPr>
          <w:rFonts w:hint="eastAsia" w:asciiTheme="minorEastAsia" w:hAnsiTheme="minorEastAsia" w:eastAsiaTheme="minorEastAsia"/>
          <w:szCs w:val="21"/>
          <w:highlight w:val="none"/>
        </w:rPr>
        <w:t>10、需要补充的其他内容</w:t>
      </w:r>
      <w:r>
        <w:rPr>
          <w:highlight w:val="none"/>
        </w:rPr>
        <w:tab/>
      </w:r>
      <w:r>
        <w:rPr>
          <w:highlight w:val="none"/>
        </w:rPr>
        <w:fldChar w:fldCharType="begin"/>
      </w:r>
      <w:r>
        <w:rPr>
          <w:highlight w:val="none"/>
        </w:rPr>
        <w:instrText xml:space="preserve"> PAGEREF _Toc12940 </w:instrText>
      </w:r>
      <w:r>
        <w:rPr>
          <w:highlight w:val="none"/>
        </w:rPr>
        <w:fldChar w:fldCharType="separate"/>
      </w:r>
      <w:r>
        <w:rPr>
          <w:highlight w:val="none"/>
        </w:rPr>
        <w:t>37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_Toc15362 </w:instrText>
      </w:r>
      <w:r>
        <w:rPr>
          <w:highlight w:val="none"/>
        </w:rPr>
        <w:fldChar w:fldCharType="separate"/>
      </w:r>
      <w:r>
        <w:rPr>
          <w:rFonts w:hint="eastAsia" w:ascii="黑体" w:hAnsi="黑体" w:eastAsia="黑体" w:cs="Times New Roman"/>
          <w:kern w:val="0"/>
          <w:szCs w:val="30"/>
          <w:highlight w:val="none"/>
        </w:rPr>
        <w:t>第三章  评标办法（综合评估法）</w:t>
      </w:r>
      <w:r>
        <w:rPr>
          <w:highlight w:val="none"/>
        </w:rPr>
        <w:tab/>
      </w:r>
      <w:r>
        <w:rPr>
          <w:highlight w:val="none"/>
        </w:rPr>
        <w:fldChar w:fldCharType="begin"/>
      </w:r>
      <w:r>
        <w:rPr>
          <w:highlight w:val="none"/>
        </w:rPr>
        <w:instrText xml:space="preserve"> PAGEREF _Toc15362 </w:instrText>
      </w:r>
      <w:r>
        <w:rPr>
          <w:highlight w:val="none"/>
        </w:rPr>
        <w:fldChar w:fldCharType="separate"/>
      </w:r>
      <w:r>
        <w:rPr>
          <w:highlight w:val="none"/>
        </w:rPr>
        <w:t>45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_Toc13314 </w:instrText>
      </w:r>
      <w:r>
        <w:rPr>
          <w:highlight w:val="none"/>
        </w:rPr>
        <w:fldChar w:fldCharType="separate"/>
      </w:r>
      <w:r>
        <w:rPr>
          <w:rFonts w:hint="eastAsia"/>
          <w:highlight w:val="none"/>
        </w:rPr>
        <w:t>评标办法前附表</w:t>
      </w:r>
      <w:r>
        <w:rPr>
          <w:highlight w:val="none"/>
        </w:rPr>
        <w:tab/>
      </w:r>
      <w:r>
        <w:rPr>
          <w:highlight w:val="none"/>
        </w:rPr>
        <w:fldChar w:fldCharType="begin"/>
      </w:r>
      <w:r>
        <w:rPr>
          <w:highlight w:val="none"/>
        </w:rPr>
        <w:instrText xml:space="preserve"> PAGEREF _Toc13314 </w:instrText>
      </w:r>
      <w:r>
        <w:rPr>
          <w:highlight w:val="none"/>
        </w:rPr>
        <w:fldChar w:fldCharType="separate"/>
      </w:r>
      <w:r>
        <w:rPr>
          <w:highlight w:val="none"/>
        </w:rPr>
        <w:t>45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_Toc10567 </w:instrText>
      </w:r>
      <w:r>
        <w:rPr>
          <w:highlight w:val="none"/>
        </w:rPr>
        <w:fldChar w:fldCharType="separate"/>
      </w:r>
      <w:r>
        <w:rPr>
          <w:rFonts w:hint="eastAsia"/>
          <w:highlight w:val="none"/>
        </w:rPr>
        <w:t>评标办法（综合评估法）正文部分</w:t>
      </w:r>
      <w:r>
        <w:rPr>
          <w:highlight w:val="none"/>
        </w:rPr>
        <w:tab/>
      </w:r>
      <w:r>
        <w:rPr>
          <w:highlight w:val="none"/>
        </w:rPr>
        <w:fldChar w:fldCharType="begin"/>
      </w:r>
      <w:r>
        <w:rPr>
          <w:highlight w:val="none"/>
        </w:rPr>
        <w:instrText xml:space="preserve"> PAGEREF _Toc10567 </w:instrText>
      </w:r>
      <w:r>
        <w:rPr>
          <w:highlight w:val="none"/>
        </w:rPr>
        <w:fldChar w:fldCharType="separate"/>
      </w:r>
      <w:r>
        <w:rPr>
          <w:highlight w:val="none"/>
        </w:rPr>
        <w:t>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_Toc8795 </w:instrText>
      </w:r>
      <w:r>
        <w:rPr>
          <w:highlight w:val="none"/>
        </w:rPr>
        <w:fldChar w:fldCharType="separate"/>
      </w:r>
      <w:r>
        <w:rPr>
          <w:rFonts w:hint="eastAsia"/>
          <w:highlight w:val="none"/>
        </w:rPr>
        <w:t>1. 评标方法</w:t>
      </w:r>
      <w:r>
        <w:rPr>
          <w:highlight w:val="none"/>
        </w:rPr>
        <w:tab/>
      </w:r>
      <w:r>
        <w:rPr>
          <w:highlight w:val="none"/>
        </w:rPr>
        <w:fldChar w:fldCharType="begin"/>
      </w:r>
      <w:r>
        <w:rPr>
          <w:highlight w:val="none"/>
        </w:rPr>
        <w:instrText xml:space="preserve"> PAGEREF _Toc8795 </w:instrText>
      </w:r>
      <w:r>
        <w:rPr>
          <w:highlight w:val="none"/>
        </w:rPr>
        <w:fldChar w:fldCharType="separate"/>
      </w:r>
      <w:r>
        <w:rPr>
          <w:highlight w:val="none"/>
        </w:rPr>
        <w:t>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_Toc6759 </w:instrText>
      </w:r>
      <w:r>
        <w:rPr>
          <w:highlight w:val="none"/>
        </w:rPr>
        <w:fldChar w:fldCharType="separate"/>
      </w:r>
      <w:r>
        <w:rPr>
          <w:rFonts w:hint="eastAsia"/>
          <w:highlight w:val="none"/>
        </w:rPr>
        <w:t>2. 评审标准</w:t>
      </w:r>
      <w:r>
        <w:rPr>
          <w:highlight w:val="none"/>
        </w:rPr>
        <w:tab/>
      </w:r>
      <w:r>
        <w:rPr>
          <w:highlight w:val="none"/>
        </w:rPr>
        <w:fldChar w:fldCharType="begin"/>
      </w:r>
      <w:r>
        <w:rPr>
          <w:highlight w:val="none"/>
        </w:rPr>
        <w:instrText xml:space="preserve"> PAGEREF _Toc6759 </w:instrText>
      </w:r>
      <w:r>
        <w:rPr>
          <w:highlight w:val="none"/>
        </w:rPr>
        <w:fldChar w:fldCharType="separate"/>
      </w:r>
      <w:r>
        <w:rPr>
          <w:highlight w:val="none"/>
        </w:rPr>
        <w:t>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_Toc32410 </w:instrText>
      </w:r>
      <w:r>
        <w:rPr>
          <w:highlight w:val="none"/>
        </w:rPr>
        <w:fldChar w:fldCharType="separate"/>
      </w:r>
      <w:r>
        <w:rPr>
          <w:rFonts w:hint="eastAsia"/>
          <w:highlight w:val="none"/>
        </w:rPr>
        <w:t>2.1 初步评审标准</w:t>
      </w:r>
      <w:r>
        <w:rPr>
          <w:highlight w:val="none"/>
        </w:rPr>
        <w:tab/>
      </w:r>
      <w:r>
        <w:rPr>
          <w:highlight w:val="none"/>
        </w:rPr>
        <w:fldChar w:fldCharType="begin"/>
      </w:r>
      <w:r>
        <w:rPr>
          <w:highlight w:val="none"/>
        </w:rPr>
        <w:instrText xml:space="preserve"> PAGEREF _Toc32410 </w:instrText>
      </w:r>
      <w:r>
        <w:rPr>
          <w:highlight w:val="none"/>
        </w:rPr>
        <w:fldChar w:fldCharType="separate"/>
      </w:r>
      <w:r>
        <w:rPr>
          <w:highlight w:val="none"/>
        </w:rPr>
        <w:t>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_Toc19048 </w:instrText>
      </w:r>
      <w:r>
        <w:rPr>
          <w:highlight w:val="none"/>
        </w:rPr>
        <w:fldChar w:fldCharType="separate"/>
      </w:r>
      <w:r>
        <w:rPr>
          <w:rFonts w:hint="eastAsia"/>
          <w:highlight w:val="none"/>
        </w:rPr>
        <w:t>2.2 分值构成与评分标准</w:t>
      </w:r>
      <w:r>
        <w:rPr>
          <w:highlight w:val="none"/>
        </w:rPr>
        <w:tab/>
      </w:r>
      <w:r>
        <w:rPr>
          <w:highlight w:val="none"/>
        </w:rPr>
        <w:fldChar w:fldCharType="begin"/>
      </w:r>
      <w:r>
        <w:rPr>
          <w:highlight w:val="none"/>
        </w:rPr>
        <w:instrText xml:space="preserve"> PAGEREF _Toc19048 </w:instrText>
      </w:r>
      <w:r>
        <w:rPr>
          <w:highlight w:val="none"/>
        </w:rPr>
        <w:fldChar w:fldCharType="separate"/>
      </w:r>
      <w:r>
        <w:rPr>
          <w:highlight w:val="none"/>
        </w:rPr>
        <w:t>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_Toc9595 </w:instrText>
      </w:r>
      <w:r>
        <w:rPr>
          <w:highlight w:val="none"/>
        </w:rPr>
        <w:fldChar w:fldCharType="separate"/>
      </w:r>
      <w:r>
        <w:rPr>
          <w:rFonts w:hint="eastAsia"/>
          <w:highlight w:val="none"/>
        </w:rPr>
        <w:t>3. 评标程序</w:t>
      </w:r>
      <w:r>
        <w:rPr>
          <w:highlight w:val="none"/>
        </w:rPr>
        <w:tab/>
      </w:r>
      <w:r>
        <w:rPr>
          <w:highlight w:val="none"/>
        </w:rPr>
        <w:fldChar w:fldCharType="begin"/>
      </w:r>
      <w:r>
        <w:rPr>
          <w:highlight w:val="none"/>
        </w:rPr>
        <w:instrText xml:space="preserve"> PAGEREF _Toc9595 </w:instrText>
      </w:r>
      <w:r>
        <w:rPr>
          <w:highlight w:val="none"/>
        </w:rPr>
        <w:fldChar w:fldCharType="separate"/>
      </w:r>
      <w:r>
        <w:rPr>
          <w:highlight w:val="none"/>
        </w:rPr>
        <w:t>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_Toc8634 </w:instrText>
      </w:r>
      <w:r>
        <w:rPr>
          <w:highlight w:val="none"/>
        </w:rPr>
        <w:fldChar w:fldCharType="separate"/>
      </w:r>
      <w:r>
        <w:rPr>
          <w:rFonts w:hint="eastAsia"/>
          <w:highlight w:val="none"/>
        </w:rPr>
        <w:t>3.1 初步评审</w:t>
      </w:r>
      <w:r>
        <w:rPr>
          <w:highlight w:val="none"/>
        </w:rPr>
        <w:tab/>
      </w:r>
      <w:r>
        <w:rPr>
          <w:highlight w:val="none"/>
        </w:rPr>
        <w:fldChar w:fldCharType="begin"/>
      </w:r>
      <w:r>
        <w:rPr>
          <w:highlight w:val="none"/>
        </w:rPr>
        <w:instrText xml:space="preserve"> PAGEREF _Toc8634 </w:instrText>
      </w:r>
      <w:r>
        <w:rPr>
          <w:highlight w:val="none"/>
        </w:rPr>
        <w:fldChar w:fldCharType="separate"/>
      </w:r>
      <w:r>
        <w:rPr>
          <w:highlight w:val="none"/>
        </w:rPr>
        <w:t>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_Toc27080 </w:instrText>
      </w:r>
      <w:r>
        <w:rPr>
          <w:highlight w:val="none"/>
        </w:rPr>
        <w:fldChar w:fldCharType="separate"/>
      </w:r>
      <w:r>
        <w:rPr>
          <w:rFonts w:hint="eastAsia"/>
          <w:highlight w:val="none"/>
        </w:rPr>
        <w:t>3.2 详细评审</w:t>
      </w:r>
      <w:r>
        <w:rPr>
          <w:highlight w:val="none"/>
        </w:rPr>
        <w:tab/>
      </w:r>
      <w:r>
        <w:rPr>
          <w:highlight w:val="none"/>
        </w:rPr>
        <w:fldChar w:fldCharType="begin"/>
      </w:r>
      <w:r>
        <w:rPr>
          <w:highlight w:val="none"/>
        </w:rPr>
        <w:instrText xml:space="preserve"> PAGEREF _Toc27080 </w:instrText>
      </w:r>
      <w:r>
        <w:rPr>
          <w:highlight w:val="none"/>
        </w:rPr>
        <w:fldChar w:fldCharType="separate"/>
      </w:r>
      <w:r>
        <w:rPr>
          <w:highlight w:val="none"/>
        </w:rPr>
        <w:t>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_Toc27570 </w:instrText>
      </w:r>
      <w:r>
        <w:rPr>
          <w:highlight w:val="none"/>
        </w:rPr>
        <w:fldChar w:fldCharType="separate"/>
      </w:r>
      <w:r>
        <w:rPr>
          <w:rFonts w:hint="eastAsia"/>
          <w:highlight w:val="none"/>
        </w:rPr>
        <w:t>3.3 投标文件的澄清和补正</w:t>
      </w:r>
      <w:r>
        <w:rPr>
          <w:highlight w:val="none"/>
        </w:rPr>
        <w:tab/>
      </w:r>
      <w:r>
        <w:rPr>
          <w:highlight w:val="none"/>
        </w:rPr>
        <w:fldChar w:fldCharType="begin"/>
      </w:r>
      <w:r>
        <w:rPr>
          <w:highlight w:val="none"/>
        </w:rPr>
        <w:instrText xml:space="preserve"> PAGEREF _Toc27570 </w:instrText>
      </w:r>
      <w:r>
        <w:rPr>
          <w:highlight w:val="none"/>
        </w:rPr>
        <w:fldChar w:fldCharType="separate"/>
      </w:r>
      <w:r>
        <w:rPr>
          <w:highlight w:val="none"/>
        </w:rPr>
        <w:t>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_Toc26214 </w:instrText>
      </w:r>
      <w:r>
        <w:rPr>
          <w:highlight w:val="none"/>
        </w:rPr>
        <w:fldChar w:fldCharType="separate"/>
      </w:r>
      <w:r>
        <w:rPr>
          <w:rFonts w:hint="eastAsia"/>
          <w:highlight w:val="none"/>
        </w:rPr>
        <w:t>3.4 评标结果</w:t>
      </w:r>
      <w:r>
        <w:rPr>
          <w:highlight w:val="none"/>
        </w:rPr>
        <w:tab/>
      </w:r>
      <w:r>
        <w:rPr>
          <w:highlight w:val="none"/>
        </w:rPr>
        <w:fldChar w:fldCharType="begin"/>
      </w:r>
      <w:r>
        <w:rPr>
          <w:highlight w:val="none"/>
        </w:rPr>
        <w:instrText xml:space="preserve"> PAGEREF _Toc26214 </w:instrText>
      </w:r>
      <w:r>
        <w:rPr>
          <w:highlight w:val="none"/>
        </w:rPr>
        <w:fldChar w:fldCharType="separate"/>
      </w:r>
      <w:r>
        <w:rPr>
          <w:highlight w:val="none"/>
        </w:rPr>
        <w:t>52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_Toc2269 </w:instrText>
      </w:r>
      <w:r>
        <w:rPr>
          <w:highlight w:val="none"/>
        </w:rPr>
        <w:fldChar w:fldCharType="separate"/>
      </w:r>
      <w:r>
        <w:rPr>
          <w:rFonts w:hint="eastAsia" w:ascii="黑体" w:hAnsi="宋体" w:cs="Arial"/>
          <w:bCs w:val="0"/>
          <w:highlight w:val="none"/>
        </w:rPr>
        <w:t>附件</w:t>
      </w:r>
      <w:r>
        <w:rPr>
          <w:rFonts w:hint="eastAsia" w:ascii="宋体" w:hAnsi="宋体" w:cs="Arial"/>
          <w:highlight w:val="none"/>
        </w:rPr>
        <w:t>A：</w:t>
      </w:r>
      <w:r>
        <w:rPr>
          <w:rFonts w:hint="eastAsia" w:ascii="黑体" w:hAnsi="宋体" w:cs="Arial"/>
          <w:bCs w:val="0"/>
          <w:highlight w:val="none"/>
        </w:rPr>
        <w:t>评标详细程序</w:t>
      </w:r>
      <w:r>
        <w:rPr>
          <w:highlight w:val="none"/>
        </w:rPr>
        <w:tab/>
      </w:r>
      <w:r>
        <w:rPr>
          <w:highlight w:val="none"/>
        </w:rPr>
        <w:fldChar w:fldCharType="begin"/>
      </w:r>
      <w:r>
        <w:rPr>
          <w:highlight w:val="none"/>
        </w:rPr>
        <w:instrText xml:space="preserve"> PAGEREF _Toc2269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_Toc28142 </w:instrText>
      </w:r>
      <w:r>
        <w:rPr>
          <w:highlight w:val="none"/>
        </w:rPr>
        <w:fldChar w:fldCharType="separate"/>
      </w:r>
      <w:r>
        <w:rPr>
          <w:rFonts w:hint="eastAsia"/>
          <w:highlight w:val="none"/>
        </w:rPr>
        <w:t>A0. 总  则</w:t>
      </w:r>
      <w:r>
        <w:rPr>
          <w:highlight w:val="none"/>
        </w:rPr>
        <w:tab/>
      </w:r>
      <w:r>
        <w:rPr>
          <w:highlight w:val="none"/>
        </w:rPr>
        <w:fldChar w:fldCharType="begin"/>
      </w:r>
      <w:r>
        <w:rPr>
          <w:highlight w:val="none"/>
        </w:rPr>
        <w:instrText xml:space="preserve"> PAGEREF _Toc28142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_Toc3273 </w:instrText>
      </w:r>
      <w:r>
        <w:rPr>
          <w:highlight w:val="none"/>
        </w:rPr>
        <w:fldChar w:fldCharType="separate"/>
      </w:r>
      <w:r>
        <w:rPr>
          <w:rFonts w:hint="eastAsia" w:cs="Arial"/>
          <w:szCs w:val="21"/>
          <w:highlight w:val="none"/>
        </w:rPr>
        <w:t>A1. 基本程序</w:t>
      </w:r>
      <w:r>
        <w:rPr>
          <w:highlight w:val="none"/>
        </w:rPr>
        <w:tab/>
      </w:r>
      <w:r>
        <w:rPr>
          <w:highlight w:val="none"/>
        </w:rPr>
        <w:fldChar w:fldCharType="begin"/>
      </w:r>
      <w:r>
        <w:rPr>
          <w:highlight w:val="none"/>
        </w:rPr>
        <w:instrText xml:space="preserve"> PAGEREF _Toc3273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_Toc27584 </w:instrText>
      </w:r>
      <w:r>
        <w:rPr>
          <w:highlight w:val="none"/>
        </w:rPr>
        <w:fldChar w:fldCharType="separate"/>
      </w:r>
      <w:r>
        <w:rPr>
          <w:rFonts w:hint="eastAsia" w:cs="Arial"/>
          <w:szCs w:val="21"/>
          <w:highlight w:val="none"/>
        </w:rPr>
        <w:t>A2. 评标准备</w:t>
      </w:r>
      <w:r>
        <w:rPr>
          <w:highlight w:val="none"/>
        </w:rPr>
        <w:tab/>
      </w:r>
      <w:r>
        <w:rPr>
          <w:highlight w:val="none"/>
        </w:rPr>
        <w:fldChar w:fldCharType="begin"/>
      </w:r>
      <w:r>
        <w:rPr>
          <w:highlight w:val="none"/>
        </w:rPr>
        <w:instrText xml:space="preserve"> PAGEREF _Toc27584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_Toc27447 </w:instrText>
      </w:r>
      <w:r>
        <w:rPr>
          <w:highlight w:val="none"/>
        </w:rPr>
        <w:fldChar w:fldCharType="separate"/>
      </w:r>
      <w:r>
        <w:rPr>
          <w:rFonts w:hint="eastAsia" w:cs="Arial"/>
          <w:szCs w:val="21"/>
          <w:highlight w:val="none"/>
        </w:rPr>
        <w:t>A2.1评标委员会成员签到及签署声明</w:t>
      </w:r>
      <w:r>
        <w:rPr>
          <w:highlight w:val="none"/>
        </w:rPr>
        <w:tab/>
      </w:r>
      <w:r>
        <w:rPr>
          <w:highlight w:val="none"/>
        </w:rPr>
        <w:fldChar w:fldCharType="begin"/>
      </w:r>
      <w:r>
        <w:rPr>
          <w:highlight w:val="none"/>
        </w:rPr>
        <w:instrText xml:space="preserve"> PAGEREF _Toc27447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_Toc27375 </w:instrText>
      </w:r>
      <w:r>
        <w:rPr>
          <w:highlight w:val="none"/>
        </w:rPr>
        <w:fldChar w:fldCharType="separate"/>
      </w:r>
      <w:r>
        <w:rPr>
          <w:rFonts w:hint="eastAsia" w:cs="Arial"/>
          <w:szCs w:val="21"/>
          <w:highlight w:val="none"/>
        </w:rPr>
        <w:t>A2.2 评标委员会的分工</w:t>
      </w:r>
      <w:r>
        <w:rPr>
          <w:highlight w:val="none"/>
        </w:rPr>
        <w:tab/>
      </w:r>
      <w:r>
        <w:rPr>
          <w:highlight w:val="none"/>
        </w:rPr>
        <w:fldChar w:fldCharType="begin"/>
      </w:r>
      <w:r>
        <w:rPr>
          <w:highlight w:val="none"/>
        </w:rPr>
        <w:instrText xml:space="preserve"> PAGEREF _Toc27375 </w:instrText>
      </w:r>
      <w:r>
        <w:rPr>
          <w:highlight w:val="none"/>
        </w:rPr>
        <w:fldChar w:fldCharType="separate"/>
      </w:r>
      <w:r>
        <w:rPr>
          <w:highlight w:val="none"/>
        </w:rPr>
        <w:t>53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_Toc14300 </w:instrText>
      </w:r>
      <w:r>
        <w:rPr>
          <w:highlight w:val="none"/>
        </w:rPr>
        <w:fldChar w:fldCharType="separate"/>
      </w:r>
      <w:r>
        <w:rPr>
          <w:rFonts w:hint="eastAsia" w:cs="Arial"/>
          <w:szCs w:val="21"/>
          <w:highlight w:val="none"/>
        </w:rPr>
        <w:t>A2.3 熟悉文件资料</w:t>
      </w:r>
      <w:r>
        <w:rPr>
          <w:highlight w:val="none"/>
        </w:rPr>
        <w:tab/>
      </w:r>
      <w:r>
        <w:rPr>
          <w:highlight w:val="none"/>
        </w:rPr>
        <w:fldChar w:fldCharType="begin"/>
      </w:r>
      <w:r>
        <w:rPr>
          <w:highlight w:val="none"/>
        </w:rPr>
        <w:instrText xml:space="preserve"> PAGEREF _Toc14300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_Toc22921 </w:instrText>
      </w:r>
      <w:r>
        <w:rPr>
          <w:highlight w:val="none"/>
        </w:rPr>
        <w:fldChar w:fldCharType="separate"/>
      </w:r>
      <w:r>
        <w:rPr>
          <w:rFonts w:hint="eastAsia" w:cs="Arial"/>
          <w:szCs w:val="21"/>
          <w:highlight w:val="none"/>
        </w:rPr>
        <w:t>A3. 初步评审</w:t>
      </w:r>
      <w:r>
        <w:rPr>
          <w:highlight w:val="none"/>
        </w:rPr>
        <w:tab/>
      </w:r>
      <w:r>
        <w:rPr>
          <w:highlight w:val="none"/>
        </w:rPr>
        <w:fldChar w:fldCharType="begin"/>
      </w:r>
      <w:r>
        <w:rPr>
          <w:highlight w:val="none"/>
        </w:rPr>
        <w:instrText xml:space="preserve"> PAGEREF _Toc22921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_Toc21779 </w:instrText>
      </w:r>
      <w:r>
        <w:rPr>
          <w:highlight w:val="none"/>
        </w:rPr>
        <w:fldChar w:fldCharType="separate"/>
      </w:r>
      <w:r>
        <w:rPr>
          <w:rFonts w:hint="eastAsia" w:ascii="Arial" w:hAnsi="Arial" w:cs="Arial"/>
          <w:kern w:val="0"/>
          <w:szCs w:val="21"/>
          <w:highlight w:val="none"/>
        </w:rPr>
        <w:t>A3.1</w:t>
      </w:r>
      <w:r>
        <w:rPr>
          <w:rFonts w:hint="eastAsia" w:ascii="Arial" w:hAnsi="Arial" w:cs="Arial"/>
          <w:szCs w:val="21"/>
          <w:highlight w:val="none"/>
        </w:rPr>
        <w:t>形式评审</w:t>
      </w:r>
      <w:r>
        <w:rPr>
          <w:highlight w:val="none"/>
        </w:rPr>
        <w:tab/>
      </w:r>
      <w:r>
        <w:rPr>
          <w:highlight w:val="none"/>
        </w:rPr>
        <w:fldChar w:fldCharType="begin"/>
      </w:r>
      <w:r>
        <w:rPr>
          <w:highlight w:val="none"/>
        </w:rPr>
        <w:instrText xml:space="preserve"> PAGEREF _Toc21779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_Toc4857 </w:instrText>
      </w:r>
      <w:r>
        <w:rPr>
          <w:highlight w:val="none"/>
        </w:rPr>
        <w:fldChar w:fldCharType="separate"/>
      </w:r>
      <w:r>
        <w:rPr>
          <w:rFonts w:hint="eastAsia" w:ascii="Arial" w:hAnsi="Arial" w:cs="Arial"/>
          <w:szCs w:val="21"/>
          <w:highlight w:val="none"/>
        </w:rPr>
        <w:t>A3.2资格评审</w:t>
      </w:r>
      <w:r>
        <w:rPr>
          <w:highlight w:val="none"/>
        </w:rPr>
        <w:tab/>
      </w:r>
      <w:r>
        <w:rPr>
          <w:highlight w:val="none"/>
        </w:rPr>
        <w:fldChar w:fldCharType="begin"/>
      </w:r>
      <w:r>
        <w:rPr>
          <w:highlight w:val="none"/>
        </w:rPr>
        <w:instrText xml:space="preserve"> PAGEREF _Toc4857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_Toc4395 </w:instrText>
      </w:r>
      <w:r>
        <w:rPr>
          <w:highlight w:val="none"/>
        </w:rPr>
        <w:fldChar w:fldCharType="separate"/>
      </w:r>
      <w:r>
        <w:rPr>
          <w:rFonts w:hint="eastAsia" w:ascii="Arial" w:hAnsi="Arial" w:cs="Arial"/>
          <w:szCs w:val="21"/>
          <w:highlight w:val="none"/>
        </w:rPr>
        <w:t>A3.3 响应性评审</w:t>
      </w:r>
      <w:r>
        <w:rPr>
          <w:highlight w:val="none"/>
        </w:rPr>
        <w:tab/>
      </w:r>
      <w:r>
        <w:rPr>
          <w:highlight w:val="none"/>
        </w:rPr>
        <w:fldChar w:fldCharType="begin"/>
      </w:r>
      <w:r>
        <w:rPr>
          <w:highlight w:val="none"/>
        </w:rPr>
        <w:instrText xml:space="preserve"> PAGEREF _Toc4395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_Toc21142 </w:instrText>
      </w:r>
      <w:r>
        <w:rPr>
          <w:highlight w:val="none"/>
        </w:rPr>
        <w:fldChar w:fldCharType="separate"/>
      </w:r>
      <w:r>
        <w:rPr>
          <w:rFonts w:hint="eastAsia" w:ascii="Arial" w:hAnsi="Arial" w:cs="Arial"/>
          <w:szCs w:val="21"/>
          <w:highlight w:val="none"/>
        </w:rPr>
        <w:t xml:space="preserve">A3.4 </w:t>
      </w:r>
      <w:r>
        <w:rPr>
          <w:rFonts w:hint="eastAsia" w:cs="Arial"/>
          <w:szCs w:val="21"/>
          <w:highlight w:val="none"/>
        </w:rPr>
        <w:t>投标偏差分析</w:t>
      </w:r>
      <w:r>
        <w:rPr>
          <w:highlight w:val="none"/>
        </w:rPr>
        <w:tab/>
      </w:r>
      <w:r>
        <w:rPr>
          <w:highlight w:val="none"/>
        </w:rPr>
        <w:fldChar w:fldCharType="begin"/>
      </w:r>
      <w:r>
        <w:rPr>
          <w:highlight w:val="none"/>
        </w:rPr>
        <w:instrText xml:space="preserve"> PAGEREF _Toc21142 </w:instrText>
      </w:r>
      <w:r>
        <w:rPr>
          <w:highlight w:val="none"/>
        </w:rPr>
        <w:fldChar w:fldCharType="separate"/>
      </w:r>
      <w:r>
        <w:rPr>
          <w:highlight w:val="none"/>
        </w:rPr>
        <w:t>54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_Toc28482 </w:instrText>
      </w:r>
      <w:r>
        <w:rPr>
          <w:highlight w:val="none"/>
        </w:rPr>
        <w:fldChar w:fldCharType="separate"/>
      </w:r>
      <w:r>
        <w:rPr>
          <w:rFonts w:hint="eastAsia" w:ascii="Arial" w:hAnsi="Arial" w:cs="Arial"/>
          <w:szCs w:val="21"/>
          <w:highlight w:val="none"/>
        </w:rPr>
        <w:t>A3.4.2</w:t>
      </w:r>
      <w:r>
        <w:rPr>
          <w:rFonts w:hint="eastAsia" w:cs="Arial"/>
          <w:szCs w:val="21"/>
          <w:highlight w:val="none"/>
        </w:rPr>
        <w:t>判断投标是否为废标</w:t>
      </w:r>
      <w:r>
        <w:rPr>
          <w:highlight w:val="none"/>
        </w:rPr>
        <w:tab/>
      </w:r>
      <w:r>
        <w:rPr>
          <w:highlight w:val="none"/>
        </w:rPr>
        <w:fldChar w:fldCharType="begin"/>
      </w:r>
      <w:r>
        <w:rPr>
          <w:highlight w:val="none"/>
        </w:rPr>
        <w:instrText xml:space="preserve"> PAGEREF _Toc28482 </w:instrText>
      </w:r>
      <w:r>
        <w:rPr>
          <w:highlight w:val="none"/>
        </w:rPr>
        <w:fldChar w:fldCharType="separate"/>
      </w:r>
      <w:r>
        <w:rPr>
          <w:highlight w:val="none"/>
        </w:rPr>
        <w:t>55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_Toc30626 </w:instrText>
      </w:r>
      <w:r>
        <w:rPr>
          <w:highlight w:val="none"/>
        </w:rPr>
        <w:fldChar w:fldCharType="separate"/>
      </w:r>
      <w:r>
        <w:rPr>
          <w:rFonts w:hint="eastAsia" w:ascii="Arial" w:hAnsi="Arial" w:cs="Arial"/>
          <w:kern w:val="0"/>
          <w:szCs w:val="21"/>
          <w:highlight w:val="none"/>
        </w:rPr>
        <w:t xml:space="preserve">A3.5 </w:t>
      </w:r>
      <w:r>
        <w:rPr>
          <w:rFonts w:ascii="Arial" w:hAnsi="Arial" w:cs="Arial"/>
          <w:kern w:val="0"/>
          <w:szCs w:val="21"/>
          <w:highlight w:val="none"/>
        </w:rPr>
        <w:t>对投标文件进行基础性</w:t>
      </w:r>
      <w:r>
        <w:rPr>
          <w:rFonts w:hint="eastAsia" w:ascii="Arial" w:hAnsi="Arial" w:cs="Arial"/>
          <w:kern w:val="0"/>
          <w:szCs w:val="21"/>
          <w:highlight w:val="none"/>
        </w:rPr>
        <w:t>数据</w:t>
      </w:r>
      <w:r>
        <w:rPr>
          <w:rFonts w:ascii="Arial" w:hAnsi="Arial" w:cs="Arial"/>
          <w:kern w:val="0"/>
          <w:szCs w:val="21"/>
          <w:highlight w:val="none"/>
        </w:rPr>
        <w:t>分析和整理工作（</w:t>
      </w:r>
      <w:r>
        <w:rPr>
          <w:rFonts w:hint="eastAsia" w:ascii="Arial" w:hAnsi="Arial" w:cs="Arial"/>
          <w:kern w:val="0"/>
          <w:szCs w:val="21"/>
          <w:highlight w:val="none"/>
        </w:rPr>
        <w:t>清单比对，适用于计算机辅助评标）</w:t>
      </w:r>
      <w:r>
        <w:rPr>
          <w:highlight w:val="none"/>
        </w:rPr>
        <w:tab/>
      </w:r>
      <w:r>
        <w:rPr>
          <w:highlight w:val="none"/>
        </w:rPr>
        <w:fldChar w:fldCharType="begin"/>
      </w:r>
      <w:r>
        <w:rPr>
          <w:highlight w:val="none"/>
        </w:rPr>
        <w:instrText xml:space="preserve"> PAGEREF _Toc30626 </w:instrText>
      </w:r>
      <w:r>
        <w:rPr>
          <w:highlight w:val="none"/>
        </w:rPr>
        <w:fldChar w:fldCharType="separate"/>
      </w:r>
      <w:r>
        <w:rPr>
          <w:highlight w:val="none"/>
        </w:rPr>
        <w:t>55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_Toc32710 </w:instrText>
      </w:r>
      <w:r>
        <w:rPr>
          <w:highlight w:val="none"/>
        </w:rPr>
        <w:fldChar w:fldCharType="separate"/>
      </w:r>
      <w:r>
        <w:rPr>
          <w:rFonts w:hint="eastAsia" w:ascii="Arial" w:hAnsi="Arial" w:cs="Arial"/>
          <w:szCs w:val="21"/>
          <w:highlight w:val="none"/>
        </w:rPr>
        <w:t>A3.6 算术错误修正</w:t>
      </w:r>
      <w:r>
        <w:rPr>
          <w:highlight w:val="none"/>
        </w:rPr>
        <w:tab/>
      </w:r>
      <w:r>
        <w:rPr>
          <w:highlight w:val="none"/>
        </w:rPr>
        <w:fldChar w:fldCharType="begin"/>
      </w:r>
      <w:r>
        <w:rPr>
          <w:highlight w:val="none"/>
        </w:rPr>
        <w:instrText xml:space="preserve"> PAGEREF _Toc32710 </w:instrText>
      </w:r>
      <w:r>
        <w:rPr>
          <w:highlight w:val="none"/>
        </w:rPr>
        <w:fldChar w:fldCharType="separate"/>
      </w:r>
      <w:r>
        <w:rPr>
          <w:highlight w:val="none"/>
        </w:rPr>
        <w:t>55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_Toc3650 </w:instrText>
      </w:r>
      <w:r>
        <w:rPr>
          <w:highlight w:val="none"/>
        </w:rPr>
        <w:fldChar w:fldCharType="separate"/>
      </w:r>
      <w:r>
        <w:rPr>
          <w:rFonts w:hint="eastAsia" w:ascii="Arial" w:hAnsi="Arial" w:cs="Arial"/>
          <w:szCs w:val="21"/>
          <w:highlight w:val="none"/>
        </w:rPr>
        <w:t xml:space="preserve">A3.7 </w:t>
      </w:r>
      <w:r>
        <w:rPr>
          <w:rFonts w:hint="eastAsia" w:cs="Arial"/>
          <w:szCs w:val="21"/>
          <w:highlight w:val="none"/>
        </w:rPr>
        <w:t>澄清、说明或补正</w:t>
      </w:r>
      <w:r>
        <w:rPr>
          <w:highlight w:val="none"/>
        </w:rPr>
        <w:tab/>
      </w:r>
      <w:r>
        <w:rPr>
          <w:highlight w:val="none"/>
        </w:rPr>
        <w:fldChar w:fldCharType="begin"/>
      </w:r>
      <w:r>
        <w:rPr>
          <w:highlight w:val="none"/>
        </w:rPr>
        <w:instrText xml:space="preserve"> PAGEREF _Toc3650 </w:instrText>
      </w:r>
      <w:r>
        <w:rPr>
          <w:highlight w:val="none"/>
        </w:rPr>
        <w:fldChar w:fldCharType="separate"/>
      </w:r>
      <w:r>
        <w:rPr>
          <w:highlight w:val="none"/>
        </w:rPr>
        <w:t>55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_Toc3592 </w:instrText>
      </w:r>
      <w:r>
        <w:rPr>
          <w:highlight w:val="none"/>
        </w:rPr>
        <w:fldChar w:fldCharType="separate"/>
      </w:r>
      <w:r>
        <w:rPr>
          <w:rFonts w:hint="eastAsia" w:ascii="Arial" w:hAnsi="Arial" w:cs="Arial"/>
          <w:szCs w:val="21"/>
          <w:highlight w:val="none"/>
        </w:rPr>
        <w:t>A4.  详细评审</w:t>
      </w:r>
      <w:r>
        <w:rPr>
          <w:highlight w:val="none"/>
        </w:rPr>
        <w:tab/>
      </w:r>
      <w:r>
        <w:rPr>
          <w:highlight w:val="none"/>
        </w:rPr>
        <w:fldChar w:fldCharType="begin"/>
      </w:r>
      <w:r>
        <w:rPr>
          <w:highlight w:val="none"/>
        </w:rPr>
        <w:instrText xml:space="preserve"> PAGEREF _Toc3592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_Toc27959 </w:instrText>
      </w:r>
      <w:r>
        <w:rPr>
          <w:highlight w:val="none"/>
        </w:rPr>
        <w:fldChar w:fldCharType="separate"/>
      </w:r>
      <w:r>
        <w:rPr>
          <w:rFonts w:hint="eastAsia" w:ascii="Arial" w:hAnsi="Arial" w:cs="Arial"/>
          <w:szCs w:val="21"/>
          <w:highlight w:val="none"/>
        </w:rPr>
        <w:t>A4.1 详细评审的程序</w:t>
      </w:r>
      <w:r>
        <w:rPr>
          <w:highlight w:val="none"/>
        </w:rPr>
        <w:tab/>
      </w:r>
      <w:r>
        <w:rPr>
          <w:highlight w:val="none"/>
        </w:rPr>
        <w:fldChar w:fldCharType="begin"/>
      </w:r>
      <w:r>
        <w:rPr>
          <w:highlight w:val="none"/>
        </w:rPr>
        <w:instrText xml:space="preserve"> PAGEREF _Toc27959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_Toc21399 </w:instrText>
      </w:r>
      <w:r>
        <w:rPr>
          <w:highlight w:val="none"/>
        </w:rPr>
        <w:fldChar w:fldCharType="separate"/>
      </w:r>
      <w:r>
        <w:rPr>
          <w:rFonts w:hint="eastAsia" w:ascii="Arial" w:hAnsi="Arial" w:cs="Arial"/>
          <w:szCs w:val="21"/>
          <w:highlight w:val="none"/>
        </w:rPr>
        <w:t>A4.2  施工组织设计评审和评分</w:t>
      </w:r>
      <w:r>
        <w:rPr>
          <w:highlight w:val="none"/>
        </w:rPr>
        <w:tab/>
      </w:r>
      <w:r>
        <w:rPr>
          <w:highlight w:val="none"/>
        </w:rPr>
        <w:fldChar w:fldCharType="begin"/>
      </w:r>
      <w:r>
        <w:rPr>
          <w:highlight w:val="none"/>
        </w:rPr>
        <w:instrText xml:space="preserve"> PAGEREF _Toc21399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_Toc30305 </w:instrText>
      </w:r>
      <w:r>
        <w:rPr>
          <w:highlight w:val="none"/>
        </w:rPr>
        <w:fldChar w:fldCharType="separate"/>
      </w:r>
      <w:r>
        <w:rPr>
          <w:rFonts w:hint="eastAsia" w:ascii="Arial" w:hAnsi="Arial" w:cs="Arial"/>
          <w:szCs w:val="21"/>
          <w:highlight w:val="none"/>
        </w:rPr>
        <w:t>A4.3 项目管理机构评审和评分</w:t>
      </w:r>
      <w:r>
        <w:rPr>
          <w:highlight w:val="none"/>
        </w:rPr>
        <w:tab/>
      </w:r>
      <w:r>
        <w:rPr>
          <w:highlight w:val="none"/>
        </w:rPr>
        <w:fldChar w:fldCharType="begin"/>
      </w:r>
      <w:r>
        <w:rPr>
          <w:highlight w:val="none"/>
        </w:rPr>
        <w:instrText xml:space="preserve"> PAGEREF _Toc30305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_Toc10038 </w:instrText>
      </w:r>
      <w:r>
        <w:rPr>
          <w:highlight w:val="none"/>
        </w:rPr>
        <w:fldChar w:fldCharType="separate"/>
      </w:r>
      <w:r>
        <w:rPr>
          <w:rFonts w:hint="eastAsia" w:ascii="Arial" w:hAnsi="Arial" w:cs="Arial"/>
          <w:szCs w:val="21"/>
          <w:highlight w:val="none"/>
        </w:rPr>
        <w:t>A4.4 投标报价评审和评分（仅按投标总报价进行评分）</w:t>
      </w:r>
      <w:r>
        <w:rPr>
          <w:highlight w:val="none"/>
        </w:rPr>
        <w:tab/>
      </w:r>
      <w:r>
        <w:rPr>
          <w:highlight w:val="none"/>
        </w:rPr>
        <w:fldChar w:fldCharType="begin"/>
      </w:r>
      <w:r>
        <w:rPr>
          <w:highlight w:val="none"/>
        </w:rPr>
        <w:instrText xml:space="preserve"> PAGEREF _Toc10038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_Toc14416 </w:instrText>
      </w:r>
      <w:r>
        <w:rPr>
          <w:highlight w:val="none"/>
        </w:rPr>
        <w:fldChar w:fldCharType="separate"/>
      </w:r>
      <w:r>
        <w:rPr>
          <w:rFonts w:hint="eastAsia" w:ascii="Arial" w:hAnsi="Arial" w:cs="Arial"/>
          <w:szCs w:val="21"/>
          <w:highlight w:val="none"/>
        </w:rPr>
        <w:t>A4.5  其他因素的评审和评分</w:t>
      </w:r>
      <w:r>
        <w:rPr>
          <w:highlight w:val="none"/>
        </w:rPr>
        <w:tab/>
      </w:r>
      <w:r>
        <w:rPr>
          <w:highlight w:val="none"/>
        </w:rPr>
        <w:fldChar w:fldCharType="begin"/>
      </w:r>
      <w:r>
        <w:rPr>
          <w:highlight w:val="none"/>
        </w:rPr>
        <w:instrText xml:space="preserve"> PAGEREF _Toc14416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_Toc3234 </w:instrText>
      </w:r>
      <w:r>
        <w:rPr>
          <w:highlight w:val="none"/>
        </w:rPr>
        <w:fldChar w:fldCharType="separate"/>
      </w:r>
      <w:r>
        <w:rPr>
          <w:rFonts w:hint="eastAsia" w:ascii="Arial" w:hAnsi="Arial" w:cs="Arial"/>
          <w:szCs w:val="21"/>
          <w:highlight w:val="none"/>
        </w:rPr>
        <w:t>A4.6  判断投标报价是否低于成本</w:t>
      </w:r>
      <w:r>
        <w:rPr>
          <w:highlight w:val="none"/>
        </w:rPr>
        <w:tab/>
      </w:r>
      <w:r>
        <w:rPr>
          <w:highlight w:val="none"/>
        </w:rPr>
        <w:fldChar w:fldCharType="begin"/>
      </w:r>
      <w:r>
        <w:rPr>
          <w:highlight w:val="none"/>
        </w:rPr>
        <w:instrText xml:space="preserve"> PAGEREF _Toc3234 </w:instrText>
      </w:r>
      <w:r>
        <w:rPr>
          <w:highlight w:val="none"/>
        </w:rPr>
        <w:fldChar w:fldCharType="separate"/>
      </w:r>
      <w:r>
        <w:rPr>
          <w:highlight w:val="none"/>
        </w:rPr>
        <w:t>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_Toc24949 </w:instrText>
      </w:r>
      <w:r>
        <w:rPr>
          <w:highlight w:val="none"/>
        </w:rPr>
        <w:fldChar w:fldCharType="separate"/>
      </w:r>
      <w:r>
        <w:rPr>
          <w:rFonts w:hint="eastAsia" w:ascii="Arial" w:hAnsi="Arial" w:cs="Arial"/>
          <w:szCs w:val="21"/>
          <w:highlight w:val="none"/>
        </w:rPr>
        <w:t>A4.7 澄清、说明或补正</w:t>
      </w:r>
      <w:r>
        <w:rPr>
          <w:highlight w:val="none"/>
        </w:rPr>
        <w:tab/>
      </w:r>
      <w:r>
        <w:rPr>
          <w:highlight w:val="none"/>
        </w:rPr>
        <w:fldChar w:fldCharType="begin"/>
      </w:r>
      <w:r>
        <w:rPr>
          <w:highlight w:val="none"/>
        </w:rPr>
        <w:instrText xml:space="preserve"> PAGEREF _Toc24949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_Toc29587 </w:instrText>
      </w:r>
      <w:r>
        <w:rPr>
          <w:highlight w:val="none"/>
        </w:rPr>
        <w:fldChar w:fldCharType="separate"/>
      </w:r>
      <w:r>
        <w:rPr>
          <w:rFonts w:hint="eastAsia" w:ascii="Arial" w:hAnsi="Arial" w:cs="Arial"/>
          <w:szCs w:val="21"/>
          <w:highlight w:val="none"/>
        </w:rPr>
        <w:t>A4.8  汇总评分结果</w:t>
      </w:r>
      <w:r>
        <w:rPr>
          <w:highlight w:val="none"/>
        </w:rPr>
        <w:tab/>
      </w:r>
      <w:r>
        <w:rPr>
          <w:highlight w:val="none"/>
        </w:rPr>
        <w:fldChar w:fldCharType="begin"/>
      </w:r>
      <w:r>
        <w:rPr>
          <w:highlight w:val="none"/>
        </w:rPr>
        <w:instrText xml:space="preserve"> PAGEREF _Toc29587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_Toc14760 </w:instrText>
      </w:r>
      <w:r>
        <w:rPr>
          <w:highlight w:val="none"/>
        </w:rPr>
        <w:fldChar w:fldCharType="separate"/>
      </w:r>
      <w:r>
        <w:rPr>
          <w:rFonts w:hint="eastAsia" w:ascii="Arial" w:hAnsi="Arial" w:cs="Arial"/>
          <w:szCs w:val="21"/>
          <w:highlight w:val="none"/>
        </w:rPr>
        <w:t>A5  推荐中标候选人或者直接确定中标人</w:t>
      </w:r>
      <w:r>
        <w:rPr>
          <w:highlight w:val="none"/>
        </w:rPr>
        <w:tab/>
      </w:r>
      <w:r>
        <w:rPr>
          <w:highlight w:val="none"/>
        </w:rPr>
        <w:fldChar w:fldCharType="begin"/>
      </w:r>
      <w:r>
        <w:rPr>
          <w:highlight w:val="none"/>
        </w:rPr>
        <w:instrText xml:space="preserve"> PAGEREF _Toc14760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_Toc10124 </w:instrText>
      </w:r>
      <w:r>
        <w:rPr>
          <w:highlight w:val="none"/>
        </w:rPr>
        <w:fldChar w:fldCharType="separate"/>
      </w:r>
      <w:r>
        <w:rPr>
          <w:rFonts w:hint="eastAsia" w:ascii="Arial" w:hAnsi="Arial" w:cs="Arial"/>
          <w:szCs w:val="21"/>
          <w:highlight w:val="none"/>
        </w:rPr>
        <w:t>A5.1 推荐中标候选人</w:t>
      </w:r>
      <w:r>
        <w:rPr>
          <w:highlight w:val="none"/>
        </w:rPr>
        <w:tab/>
      </w:r>
      <w:r>
        <w:rPr>
          <w:highlight w:val="none"/>
        </w:rPr>
        <w:fldChar w:fldCharType="begin"/>
      </w:r>
      <w:r>
        <w:rPr>
          <w:highlight w:val="none"/>
        </w:rPr>
        <w:instrText xml:space="preserve"> PAGEREF _Toc10124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_Toc15653 </w:instrText>
      </w:r>
      <w:r>
        <w:rPr>
          <w:highlight w:val="none"/>
        </w:rPr>
        <w:fldChar w:fldCharType="separate"/>
      </w:r>
      <w:r>
        <w:rPr>
          <w:rFonts w:hint="eastAsia" w:ascii="Arial" w:hAnsi="Arial" w:cs="Arial"/>
          <w:szCs w:val="21"/>
          <w:highlight w:val="none"/>
        </w:rPr>
        <w:t>A5.2 直接确定中标人</w:t>
      </w:r>
      <w:r>
        <w:rPr>
          <w:highlight w:val="none"/>
        </w:rPr>
        <w:tab/>
      </w:r>
      <w:r>
        <w:rPr>
          <w:highlight w:val="none"/>
        </w:rPr>
        <w:fldChar w:fldCharType="begin"/>
      </w:r>
      <w:r>
        <w:rPr>
          <w:highlight w:val="none"/>
        </w:rPr>
        <w:instrText xml:space="preserve"> PAGEREF _Toc15653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_Toc16256 </w:instrText>
      </w:r>
      <w:r>
        <w:rPr>
          <w:highlight w:val="none"/>
        </w:rPr>
        <w:fldChar w:fldCharType="separate"/>
      </w:r>
      <w:r>
        <w:rPr>
          <w:rFonts w:hint="eastAsia" w:ascii="Arial" w:hAnsi="Arial" w:cs="Arial"/>
          <w:szCs w:val="21"/>
          <w:highlight w:val="none"/>
        </w:rPr>
        <w:t>A5.3 编制评标报告</w:t>
      </w:r>
      <w:r>
        <w:rPr>
          <w:highlight w:val="none"/>
        </w:rPr>
        <w:tab/>
      </w:r>
      <w:r>
        <w:rPr>
          <w:highlight w:val="none"/>
        </w:rPr>
        <w:fldChar w:fldCharType="begin"/>
      </w:r>
      <w:r>
        <w:rPr>
          <w:highlight w:val="none"/>
        </w:rPr>
        <w:instrText xml:space="preserve"> PAGEREF _Toc16256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_Toc3116 </w:instrText>
      </w:r>
      <w:r>
        <w:rPr>
          <w:highlight w:val="none"/>
        </w:rPr>
        <w:fldChar w:fldCharType="separate"/>
      </w:r>
      <w:r>
        <w:rPr>
          <w:rFonts w:hint="eastAsia" w:cs="Arial"/>
          <w:szCs w:val="21"/>
          <w:highlight w:val="none"/>
        </w:rPr>
        <w:t>A6. 特殊情况的处置程序</w:t>
      </w:r>
      <w:r>
        <w:rPr>
          <w:highlight w:val="none"/>
        </w:rPr>
        <w:tab/>
      </w:r>
      <w:r>
        <w:rPr>
          <w:highlight w:val="none"/>
        </w:rPr>
        <w:fldChar w:fldCharType="begin"/>
      </w:r>
      <w:r>
        <w:rPr>
          <w:highlight w:val="none"/>
        </w:rPr>
        <w:instrText xml:space="preserve"> PAGEREF _Toc3116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_Toc4954 </w:instrText>
      </w:r>
      <w:r>
        <w:rPr>
          <w:highlight w:val="none"/>
        </w:rPr>
        <w:fldChar w:fldCharType="separate"/>
      </w:r>
      <w:r>
        <w:rPr>
          <w:rFonts w:hint="eastAsia" w:ascii="Arial" w:hAnsi="Arial" w:cs="Arial"/>
          <w:szCs w:val="21"/>
          <w:highlight w:val="none"/>
        </w:rPr>
        <w:t xml:space="preserve">A6.3  </w:t>
      </w:r>
      <w:r>
        <w:rPr>
          <w:rFonts w:ascii="Arial" w:hAnsi="Arial" w:cs="Arial"/>
          <w:szCs w:val="21"/>
          <w:highlight w:val="none"/>
        </w:rPr>
        <w:t>关于评标中途更换评委</w:t>
      </w:r>
      <w:r>
        <w:rPr>
          <w:highlight w:val="none"/>
        </w:rPr>
        <w:tab/>
      </w:r>
      <w:r>
        <w:rPr>
          <w:highlight w:val="none"/>
        </w:rPr>
        <w:fldChar w:fldCharType="begin"/>
      </w:r>
      <w:r>
        <w:rPr>
          <w:highlight w:val="none"/>
        </w:rPr>
        <w:instrText xml:space="preserve"> PAGEREF _Toc4954 </w:instrText>
      </w:r>
      <w:r>
        <w:rPr>
          <w:highlight w:val="none"/>
        </w:rPr>
        <w:fldChar w:fldCharType="separate"/>
      </w:r>
      <w:r>
        <w:rPr>
          <w:highlight w:val="none"/>
        </w:rPr>
        <w:t>57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_Toc15594 </w:instrText>
      </w:r>
      <w:r>
        <w:rPr>
          <w:highlight w:val="none"/>
        </w:rPr>
        <w:fldChar w:fldCharType="separate"/>
      </w:r>
      <w:r>
        <w:rPr>
          <w:rFonts w:hint="eastAsia" w:ascii="Arial" w:hAnsi="Arial" w:cs="Arial"/>
          <w:szCs w:val="21"/>
          <w:highlight w:val="none"/>
        </w:rPr>
        <w:t>A6.4  记名投票</w:t>
      </w:r>
      <w:r>
        <w:rPr>
          <w:highlight w:val="none"/>
        </w:rPr>
        <w:tab/>
      </w:r>
      <w:r>
        <w:rPr>
          <w:highlight w:val="none"/>
        </w:rPr>
        <w:fldChar w:fldCharType="begin"/>
      </w:r>
      <w:r>
        <w:rPr>
          <w:highlight w:val="none"/>
        </w:rPr>
        <w:instrText xml:space="preserve"> PAGEREF _Toc15594 </w:instrText>
      </w:r>
      <w:r>
        <w:rPr>
          <w:highlight w:val="none"/>
        </w:rPr>
        <w:fldChar w:fldCharType="separate"/>
      </w:r>
      <w:r>
        <w:rPr>
          <w:highlight w:val="none"/>
        </w:rPr>
        <w:t>58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_Toc11996 </w:instrText>
      </w:r>
      <w:r>
        <w:rPr>
          <w:highlight w:val="none"/>
        </w:rPr>
        <w:fldChar w:fldCharType="separate"/>
      </w:r>
      <w:r>
        <w:rPr>
          <w:rFonts w:hint="eastAsia" w:ascii="Arial" w:hAnsi="Arial" w:cs="Arial"/>
          <w:szCs w:val="21"/>
          <w:highlight w:val="none"/>
        </w:rPr>
        <w:t>A7. 补充条款</w:t>
      </w:r>
      <w:r>
        <w:rPr>
          <w:highlight w:val="none"/>
        </w:rPr>
        <w:tab/>
      </w:r>
      <w:r>
        <w:rPr>
          <w:highlight w:val="none"/>
        </w:rPr>
        <w:fldChar w:fldCharType="begin"/>
      </w:r>
      <w:r>
        <w:rPr>
          <w:highlight w:val="none"/>
        </w:rPr>
        <w:instrText xml:space="preserve"> PAGEREF _Toc11996 </w:instrText>
      </w:r>
      <w:r>
        <w:rPr>
          <w:highlight w:val="none"/>
        </w:rPr>
        <w:fldChar w:fldCharType="separate"/>
      </w:r>
      <w:r>
        <w:rPr>
          <w:highlight w:val="none"/>
        </w:rPr>
        <w:t>58</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_Toc18770 </w:instrText>
      </w:r>
      <w:r>
        <w:rPr>
          <w:highlight w:val="none"/>
        </w:rPr>
        <w:fldChar w:fldCharType="separate"/>
      </w:r>
      <w:r>
        <w:rPr>
          <w:rFonts w:hint="eastAsia" w:ascii="黑体" w:hAnsi="宋体" w:cs="Arial"/>
          <w:bCs w:val="0"/>
          <w:highlight w:val="none"/>
        </w:rPr>
        <w:t>附件</w:t>
      </w:r>
      <w:r>
        <w:rPr>
          <w:rFonts w:hint="eastAsia" w:ascii="宋体" w:hAnsi="宋体" w:cs="Arial"/>
          <w:highlight w:val="none"/>
        </w:rPr>
        <w:t>B：</w:t>
      </w:r>
      <w:r>
        <w:rPr>
          <w:rFonts w:hint="eastAsia" w:ascii="黑体" w:hAnsi="宋体" w:cs="Arial"/>
          <w:bCs w:val="0"/>
          <w:highlight w:val="none"/>
        </w:rPr>
        <w:t>废标条件</w:t>
      </w:r>
      <w:r>
        <w:rPr>
          <w:highlight w:val="none"/>
        </w:rPr>
        <w:tab/>
      </w:r>
      <w:r>
        <w:rPr>
          <w:highlight w:val="none"/>
        </w:rPr>
        <w:fldChar w:fldCharType="begin"/>
      </w:r>
      <w:r>
        <w:rPr>
          <w:highlight w:val="none"/>
        </w:rPr>
        <w:instrText xml:space="preserve"> PAGEREF _Toc18770 </w:instrText>
      </w:r>
      <w:r>
        <w:rPr>
          <w:highlight w:val="none"/>
        </w:rPr>
        <w:fldChar w:fldCharType="separate"/>
      </w:r>
      <w:r>
        <w:rPr>
          <w:highlight w:val="none"/>
        </w:rPr>
        <w:t>59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_Toc13436 </w:instrText>
      </w:r>
      <w:r>
        <w:rPr>
          <w:highlight w:val="none"/>
        </w:rPr>
        <w:fldChar w:fldCharType="separate"/>
      </w:r>
      <w:r>
        <w:rPr>
          <w:rFonts w:hint="eastAsia"/>
          <w:highlight w:val="none"/>
        </w:rPr>
        <w:t>B0. 总  则</w:t>
      </w:r>
      <w:r>
        <w:rPr>
          <w:highlight w:val="none"/>
        </w:rPr>
        <w:tab/>
      </w:r>
      <w:r>
        <w:rPr>
          <w:highlight w:val="none"/>
        </w:rPr>
        <w:fldChar w:fldCharType="begin"/>
      </w:r>
      <w:r>
        <w:rPr>
          <w:highlight w:val="none"/>
        </w:rPr>
        <w:instrText xml:space="preserve"> PAGEREF _Toc13436 </w:instrText>
      </w:r>
      <w:r>
        <w:rPr>
          <w:highlight w:val="none"/>
        </w:rPr>
        <w:fldChar w:fldCharType="separate"/>
      </w:r>
      <w:r>
        <w:rPr>
          <w:highlight w:val="none"/>
        </w:rPr>
        <w:t>59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_Toc24844 </w:instrText>
      </w:r>
      <w:r>
        <w:rPr>
          <w:highlight w:val="none"/>
        </w:rPr>
        <w:fldChar w:fldCharType="separate"/>
      </w:r>
      <w:r>
        <w:rPr>
          <w:rFonts w:hint="eastAsia"/>
          <w:bCs/>
          <w:highlight w:val="none"/>
        </w:rPr>
        <w:t>B1. 废标条件</w:t>
      </w:r>
      <w:r>
        <w:rPr>
          <w:highlight w:val="none"/>
        </w:rPr>
        <w:tab/>
      </w:r>
      <w:r>
        <w:rPr>
          <w:highlight w:val="none"/>
        </w:rPr>
        <w:fldChar w:fldCharType="begin"/>
      </w:r>
      <w:r>
        <w:rPr>
          <w:highlight w:val="none"/>
        </w:rPr>
        <w:instrText xml:space="preserve"> PAGEREF _Toc24844 </w:instrText>
      </w:r>
      <w:r>
        <w:rPr>
          <w:highlight w:val="none"/>
        </w:rPr>
        <w:fldChar w:fldCharType="separate"/>
      </w:r>
      <w:r>
        <w:rPr>
          <w:highlight w:val="none"/>
        </w:rPr>
        <w:t>59</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_Toc30758 </w:instrText>
      </w:r>
      <w:r>
        <w:rPr>
          <w:highlight w:val="none"/>
        </w:rPr>
        <w:fldChar w:fldCharType="separate"/>
      </w:r>
      <w:r>
        <w:rPr>
          <w:rFonts w:hint="eastAsia" w:ascii="黑体" w:hAnsi="宋体" w:cs="Arial"/>
          <w:bCs w:val="0"/>
          <w:highlight w:val="none"/>
        </w:rPr>
        <w:t>附件C：投标人成本评审办法</w:t>
      </w:r>
      <w:r>
        <w:rPr>
          <w:highlight w:val="none"/>
        </w:rPr>
        <w:tab/>
      </w:r>
      <w:r>
        <w:rPr>
          <w:highlight w:val="none"/>
        </w:rPr>
        <w:fldChar w:fldCharType="begin"/>
      </w:r>
      <w:r>
        <w:rPr>
          <w:highlight w:val="none"/>
        </w:rPr>
        <w:instrText xml:space="preserve"> PAGEREF _Toc30758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_Toc26540 </w:instrText>
      </w:r>
      <w:r>
        <w:rPr>
          <w:highlight w:val="none"/>
        </w:rPr>
        <w:fldChar w:fldCharType="separate"/>
      </w:r>
      <w:r>
        <w:rPr>
          <w:rFonts w:hint="eastAsia"/>
          <w:highlight w:val="none"/>
        </w:rPr>
        <w:t>C0.总  则</w:t>
      </w:r>
      <w:r>
        <w:rPr>
          <w:highlight w:val="none"/>
        </w:rPr>
        <w:tab/>
      </w:r>
      <w:r>
        <w:rPr>
          <w:highlight w:val="none"/>
        </w:rPr>
        <w:fldChar w:fldCharType="begin"/>
      </w:r>
      <w:r>
        <w:rPr>
          <w:highlight w:val="none"/>
        </w:rPr>
        <w:instrText xml:space="preserve"> PAGEREF _Toc26540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_Toc6410 </w:instrText>
      </w:r>
      <w:r>
        <w:rPr>
          <w:highlight w:val="none"/>
        </w:rPr>
        <w:fldChar w:fldCharType="separate"/>
      </w:r>
      <w:r>
        <w:rPr>
          <w:rFonts w:hint="eastAsia" w:cs="Arial"/>
          <w:szCs w:val="21"/>
          <w:highlight w:val="none"/>
        </w:rPr>
        <w:t>C1.评审程序</w:t>
      </w:r>
      <w:r>
        <w:rPr>
          <w:highlight w:val="none"/>
        </w:rPr>
        <w:tab/>
      </w:r>
      <w:r>
        <w:rPr>
          <w:highlight w:val="none"/>
        </w:rPr>
        <w:fldChar w:fldCharType="begin"/>
      </w:r>
      <w:r>
        <w:rPr>
          <w:highlight w:val="none"/>
        </w:rPr>
        <w:instrText xml:space="preserve"> PAGEREF _Toc6410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_Toc27085 </w:instrText>
      </w:r>
      <w:r>
        <w:rPr>
          <w:highlight w:val="none"/>
        </w:rPr>
        <w:fldChar w:fldCharType="separate"/>
      </w:r>
      <w:r>
        <w:rPr>
          <w:rFonts w:hint="eastAsia" w:cs="Arial"/>
          <w:szCs w:val="21"/>
          <w:highlight w:val="none"/>
        </w:rPr>
        <w:t>C1.1 启动成本评审工作的前提条件</w:t>
      </w:r>
      <w:r>
        <w:rPr>
          <w:highlight w:val="none"/>
        </w:rPr>
        <w:tab/>
      </w:r>
      <w:r>
        <w:rPr>
          <w:highlight w:val="none"/>
        </w:rPr>
        <w:fldChar w:fldCharType="begin"/>
      </w:r>
      <w:r>
        <w:rPr>
          <w:highlight w:val="none"/>
        </w:rPr>
        <w:instrText xml:space="preserve"> PAGEREF _Toc27085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_Toc23265 </w:instrText>
      </w:r>
      <w:r>
        <w:rPr>
          <w:highlight w:val="none"/>
        </w:rPr>
        <w:fldChar w:fldCharType="separate"/>
      </w:r>
      <w:r>
        <w:rPr>
          <w:rFonts w:hint="eastAsia" w:cs="Arial"/>
          <w:szCs w:val="21"/>
          <w:highlight w:val="none"/>
        </w:rPr>
        <w:t>C1.2</w:t>
      </w:r>
      <w:r>
        <w:rPr>
          <w:rFonts w:hint="eastAsia" w:ascii="黑体" w:hAnsi="Arial" w:eastAsia="黑体" w:cs="Arial"/>
          <w:highlight w:val="none"/>
        </w:rPr>
        <w:t xml:space="preserve"> </w:t>
      </w:r>
      <w:r>
        <w:rPr>
          <w:rFonts w:hint="eastAsia" w:cs="Arial"/>
          <w:szCs w:val="21"/>
          <w:highlight w:val="none"/>
        </w:rPr>
        <w:t>对投标价格的合理性进行评审</w:t>
      </w:r>
      <w:r>
        <w:rPr>
          <w:highlight w:val="none"/>
        </w:rPr>
        <w:tab/>
      </w:r>
      <w:r>
        <w:rPr>
          <w:highlight w:val="none"/>
        </w:rPr>
        <w:fldChar w:fldCharType="begin"/>
      </w:r>
      <w:r>
        <w:rPr>
          <w:highlight w:val="none"/>
        </w:rPr>
        <w:instrText xml:space="preserve"> PAGEREF _Toc23265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_Toc26557 </w:instrText>
      </w:r>
      <w:r>
        <w:rPr>
          <w:highlight w:val="none"/>
        </w:rPr>
        <w:fldChar w:fldCharType="separate"/>
      </w:r>
      <w:r>
        <w:rPr>
          <w:rFonts w:hint="eastAsia" w:cs="Arial"/>
          <w:szCs w:val="21"/>
          <w:highlight w:val="none"/>
        </w:rPr>
        <w:t>C1.3 澄清、说明或补正</w:t>
      </w:r>
      <w:r>
        <w:rPr>
          <w:highlight w:val="none"/>
        </w:rPr>
        <w:tab/>
      </w:r>
      <w:r>
        <w:rPr>
          <w:highlight w:val="none"/>
        </w:rPr>
        <w:fldChar w:fldCharType="begin"/>
      </w:r>
      <w:r>
        <w:rPr>
          <w:highlight w:val="none"/>
        </w:rPr>
        <w:instrText xml:space="preserve"> PAGEREF _Toc26557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_Toc16973 </w:instrText>
      </w:r>
      <w:r>
        <w:rPr>
          <w:highlight w:val="none"/>
        </w:rPr>
        <w:fldChar w:fldCharType="separate"/>
      </w:r>
      <w:r>
        <w:rPr>
          <w:rFonts w:hint="eastAsia" w:cs="Arial"/>
          <w:szCs w:val="21"/>
          <w:highlight w:val="none"/>
        </w:rPr>
        <w:t>C1.4  判断投标报价是否低于其成本</w:t>
      </w:r>
      <w:r>
        <w:rPr>
          <w:highlight w:val="none"/>
        </w:rPr>
        <w:tab/>
      </w:r>
      <w:r>
        <w:rPr>
          <w:highlight w:val="none"/>
        </w:rPr>
        <w:fldChar w:fldCharType="begin"/>
      </w:r>
      <w:r>
        <w:rPr>
          <w:highlight w:val="none"/>
        </w:rPr>
        <w:instrText xml:space="preserve"> PAGEREF _Toc16973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_Toc2787 </w:instrText>
      </w:r>
      <w:r>
        <w:rPr>
          <w:highlight w:val="none"/>
        </w:rPr>
        <w:fldChar w:fldCharType="separate"/>
      </w:r>
      <w:r>
        <w:rPr>
          <w:rFonts w:hint="eastAsia" w:cs="Arial"/>
          <w:szCs w:val="21"/>
          <w:highlight w:val="none"/>
        </w:rPr>
        <w:t>C2. 评审的依据</w:t>
      </w:r>
      <w:r>
        <w:rPr>
          <w:highlight w:val="none"/>
        </w:rPr>
        <w:tab/>
      </w:r>
      <w:r>
        <w:rPr>
          <w:highlight w:val="none"/>
        </w:rPr>
        <w:fldChar w:fldCharType="begin"/>
      </w:r>
      <w:r>
        <w:rPr>
          <w:highlight w:val="none"/>
        </w:rPr>
        <w:instrText xml:space="preserve"> PAGEREF _Toc2787 </w:instrText>
      </w:r>
      <w:r>
        <w:rPr>
          <w:highlight w:val="none"/>
        </w:rPr>
        <w:fldChar w:fldCharType="separate"/>
      </w:r>
      <w:r>
        <w:rPr>
          <w:highlight w:val="none"/>
        </w:rPr>
        <w:t>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_Toc21821 </w:instrText>
      </w:r>
      <w:r>
        <w:rPr>
          <w:highlight w:val="none"/>
        </w:rPr>
        <w:fldChar w:fldCharType="separate"/>
      </w:r>
      <w:r>
        <w:rPr>
          <w:rFonts w:hint="eastAsia" w:cs="Arial"/>
          <w:szCs w:val="21"/>
          <w:highlight w:val="none"/>
        </w:rPr>
        <w:t>C3.  算术性错误分析和修正</w:t>
      </w:r>
      <w:r>
        <w:rPr>
          <w:highlight w:val="none"/>
        </w:rPr>
        <w:tab/>
      </w:r>
      <w:r>
        <w:rPr>
          <w:highlight w:val="none"/>
        </w:rPr>
        <w:fldChar w:fldCharType="begin"/>
      </w:r>
      <w:r>
        <w:rPr>
          <w:highlight w:val="none"/>
        </w:rPr>
        <w:instrText xml:space="preserve"> PAGEREF _Toc21821 </w:instrText>
      </w:r>
      <w:r>
        <w:rPr>
          <w:highlight w:val="none"/>
        </w:rPr>
        <w:fldChar w:fldCharType="separate"/>
      </w:r>
      <w:r>
        <w:rPr>
          <w:highlight w:val="none"/>
        </w:rPr>
        <w:t>64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_Toc17163 </w:instrText>
      </w:r>
      <w:r>
        <w:rPr>
          <w:highlight w:val="none"/>
        </w:rPr>
        <w:fldChar w:fldCharType="separate"/>
      </w:r>
      <w:r>
        <w:rPr>
          <w:rFonts w:hint="eastAsia" w:cs="Arial"/>
          <w:szCs w:val="21"/>
          <w:highlight w:val="none"/>
        </w:rPr>
        <w:t>C4. 错漏项分析和修正</w:t>
      </w:r>
      <w:r>
        <w:rPr>
          <w:highlight w:val="none"/>
        </w:rPr>
        <w:tab/>
      </w:r>
      <w:r>
        <w:rPr>
          <w:highlight w:val="none"/>
        </w:rPr>
        <w:fldChar w:fldCharType="begin"/>
      </w:r>
      <w:r>
        <w:rPr>
          <w:highlight w:val="none"/>
        </w:rPr>
        <w:instrText xml:space="preserve"> PAGEREF _Toc17163 </w:instrText>
      </w:r>
      <w:r>
        <w:rPr>
          <w:highlight w:val="none"/>
        </w:rPr>
        <w:fldChar w:fldCharType="separate"/>
      </w:r>
      <w:r>
        <w:rPr>
          <w:highlight w:val="none"/>
        </w:rPr>
        <w:t>64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_Toc10113 </w:instrText>
      </w:r>
      <w:r>
        <w:rPr>
          <w:highlight w:val="none"/>
        </w:rPr>
        <w:fldChar w:fldCharType="separate"/>
      </w:r>
      <w:r>
        <w:rPr>
          <w:rFonts w:hint="eastAsia" w:cs="Arial"/>
          <w:szCs w:val="21"/>
          <w:highlight w:val="none"/>
        </w:rPr>
        <w:t xml:space="preserve">C4.1 </w:t>
      </w:r>
      <w:r>
        <w:rPr>
          <w:rFonts w:cs="Arial"/>
          <w:szCs w:val="21"/>
          <w:highlight w:val="none"/>
        </w:rPr>
        <w:t>错漏项分析和修正的原则</w:t>
      </w:r>
      <w:r>
        <w:rPr>
          <w:highlight w:val="none"/>
        </w:rPr>
        <w:tab/>
      </w:r>
      <w:r>
        <w:rPr>
          <w:highlight w:val="none"/>
        </w:rPr>
        <w:fldChar w:fldCharType="begin"/>
      </w:r>
      <w:r>
        <w:rPr>
          <w:highlight w:val="none"/>
        </w:rPr>
        <w:instrText xml:space="preserve"> PAGEREF _Toc10113 </w:instrText>
      </w:r>
      <w:r>
        <w:rPr>
          <w:highlight w:val="none"/>
        </w:rPr>
        <w:fldChar w:fldCharType="separate"/>
      </w:r>
      <w:r>
        <w:rPr>
          <w:highlight w:val="none"/>
        </w:rPr>
        <w:t>64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_Toc29484 </w:instrText>
      </w:r>
      <w:r>
        <w:rPr>
          <w:highlight w:val="none"/>
        </w:rPr>
        <w:fldChar w:fldCharType="separate"/>
      </w:r>
      <w:r>
        <w:rPr>
          <w:rFonts w:hint="eastAsia" w:cs="Arial"/>
          <w:szCs w:val="21"/>
          <w:highlight w:val="none"/>
        </w:rPr>
        <w:t xml:space="preserve">C4.2 </w:t>
      </w:r>
      <w:r>
        <w:rPr>
          <w:rFonts w:cs="Arial"/>
          <w:szCs w:val="21"/>
          <w:highlight w:val="none"/>
        </w:rPr>
        <w:t>错漏项分析和修正的方</w:t>
      </w:r>
      <w:r>
        <w:rPr>
          <w:rFonts w:hint="eastAsia" w:cs="Arial"/>
          <w:szCs w:val="21"/>
          <w:highlight w:val="none"/>
        </w:rPr>
        <w:t>法</w:t>
      </w:r>
      <w:r>
        <w:rPr>
          <w:highlight w:val="none"/>
        </w:rPr>
        <w:tab/>
      </w:r>
      <w:r>
        <w:rPr>
          <w:highlight w:val="none"/>
        </w:rPr>
        <w:fldChar w:fldCharType="begin"/>
      </w:r>
      <w:r>
        <w:rPr>
          <w:highlight w:val="none"/>
        </w:rPr>
        <w:instrText xml:space="preserve"> PAGEREF _Toc29484 </w:instrText>
      </w:r>
      <w:r>
        <w:rPr>
          <w:highlight w:val="none"/>
        </w:rPr>
        <w:fldChar w:fldCharType="separate"/>
      </w:r>
      <w:r>
        <w:rPr>
          <w:highlight w:val="none"/>
        </w:rPr>
        <w:t>64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_Toc23795 </w:instrText>
      </w:r>
      <w:r>
        <w:rPr>
          <w:highlight w:val="none"/>
        </w:rPr>
        <w:fldChar w:fldCharType="separate"/>
      </w:r>
      <w:r>
        <w:rPr>
          <w:rFonts w:hint="eastAsia" w:cs="Arial"/>
          <w:szCs w:val="21"/>
          <w:highlight w:val="none"/>
        </w:rPr>
        <w:t>C5. 分部分项工程和单价措施项目清单部分价格合理性分析和修正</w:t>
      </w:r>
      <w:r>
        <w:rPr>
          <w:highlight w:val="none"/>
        </w:rPr>
        <w:tab/>
      </w:r>
      <w:r>
        <w:rPr>
          <w:highlight w:val="none"/>
        </w:rPr>
        <w:fldChar w:fldCharType="begin"/>
      </w:r>
      <w:r>
        <w:rPr>
          <w:highlight w:val="none"/>
        </w:rPr>
        <w:instrText xml:space="preserve"> PAGEREF _Toc23795 </w:instrText>
      </w:r>
      <w:r>
        <w:rPr>
          <w:highlight w:val="none"/>
        </w:rPr>
        <w:fldChar w:fldCharType="separate"/>
      </w:r>
      <w:r>
        <w:rPr>
          <w:highlight w:val="none"/>
        </w:rPr>
        <w:t>65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_Toc20853 </w:instrText>
      </w:r>
      <w:r>
        <w:rPr>
          <w:highlight w:val="none"/>
        </w:rPr>
        <w:fldChar w:fldCharType="separate"/>
      </w:r>
      <w:r>
        <w:rPr>
          <w:rFonts w:hint="eastAsia" w:cs="Arial"/>
          <w:szCs w:val="21"/>
          <w:highlight w:val="none"/>
        </w:rPr>
        <w:t xml:space="preserve">C5.1 </w:t>
      </w:r>
      <w:r>
        <w:rPr>
          <w:rFonts w:cs="Arial"/>
          <w:szCs w:val="21"/>
          <w:highlight w:val="none"/>
        </w:rPr>
        <w:t>分部分项工程</w:t>
      </w:r>
      <w:r>
        <w:rPr>
          <w:rFonts w:hint="eastAsia" w:cs="Arial"/>
          <w:szCs w:val="21"/>
          <w:highlight w:val="none"/>
        </w:rPr>
        <w:t>和单价措施项目</w:t>
      </w:r>
      <w:r>
        <w:rPr>
          <w:rFonts w:cs="Arial"/>
          <w:szCs w:val="21"/>
          <w:highlight w:val="none"/>
        </w:rPr>
        <w:t>清单部分价格分析和修正的原则</w:t>
      </w:r>
      <w:r>
        <w:rPr>
          <w:highlight w:val="none"/>
        </w:rPr>
        <w:tab/>
      </w:r>
      <w:r>
        <w:rPr>
          <w:highlight w:val="none"/>
        </w:rPr>
        <w:fldChar w:fldCharType="begin"/>
      </w:r>
      <w:r>
        <w:rPr>
          <w:highlight w:val="none"/>
        </w:rPr>
        <w:instrText xml:space="preserve"> PAGEREF _Toc20853 </w:instrText>
      </w:r>
      <w:r>
        <w:rPr>
          <w:highlight w:val="none"/>
        </w:rPr>
        <w:fldChar w:fldCharType="separate"/>
      </w:r>
      <w:r>
        <w:rPr>
          <w:highlight w:val="none"/>
        </w:rPr>
        <w:t>65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_Toc21977 </w:instrText>
      </w:r>
      <w:r>
        <w:rPr>
          <w:highlight w:val="none"/>
        </w:rPr>
        <w:fldChar w:fldCharType="separate"/>
      </w:r>
      <w:r>
        <w:rPr>
          <w:rFonts w:hint="eastAsia" w:cs="Arial"/>
          <w:szCs w:val="21"/>
          <w:highlight w:val="none"/>
        </w:rPr>
        <w:t xml:space="preserve">C5.2  </w:t>
      </w:r>
      <w:r>
        <w:rPr>
          <w:rFonts w:cs="Arial"/>
          <w:szCs w:val="21"/>
          <w:highlight w:val="none"/>
        </w:rPr>
        <w:t>分部分项工程</w:t>
      </w:r>
      <w:r>
        <w:rPr>
          <w:rFonts w:hint="eastAsia" w:cs="Arial"/>
          <w:szCs w:val="21"/>
          <w:highlight w:val="none"/>
        </w:rPr>
        <w:t>和单价措施项目</w:t>
      </w:r>
      <w:r>
        <w:rPr>
          <w:rFonts w:cs="Arial"/>
          <w:szCs w:val="21"/>
          <w:highlight w:val="none"/>
        </w:rPr>
        <w:t>清单部分价格分析和修正的方</w:t>
      </w:r>
      <w:r>
        <w:rPr>
          <w:rFonts w:hint="eastAsia" w:cs="Arial"/>
          <w:szCs w:val="21"/>
          <w:highlight w:val="none"/>
        </w:rPr>
        <w:t>法</w:t>
      </w:r>
      <w:r>
        <w:rPr>
          <w:highlight w:val="none"/>
        </w:rPr>
        <w:tab/>
      </w:r>
      <w:r>
        <w:rPr>
          <w:highlight w:val="none"/>
        </w:rPr>
        <w:fldChar w:fldCharType="begin"/>
      </w:r>
      <w:r>
        <w:rPr>
          <w:highlight w:val="none"/>
        </w:rPr>
        <w:instrText xml:space="preserve"> PAGEREF _Toc21977 </w:instrText>
      </w:r>
      <w:r>
        <w:rPr>
          <w:highlight w:val="none"/>
        </w:rPr>
        <w:fldChar w:fldCharType="separate"/>
      </w:r>
      <w:r>
        <w:rPr>
          <w:highlight w:val="none"/>
        </w:rPr>
        <w:t>65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_Toc31902 </w:instrText>
      </w:r>
      <w:r>
        <w:rPr>
          <w:highlight w:val="none"/>
        </w:rPr>
        <w:fldChar w:fldCharType="separate"/>
      </w:r>
      <w:r>
        <w:rPr>
          <w:rFonts w:hint="eastAsia" w:cs="Arial"/>
          <w:szCs w:val="21"/>
          <w:highlight w:val="none"/>
        </w:rPr>
        <w:t>C6. 总价</w:t>
      </w:r>
      <w:r>
        <w:rPr>
          <w:rFonts w:cs="Arial"/>
          <w:szCs w:val="21"/>
          <w:highlight w:val="none"/>
        </w:rPr>
        <w:t>措施项目清单和其他项目清单部分价格合理性分析和修正</w:t>
      </w:r>
      <w:r>
        <w:rPr>
          <w:highlight w:val="none"/>
        </w:rPr>
        <w:tab/>
      </w:r>
      <w:r>
        <w:rPr>
          <w:highlight w:val="none"/>
        </w:rPr>
        <w:fldChar w:fldCharType="begin"/>
      </w:r>
      <w:r>
        <w:rPr>
          <w:highlight w:val="none"/>
        </w:rPr>
        <w:instrText xml:space="preserve"> PAGEREF _Toc31902 </w:instrText>
      </w:r>
      <w:r>
        <w:rPr>
          <w:highlight w:val="none"/>
        </w:rPr>
        <w:fldChar w:fldCharType="separate"/>
      </w:r>
      <w:r>
        <w:rPr>
          <w:highlight w:val="none"/>
        </w:rPr>
        <w:t>65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_Toc8049 </w:instrText>
      </w:r>
      <w:r>
        <w:rPr>
          <w:highlight w:val="none"/>
        </w:rPr>
        <w:fldChar w:fldCharType="separate"/>
      </w:r>
      <w:r>
        <w:rPr>
          <w:rFonts w:hint="eastAsia" w:cs="Arial"/>
          <w:szCs w:val="21"/>
          <w:highlight w:val="none"/>
        </w:rPr>
        <w:t>C6.1 总价</w:t>
      </w:r>
      <w:r>
        <w:rPr>
          <w:rFonts w:cs="Arial"/>
          <w:szCs w:val="21"/>
          <w:highlight w:val="none"/>
        </w:rPr>
        <w:t>措施项目清单和其他项目清单部分分析和修正的原则</w:t>
      </w:r>
      <w:r>
        <w:rPr>
          <w:highlight w:val="none"/>
        </w:rPr>
        <w:tab/>
      </w:r>
      <w:r>
        <w:rPr>
          <w:highlight w:val="none"/>
        </w:rPr>
        <w:fldChar w:fldCharType="begin"/>
      </w:r>
      <w:r>
        <w:rPr>
          <w:highlight w:val="none"/>
        </w:rPr>
        <w:instrText xml:space="preserve"> PAGEREF _Toc8049 </w:instrText>
      </w:r>
      <w:r>
        <w:rPr>
          <w:highlight w:val="none"/>
        </w:rPr>
        <w:fldChar w:fldCharType="separate"/>
      </w:r>
      <w:r>
        <w:rPr>
          <w:highlight w:val="none"/>
        </w:rPr>
        <w:t>65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_Toc6343 </w:instrText>
      </w:r>
      <w:r>
        <w:rPr>
          <w:highlight w:val="none"/>
        </w:rPr>
        <w:fldChar w:fldCharType="separate"/>
      </w:r>
      <w:r>
        <w:rPr>
          <w:rFonts w:hint="eastAsia" w:cs="Arial"/>
          <w:szCs w:val="21"/>
          <w:highlight w:val="none"/>
        </w:rPr>
        <w:t>C6.2 总价</w:t>
      </w:r>
      <w:r>
        <w:rPr>
          <w:rFonts w:cs="Arial"/>
          <w:szCs w:val="21"/>
          <w:highlight w:val="none"/>
        </w:rPr>
        <w:t>措施项目清单和其他项目清单部分分析和修正</w:t>
      </w:r>
      <w:r>
        <w:rPr>
          <w:highlight w:val="none"/>
        </w:rPr>
        <w:tab/>
      </w:r>
      <w:r>
        <w:rPr>
          <w:highlight w:val="none"/>
        </w:rPr>
        <w:fldChar w:fldCharType="begin"/>
      </w:r>
      <w:r>
        <w:rPr>
          <w:highlight w:val="none"/>
        </w:rPr>
        <w:instrText xml:space="preserve"> PAGEREF _Toc6343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_Toc20932 </w:instrText>
      </w:r>
      <w:r>
        <w:rPr>
          <w:highlight w:val="none"/>
        </w:rPr>
        <w:fldChar w:fldCharType="separate"/>
      </w:r>
      <w:r>
        <w:rPr>
          <w:rFonts w:hint="eastAsia" w:cs="Arial"/>
          <w:szCs w:val="21"/>
          <w:highlight w:val="none"/>
        </w:rPr>
        <w:t>C7. 企业管理费合理性分析和修正</w:t>
      </w:r>
      <w:r>
        <w:rPr>
          <w:highlight w:val="none"/>
        </w:rPr>
        <w:tab/>
      </w:r>
      <w:r>
        <w:rPr>
          <w:highlight w:val="none"/>
        </w:rPr>
        <w:fldChar w:fldCharType="begin"/>
      </w:r>
      <w:r>
        <w:rPr>
          <w:highlight w:val="none"/>
        </w:rPr>
        <w:instrText xml:space="preserve"> PAGEREF _Toc20932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_Toc6269 </w:instrText>
      </w:r>
      <w:r>
        <w:rPr>
          <w:highlight w:val="none"/>
        </w:rPr>
        <w:fldChar w:fldCharType="separate"/>
      </w:r>
      <w:r>
        <w:rPr>
          <w:rFonts w:hint="eastAsia" w:cs="Arial"/>
          <w:szCs w:val="21"/>
          <w:highlight w:val="none"/>
        </w:rPr>
        <w:t xml:space="preserve">C7.1 </w:t>
      </w:r>
      <w:r>
        <w:rPr>
          <w:rFonts w:cs="Arial"/>
          <w:szCs w:val="21"/>
          <w:highlight w:val="none"/>
        </w:rPr>
        <w:t>企业管理费分析和修正的原则</w:t>
      </w:r>
      <w:r>
        <w:rPr>
          <w:highlight w:val="none"/>
        </w:rPr>
        <w:tab/>
      </w:r>
      <w:r>
        <w:rPr>
          <w:highlight w:val="none"/>
        </w:rPr>
        <w:fldChar w:fldCharType="begin"/>
      </w:r>
      <w:r>
        <w:rPr>
          <w:highlight w:val="none"/>
        </w:rPr>
        <w:instrText xml:space="preserve"> PAGEREF _Toc6269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_Toc3383 </w:instrText>
      </w:r>
      <w:r>
        <w:rPr>
          <w:highlight w:val="none"/>
        </w:rPr>
        <w:fldChar w:fldCharType="separate"/>
      </w:r>
      <w:r>
        <w:rPr>
          <w:rFonts w:hint="eastAsia" w:cs="Arial"/>
          <w:szCs w:val="21"/>
          <w:highlight w:val="none"/>
        </w:rPr>
        <w:t xml:space="preserve">C7.2  </w:t>
      </w:r>
      <w:r>
        <w:rPr>
          <w:rFonts w:cs="Arial"/>
          <w:szCs w:val="21"/>
          <w:highlight w:val="none"/>
        </w:rPr>
        <w:t>企业管理费分析和修正的方</w:t>
      </w:r>
      <w:r>
        <w:rPr>
          <w:rFonts w:hint="eastAsia" w:cs="Arial"/>
          <w:szCs w:val="21"/>
          <w:highlight w:val="none"/>
        </w:rPr>
        <w:t>法</w:t>
      </w:r>
      <w:r>
        <w:rPr>
          <w:highlight w:val="none"/>
        </w:rPr>
        <w:tab/>
      </w:r>
      <w:r>
        <w:rPr>
          <w:highlight w:val="none"/>
        </w:rPr>
        <w:fldChar w:fldCharType="begin"/>
      </w:r>
      <w:r>
        <w:rPr>
          <w:highlight w:val="none"/>
        </w:rPr>
        <w:instrText xml:space="preserve"> PAGEREF _Toc3383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_Toc14988 </w:instrText>
      </w:r>
      <w:r>
        <w:rPr>
          <w:highlight w:val="none"/>
        </w:rPr>
        <w:fldChar w:fldCharType="separate"/>
      </w:r>
      <w:r>
        <w:rPr>
          <w:rFonts w:hint="eastAsia" w:cs="Arial"/>
          <w:szCs w:val="21"/>
          <w:highlight w:val="none"/>
        </w:rPr>
        <w:t>C8. 利润水平合理性分析和修正</w:t>
      </w:r>
      <w:r>
        <w:rPr>
          <w:highlight w:val="none"/>
        </w:rPr>
        <w:tab/>
      </w:r>
      <w:r>
        <w:rPr>
          <w:highlight w:val="none"/>
        </w:rPr>
        <w:fldChar w:fldCharType="begin"/>
      </w:r>
      <w:r>
        <w:rPr>
          <w:highlight w:val="none"/>
        </w:rPr>
        <w:instrText xml:space="preserve"> PAGEREF _Toc14988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_Toc7535 </w:instrText>
      </w:r>
      <w:r>
        <w:rPr>
          <w:highlight w:val="none"/>
        </w:rPr>
        <w:fldChar w:fldCharType="separate"/>
      </w:r>
      <w:r>
        <w:rPr>
          <w:rFonts w:hint="eastAsia" w:cs="Arial"/>
          <w:szCs w:val="21"/>
          <w:highlight w:val="none"/>
        </w:rPr>
        <w:t xml:space="preserve">C8.1  </w:t>
      </w:r>
      <w:r>
        <w:rPr>
          <w:rFonts w:cs="Arial"/>
          <w:szCs w:val="21"/>
          <w:highlight w:val="none"/>
        </w:rPr>
        <w:t>利润水平分析和修正的原则</w:t>
      </w:r>
      <w:r>
        <w:rPr>
          <w:highlight w:val="none"/>
        </w:rPr>
        <w:tab/>
      </w:r>
      <w:r>
        <w:rPr>
          <w:highlight w:val="none"/>
        </w:rPr>
        <w:fldChar w:fldCharType="begin"/>
      </w:r>
      <w:r>
        <w:rPr>
          <w:highlight w:val="none"/>
        </w:rPr>
        <w:instrText xml:space="preserve"> PAGEREF _Toc7535 </w:instrText>
      </w:r>
      <w:r>
        <w:rPr>
          <w:highlight w:val="none"/>
        </w:rPr>
        <w:fldChar w:fldCharType="separate"/>
      </w:r>
      <w:r>
        <w:rPr>
          <w:highlight w:val="none"/>
        </w:rPr>
        <w:t>66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_Toc19408 </w:instrText>
      </w:r>
      <w:r>
        <w:rPr>
          <w:highlight w:val="none"/>
        </w:rPr>
        <w:fldChar w:fldCharType="separate"/>
      </w:r>
      <w:r>
        <w:rPr>
          <w:rFonts w:hint="eastAsia" w:cs="Arial"/>
          <w:szCs w:val="21"/>
          <w:highlight w:val="none"/>
        </w:rPr>
        <w:t xml:space="preserve">C8.2  </w:t>
      </w:r>
      <w:r>
        <w:rPr>
          <w:rFonts w:cs="Arial"/>
          <w:szCs w:val="21"/>
          <w:highlight w:val="none"/>
        </w:rPr>
        <w:t>利润水平分析和修正的方</w:t>
      </w:r>
      <w:r>
        <w:rPr>
          <w:rFonts w:hint="eastAsia" w:cs="Arial"/>
          <w:szCs w:val="21"/>
          <w:highlight w:val="none"/>
        </w:rPr>
        <w:t>法</w:t>
      </w:r>
      <w:r>
        <w:rPr>
          <w:highlight w:val="none"/>
        </w:rPr>
        <w:tab/>
      </w:r>
      <w:r>
        <w:rPr>
          <w:highlight w:val="none"/>
        </w:rPr>
        <w:fldChar w:fldCharType="begin"/>
      </w:r>
      <w:r>
        <w:rPr>
          <w:highlight w:val="none"/>
        </w:rPr>
        <w:instrText xml:space="preserve"> PAGEREF _Toc19408 </w:instrText>
      </w:r>
      <w:r>
        <w:rPr>
          <w:highlight w:val="none"/>
        </w:rPr>
        <w:fldChar w:fldCharType="separate"/>
      </w:r>
      <w:r>
        <w:rPr>
          <w:highlight w:val="none"/>
        </w:rPr>
        <w:t>67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_Toc13441 </w:instrText>
      </w:r>
      <w:r>
        <w:rPr>
          <w:highlight w:val="none"/>
        </w:rPr>
        <w:fldChar w:fldCharType="separate"/>
      </w:r>
      <w:r>
        <w:rPr>
          <w:rFonts w:hint="eastAsia" w:cs="Arial"/>
          <w:szCs w:val="21"/>
          <w:highlight w:val="none"/>
        </w:rPr>
        <w:t>C9. 法定税金和规费的完整性分析和修正</w:t>
      </w:r>
      <w:r>
        <w:rPr>
          <w:highlight w:val="none"/>
        </w:rPr>
        <w:tab/>
      </w:r>
      <w:r>
        <w:rPr>
          <w:highlight w:val="none"/>
        </w:rPr>
        <w:fldChar w:fldCharType="begin"/>
      </w:r>
      <w:r>
        <w:rPr>
          <w:highlight w:val="none"/>
        </w:rPr>
        <w:instrText xml:space="preserve"> PAGEREF _Toc13441 </w:instrText>
      </w:r>
      <w:r>
        <w:rPr>
          <w:highlight w:val="none"/>
        </w:rPr>
        <w:fldChar w:fldCharType="separate"/>
      </w:r>
      <w:r>
        <w:rPr>
          <w:highlight w:val="none"/>
        </w:rPr>
        <w:t>67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_Toc29732 </w:instrText>
      </w:r>
      <w:r>
        <w:rPr>
          <w:highlight w:val="none"/>
        </w:rPr>
        <w:fldChar w:fldCharType="separate"/>
      </w:r>
      <w:r>
        <w:rPr>
          <w:rFonts w:hint="eastAsia" w:cs="Arial"/>
          <w:szCs w:val="21"/>
          <w:highlight w:val="none"/>
        </w:rPr>
        <w:t>C10. 不平衡报价分析和修正</w:t>
      </w:r>
      <w:r>
        <w:rPr>
          <w:highlight w:val="none"/>
        </w:rPr>
        <w:tab/>
      </w:r>
      <w:r>
        <w:rPr>
          <w:highlight w:val="none"/>
        </w:rPr>
        <w:fldChar w:fldCharType="begin"/>
      </w:r>
      <w:r>
        <w:rPr>
          <w:highlight w:val="none"/>
        </w:rPr>
        <w:instrText xml:space="preserve"> PAGEREF _Toc29732 </w:instrText>
      </w:r>
      <w:r>
        <w:rPr>
          <w:highlight w:val="none"/>
        </w:rPr>
        <w:fldChar w:fldCharType="separate"/>
      </w:r>
      <w:r>
        <w:rPr>
          <w:highlight w:val="none"/>
        </w:rPr>
        <w:t>67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_Toc2187 </w:instrText>
      </w:r>
      <w:r>
        <w:rPr>
          <w:highlight w:val="none"/>
        </w:rPr>
        <w:fldChar w:fldCharType="separate"/>
      </w:r>
      <w:r>
        <w:rPr>
          <w:rFonts w:hint="eastAsia" w:cs="Arial"/>
          <w:szCs w:val="21"/>
          <w:highlight w:val="none"/>
        </w:rPr>
        <w:t>C11. 对投标报价的澄清和说明</w:t>
      </w:r>
      <w:r>
        <w:rPr>
          <w:highlight w:val="none"/>
        </w:rPr>
        <w:tab/>
      </w:r>
      <w:r>
        <w:rPr>
          <w:highlight w:val="none"/>
        </w:rPr>
        <w:fldChar w:fldCharType="begin"/>
      </w:r>
      <w:r>
        <w:rPr>
          <w:highlight w:val="none"/>
        </w:rPr>
        <w:instrText xml:space="preserve"> PAGEREF _Toc2187 </w:instrText>
      </w:r>
      <w:r>
        <w:rPr>
          <w:highlight w:val="none"/>
        </w:rPr>
        <w:fldChar w:fldCharType="separate"/>
      </w:r>
      <w:r>
        <w:rPr>
          <w:highlight w:val="none"/>
        </w:rPr>
        <w:t>67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_Toc20501 </w:instrText>
      </w:r>
      <w:r>
        <w:rPr>
          <w:highlight w:val="none"/>
        </w:rPr>
        <w:fldChar w:fldCharType="separate"/>
      </w:r>
      <w:r>
        <w:rPr>
          <w:rFonts w:hint="eastAsia" w:cs="Arial"/>
          <w:szCs w:val="21"/>
          <w:highlight w:val="none"/>
        </w:rPr>
        <w:t>C12. 判断投标报价是否低于成本</w:t>
      </w:r>
      <w:r>
        <w:rPr>
          <w:highlight w:val="none"/>
        </w:rPr>
        <w:tab/>
      </w:r>
      <w:r>
        <w:rPr>
          <w:highlight w:val="none"/>
        </w:rPr>
        <w:fldChar w:fldCharType="begin"/>
      </w:r>
      <w:r>
        <w:rPr>
          <w:highlight w:val="none"/>
        </w:rPr>
        <w:instrText xml:space="preserve"> PAGEREF _Toc20501 </w:instrText>
      </w:r>
      <w:r>
        <w:rPr>
          <w:highlight w:val="none"/>
        </w:rPr>
        <w:fldChar w:fldCharType="separate"/>
      </w:r>
      <w:r>
        <w:rPr>
          <w:highlight w:val="none"/>
        </w:rPr>
        <w:t>67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_Toc12070 </w:instrText>
      </w:r>
      <w:r>
        <w:rPr>
          <w:highlight w:val="none"/>
        </w:rPr>
        <w:fldChar w:fldCharType="separate"/>
      </w:r>
      <w:r>
        <w:rPr>
          <w:rFonts w:hint="eastAsia" w:ascii="黑体" w:hAnsi="宋体" w:cs="Arial"/>
          <w:bCs w:val="0"/>
          <w:highlight w:val="none"/>
        </w:rPr>
        <w:t>附件D：备选投标方案的评审方法</w:t>
      </w:r>
      <w:r>
        <w:rPr>
          <w:highlight w:val="none"/>
        </w:rPr>
        <w:tab/>
      </w:r>
      <w:r>
        <w:rPr>
          <w:highlight w:val="none"/>
        </w:rPr>
        <w:fldChar w:fldCharType="begin"/>
      </w:r>
      <w:r>
        <w:rPr>
          <w:highlight w:val="none"/>
        </w:rPr>
        <w:instrText xml:space="preserve"> PAGEREF _Toc12070 </w:instrText>
      </w:r>
      <w:r>
        <w:rPr>
          <w:highlight w:val="none"/>
        </w:rPr>
        <w:fldChar w:fldCharType="separate"/>
      </w:r>
      <w:r>
        <w:rPr>
          <w:highlight w:val="none"/>
        </w:rPr>
        <w:t>69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_Toc25878 </w:instrText>
      </w:r>
      <w:r>
        <w:rPr>
          <w:highlight w:val="none"/>
        </w:rPr>
        <w:fldChar w:fldCharType="separate"/>
      </w:r>
      <w:r>
        <w:rPr>
          <w:rFonts w:hint="eastAsia" w:cs="Arial"/>
          <w:szCs w:val="21"/>
          <w:highlight w:val="none"/>
        </w:rPr>
        <w:t>D0. 总  则</w:t>
      </w:r>
      <w:r>
        <w:rPr>
          <w:highlight w:val="none"/>
        </w:rPr>
        <w:tab/>
      </w:r>
      <w:r>
        <w:rPr>
          <w:highlight w:val="none"/>
        </w:rPr>
        <w:fldChar w:fldCharType="begin"/>
      </w:r>
      <w:r>
        <w:rPr>
          <w:highlight w:val="none"/>
        </w:rPr>
        <w:instrText xml:space="preserve"> PAGEREF _Toc25878 </w:instrText>
      </w:r>
      <w:r>
        <w:rPr>
          <w:highlight w:val="none"/>
        </w:rPr>
        <w:fldChar w:fldCharType="separate"/>
      </w:r>
      <w:r>
        <w:rPr>
          <w:highlight w:val="none"/>
        </w:rPr>
        <w:t>69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_Toc11600 </w:instrText>
      </w:r>
      <w:r>
        <w:rPr>
          <w:highlight w:val="none"/>
        </w:rPr>
        <w:fldChar w:fldCharType="separate"/>
      </w:r>
      <w:r>
        <w:rPr>
          <w:rFonts w:hint="eastAsia" w:cs="Arial"/>
          <w:szCs w:val="21"/>
          <w:highlight w:val="none"/>
        </w:rPr>
        <w:t>D1. 备选投标方案的评审规定</w:t>
      </w:r>
      <w:r>
        <w:rPr>
          <w:highlight w:val="none"/>
        </w:rPr>
        <w:tab/>
      </w:r>
      <w:r>
        <w:rPr>
          <w:highlight w:val="none"/>
        </w:rPr>
        <w:fldChar w:fldCharType="begin"/>
      </w:r>
      <w:r>
        <w:rPr>
          <w:highlight w:val="none"/>
        </w:rPr>
        <w:instrText xml:space="preserve"> PAGEREF _Toc11600 </w:instrText>
      </w:r>
      <w:r>
        <w:rPr>
          <w:highlight w:val="none"/>
        </w:rPr>
        <w:fldChar w:fldCharType="separate"/>
      </w:r>
      <w:r>
        <w:rPr>
          <w:highlight w:val="none"/>
        </w:rPr>
        <w:t>69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_Toc11316 </w:instrText>
      </w:r>
      <w:r>
        <w:rPr>
          <w:highlight w:val="none"/>
        </w:rPr>
        <w:fldChar w:fldCharType="separate"/>
      </w:r>
      <w:r>
        <w:rPr>
          <w:rFonts w:hint="eastAsia"/>
          <w:highlight w:val="none"/>
        </w:rPr>
        <w:t>E1. 总  则</w:t>
      </w:r>
      <w:r>
        <w:rPr>
          <w:highlight w:val="none"/>
        </w:rPr>
        <w:tab/>
      </w:r>
      <w:r>
        <w:rPr>
          <w:highlight w:val="none"/>
        </w:rPr>
        <w:fldChar w:fldCharType="begin"/>
      </w:r>
      <w:r>
        <w:rPr>
          <w:highlight w:val="none"/>
        </w:rPr>
        <w:instrText xml:space="preserve"> PAGEREF _Toc11316 </w:instrText>
      </w:r>
      <w:r>
        <w:rPr>
          <w:highlight w:val="none"/>
        </w:rPr>
        <w:fldChar w:fldCharType="separate"/>
      </w:r>
      <w:r>
        <w:rPr>
          <w:highlight w:val="none"/>
        </w:rPr>
        <w:t>70</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_Toc10176 </w:instrText>
      </w:r>
      <w:r>
        <w:rPr>
          <w:highlight w:val="none"/>
        </w:rPr>
        <w:fldChar w:fldCharType="separate"/>
      </w:r>
      <w:r>
        <w:rPr>
          <w:rFonts w:hint="eastAsia"/>
          <w:highlight w:val="none"/>
        </w:rPr>
        <w:t>E2. 计算机辅助评标操作细则</w:t>
      </w:r>
      <w:r>
        <w:rPr>
          <w:highlight w:val="none"/>
        </w:rPr>
        <w:tab/>
      </w:r>
      <w:r>
        <w:rPr>
          <w:highlight w:val="none"/>
        </w:rPr>
        <w:fldChar w:fldCharType="begin"/>
      </w:r>
      <w:r>
        <w:rPr>
          <w:highlight w:val="none"/>
        </w:rPr>
        <w:instrText xml:space="preserve"> PAGEREF _Toc10176 </w:instrText>
      </w:r>
      <w:r>
        <w:rPr>
          <w:highlight w:val="none"/>
        </w:rPr>
        <w:fldChar w:fldCharType="separate"/>
      </w:r>
      <w:r>
        <w:rPr>
          <w:highlight w:val="none"/>
        </w:rPr>
        <w:t>70</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_Toc4007 </w:instrText>
      </w:r>
      <w:r>
        <w:rPr>
          <w:highlight w:val="none"/>
        </w:rPr>
        <w:fldChar w:fldCharType="separate"/>
      </w:r>
      <w:r>
        <w:rPr>
          <w:rFonts w:hint="eastAsia"/>
          <w:highlight w:val="none"/>
        </w:rPr>
        <w:t xml:space="preserve">M= 1     </w:t>
      </w:r>
      <w:r>
        <w:rPr>
          <w:highlight w:val="none"/>
        </w:rPr>
        <w:tab/>
      </w:r>
      <w:r>
        <w:rPr>
          <w:highlight w:val="none"/>
        </w:rPr>
        <w:fldChar w:fldCharType="begin"/>
      </w:r>
      <w:r>
        <w:rPr>
          <w:highlight w:val="none"/>
        </w:rPr>
        <w:instrText xml:space="preserve"> PAGEREF _Toc4007 </w:instrText>
      </w:r>
      <w:r>
        <w:rPr>
          <w:highlight w:val="none"/>
        </w:rPr>
        <w:fldChar w:fldCharType="separate"/>
      </w:r>
      <w:r>
        <w:rPr>
          <w:highlight w:val="none"/>
        </w:rPr>
        <w:t>86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_Toc16066 </w:instrText>
      </w:r>
      <w:r>
        <w:rPr>
          <w:highlight w:val="none"/>
        </w:rPr>
        <w:fldChar w:fldCharType="separate"/>
      </w:r>
      <w:r>
        <w:rPr>
          <w:rFonts w:hint="eastAsia" w:ascii="黑体" w:hAnsi="黑体" w:eastAsia="黑体" w:cs="Times New Roman"/>
          <w:kern w:val="0"/>
          <w:szCs w:val="30"/>
          <w:highlight w:val="none"/>
        </w:rPr>
        <w:t>第四章  合同条款及格式</w:t>
      </w:r>
      <w:r>
        <w:rPr>
          <w:highlight w:val="none"/>
        </w:rPr>
        <w:tab/>
      </w:r>
      <w:r>
        <w:rPr>
          <w:highlight w:val="none"/>
        </w:rPr>
        <w:fldChar w:fldCharType="begin"/>
      </w:r>
      <w:r>
        <w:rPr>
          <w:highlight w:val="none"/>
        </w:rPr>
        <w:instrText xml:space="preserve"> PAGEREF _Toc16066 </w:instrText>
      </w:r>
      <w:r>
        <w:rPr>
          <w:highlight w:val="none"/>
        </w:rPr>
        <w:fldChar w:fldCharType="separate"/>
      </w:r>
      <w:r>
        <w:rPr>
          <w:highlight w:val="none"/>
        </w:rPr>
        <w:t>95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_Toc22962 </w:instrText>
      </w:r>
      <w:r>
        <w:rPr>
          <w:highlight w:val="none"/>
        </w:rPr>
        <w:fldChar w:fldCharType="separate"/>
      </w:r>
      <w:r>
        <w:rPr>
          <w:rFonts w:hint="eastAsia" w:ascii="Arial" w:hAnsi="Arial" w:cs="Arial"/>
          <w:highlight w:val="none"/>
        </w:rPr>
        <w:t>第一节 通用合同条款</w:t>
      </w:r>
      <w:r>
        <w:rPr>
          <w:highlight w:val="none"/>
        </w:rPr>
        <w:tab/>
      </w:r>
      <w:r>
        <w:rPr>
          <w:highlight w:val="none"/>
        </w:rPr>
        <w:fldChar w:fldCharType="begin"/>
      </w:r>
      <w:r>
        <w:rPr>
          <w:highlight w:val="none"/>
        </w:rPr>
        <w:instrText xml:space="preserve"> PAGEREF _Toc22962 </w:instrText>
      </w:r>
      <w:r>
        <w:rPr>
          <w:highlight w:val="none"/>
        </w:rPr>
        <w:fldChar w:fldCharType="separate"/>
      </w:r>
      <w:r>
        <w:rPr>
          <w:highlight w:val="none"/>
        </w:rPr>
        <w:t>95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_Toc14861 </w:instrText>
      </w:r>
      <w:r>
        <w:rPr>
          <w:highlight w:val="none"/>
        </w:rPr>
        <w:fldChar w:fldCharType="separate"/>
      </w:r>
      <w:r>
        <w:rPr>
          <w:rFonts w:hint="eastAsia"/>
          <w:highlight w:val="none"/>
        </w:rPr>
        <w:t>1. 一般约定</w:t>
      </w:r>
      <w:r>
        <w:rPr>
          <w:highlight w:val="none"/>
        </w:rPr>
        <w:tab/>
      </w:r>
      <w:r>
        <w:rPr>
          <w:highlight w:val="none"/>
        </w:rPr>
        <w:fldChar w:fldCharType="begin"/>
      </w:r>
      <w:r>
        <w:rPr>
          <w:highlight w:val="none"/>
        </w:rPr>
        <w:instrText xml:space="preserve"> PAGEREF _Toc14861 </w:instrText>
      </w:r>
      <w:r>
        <w:rPr>
          <w:highlight w:val="none"/>
        </w:rPr>
        <w:fldChar w:fldCharType="separate"/>
      </w:r>
      <w:r>
        <w:rPr>
          <w:highlight w:val="none"/>
        </w:rPr>
        <w:t>96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_Toc18347 </w:instrText>
      </w:r>
      <w:r>
        <w:rPr>
          <w:highlight w:val="none"/>
        </w:rPr>
        <w:fldChar w:fldCharType="separate"/>
      </w:r>
      <w:r>
        <w:rPr>
          <w:rFonts w:hint="eastAsia"/>
          <w:highlight w:val="none"/>
        </w:rPr>
        <w:t>1.1 词语定义</w:t>
      </w:r>
      <w:r>
        <w:rPr>
          <w:highlight w:val="none"/>
        </w:rPr>
        <w:tab/>
      </w:r>
      <w:r>
        <w:rPr>
          <w:highlight w:val="none"/>
        </w:rPr>
        <w:fldChar w:fldCharType="begin"/>
      </w:r>
      <w:r>
        <w:rPr>
          <w:highlight w:val="none"/>
        </w:rPr>
        <w:instrText xml:space="preserve"> PAGEREF _Toc18347 </w:instrText>
      </w:r>
      <w:r>
        <w:rPr>
          <w:highlight w:val="none"/>
        </w:rPr>
        <w:fldChar w:fldCharType="separate"/>
      </w:r>
      <w:r>
        <w:rPr>
          <w:highlight w:val="none"/>
        </w:rPr>
        <w:t>96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_Toc3123 </w:instrText>
      </w:r>
      <w:r>
        <w:rPr>
          <w:highlight w:val="none"/>
        </w:rPr>
        <w:fldChar w:fldCharType="separate"/>
      </w:r>
      <w:r>
        <w:rPr>
          <w:rFonts w:hint="eastAsia"/>
          <w:highlight w:val="none"/>
        </w:rPr>
        <w:t>1.1.6.1 书面形式：指合同文件、信函、电报、传真等可以有形地表现所载内容的形式。</w:t>
      </w:r>
      <w:r>
        <w:rPr>
          <w:highlight w:val="none"/>
        </w:rPr>
        <w:tab/>
      </w:r>
      <w:r>
        <w:rPr>
          <w:highlight w:val="none"/>
        </w:rPr>
        <w:fldChar w:fldCharType="begin"/>
      </w:r>
      <w:r>
        <w:rPr>
          <w:highlight w:val="none"/>
        </w:rPr>
        <w:instrText xml:space="preserve"> PAGEREF _Toc3123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_Toc18983 </w:instrText>
      </w:r>
      <w:r>
        <w:rPr>
          <w:highlight w:val="none"/>
        </w:rPr>
        <w:fldChar w:fldCharType="separate"/>
      </w:r>
      <w:r>
        <w:rPr>
          <w:rFonts w:hint="eastAsia"/>
          <w:highlight w:val="none"/>
        </w:rPr>
        <w:t>1.2 语言文字</w:t>
      </w:r>
      <w:r>
        <w:rPr>
          <w:highlight w:val="none"/>
        </w:rPr>
        <w:tab/>
      </w:r>
      <w:r>
        <w:rPr>
          <w:highlight w:val="none"/>
        </w:rPr>
        <w:fldChar w:fldCharType="begin"/>
      </w:r>
      <w:r>
        <w:rPr>
          <w:highlight w:val="none"/>
        </w:rPr>
        <w:instrText xml:space="preserve"> PAGEREF _Toc18983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_Toc12949 </w:instrText>
      </w:r>
      <w:r>
        <w:rPr>
          <w:highlight w:val="none"/>
        </w:rPr>
        <w:fldChar w:fldCharType="separate"/>
      </w:r>
      <w:r>
        <w:rPr>
          <w:rFonts w:hint="eastAsia"/>
          <w:highlight w:val="none"/>
        </w:rPr>
        <w:t>1.3 法律</w:t>
      </w:r>
      <w:r>
        <w:rPr>
          <w:highlight w:val="none"/>
        </w:rPr>
        <w:tab/>
      </w:r>
      <w:r>
        <w:rPr>
          <w:highlight w:val="none"/>
        </w:rPr>
        <w:fldChar w:fldCharType="begin"/>
      </w:r>
      <w:r>
        <w:rPr>
          <w:highlight w:val="none"/>
        </w:rPr>
        <w:instrText xml:space="preserve"> PAGEREF _Toc12949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_Toc923 </w:instrText>
      </w:r>
      <w:r>
        <w:rPr>
          <w:highlight w:val="none"/>
        </w:rPr>
        <w:fldChar w:fldCharType="separate"/>
      </w:r>
      <w:r>
        <w:rPr>
          <w:rFonts w:hint="eastAsia"/>
          <w:highlight w:val="none"/>
        </w:rPr>
        <w:t>1.4 合同文件的优先顺序</w:t>
      </w:r>
      <w:r>
        <w:rPr>
          <w:highlight w:val="none"/>
        </w:rPr>
        <w:tab/>
      </w:r>
      <w:r>
        <w:rPr>
          <w:highlight w:val="none"/>
        </w:rPr>
        <w:fldChar w:fldCharType="begin"/>
      </w:r>
      <w:r>
        <w:rPr>
          <w:highlight w:val="none"/>
        </w:rPr>
        <w:instrText xml:space="preserve"> PAGEREF _Toc923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_Toc24073 </w:instrText>
      </w:r>
      <w:r>
        <w:rPr>
          <w:highlight w:val="none"/>
        </w:rPr>
        <w:fldChar w:fldCharType="separate"/>
      </w:r>
      <w:r>
        <w:rPr>
          <w:rFonts w:hint="eastAsia"/>
          <w:highlight w:val="none"/>
        </w:rPr>
        <w:t>1.5 合同协议书</w:t>
      </w:r>
      <w:r>
        <w:rPr>
          <w:highlight w:val="none"/>
        </w:rPr>
        <w:tab/>
      </w:r>
      <w:r>
        <w:rPr>
          <w:highlight w:val="none"/>
        </w:rPr>
        <w:fldChar w:fldCharType="begin"/>
      </w:r>
      <w:r>
        <w:rPr>
          <w:highlight w:val="none"/>
        </w:rPr>
        <w:instrText xml:space="preserve"> PAGEREF _Toc24073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_Toc24818 </w:instrText>
      </w:r>
      <w:r>
        <w:rPr>
          <w:highlight w:val="none"/>
        </w:rPr>
        <w:fldChar w:fldCharType="separate"/>
      </w:r>
      <w:r>
        <w:rPr>
          <w:rFonts w:hint="eastAsia"/>
          <w:highlight w:val="none"/>
        </w:rPr>
        <w:t>1.6 图纸和承包人文件</w:t>
      </w:r>
      <w:r>
        <w:rPr>
          <w:highlight w:val="none"/>
        </w:rPr>
        <w:tab/>
      </w:r>
      <w:r>
        <w:rPr>
          <w:highlight w:val="none"/>
        </w:rPr>
        <w:fldChar w:fldCharType="begin"/>
      </w:r>
      <w:r>
        <w:rPr>
          <w:highlight w:val="none"/>
        </w:rPr>
        <w:instrText xml:space="preserve"> PAGEREF _Toc24818 </w:instrText>
      </w:r>
      <w:r>
        <w:rPr>
          <w:highlight w:val="none"/>
        </w:rPr>
        <w:fldChar w:fldCharType="separate"/>
      </w:r>
      <w:r>
        <w:rPr>
          <w:highlight w:val="none"/>
        </w:rPr>
        <w:t>98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_Toc29069 </w:instrText>
      </w:r>
      <w:r>
        <w:rPr>
          <w:highlight w:val="none"/>
        </w:rPr>
        <w:fldChar w:fldCharType="separate"/>
      </w:r>
      <w:r>
        <w:rPr>
          <w:rFonts w:hint="eastAsia"/>
          <w:highlight w:val="none"/>
        </w:rPr>
        <w:t>1.7 联络</w:t>
      </w:r>
      <w:r>
        <w:rPr>
          <w:highlight w:val="none"/>
        </w:rPr>
        <w:tab/>
      </w:r>
      <w:r>
        <w:rPr>
          <w:highlight w:val="none"/>
        </w:rPr>
        <w:fldChar w:fldCharType="begin"/>
      </w:r>
      <w:r>
        <w:rPr>
          <w:highlight w:val="none"/>
        </w:rPr>
        <w:instrText xml:space="preserve"> PAGEREF _Toc29069 </w:instrText>
      </w:r>
      <w:r>
        <w:rPr>
          <w:highlight w:val="none"/>
        </w:rPr>
        <w:fldChar w:fldCharType="separate"/>
      </w:r>
      <w:r>
        <w:rPr>
          <w:highlight w:val="none"/>
        </w:rPr>
        <w:t>99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_Toc17384 </w:instrText>
      </w:r>
      <w:r>
        <w:rPr>
          <w:highlight w:val="none"/>
        </w:rPr>
        <w:fldChar w:fldCharType="separate"/>
      </w:r>
      <w:r>
        <w:rPr>
          <w:rFonts w:hint="eastAsia"/>
          <w:highlight w:val="none"/>
        </w:rPr>
        <w:t>1.8 转让</w:t>
      </w:r>
      <w:r>
        <w:rPr>
          <w:highlight w:val="none"/>
        </w:rPr>
        <w:tab/>
      </w:r>
      <w:r>
        <w:rPr>
          <w:highlight w:val="none"/>
        </w:rPr>
        <w:fldChar w:fldCharType="begin"/>
      </w:r>
      <w:r>
        <w:rPr>
          <w:highlight w:val="none"/>
        </w:rPr>
        <w:instrText xml:space="preserve"> PAGEREF _Toc17384 </w:instrText>
      </w:r>
      <w:r>
        <w:rPr>
          <w:highlight w:val="none"/>
        </w:rPr>
        <w:fldChar w:fldCharType="separate"/>
      </w:r>
      <w:r>
        <w:rPr>
          <w:highlight w:val="none"/>
        </w:rPr>
        <w:t>99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_Toc4033 </w:instrText>
      </w:r>
      <w:r>
        <w:rPr>
          <w:highlight w:val="none"/>
        </w:rPr>
        <w:fldChar w:fldCharType="separate"/>
      </w:r>
      <w:r>
        <w:rPr>
          <w:rFonts w:hint="eastAsia"/>
          <w:highlight w:val="none"/>
        </w:rPr>
        <w:t>1.9 严禁贿赂</w:t>
      </w:r>
      <w:r>
        <w:rPr>
          <w:highlight w:val="none"/>
        </w:rPr>
        <w:tab/>
      </w:r>
      <w:r>
        <w:rPr>
          <w:highlight w:val="none"/>
        </w:rPr>
        <w:fldChar w:fldCharType="begin"/>
      </w:r>
      <w:r>
        <w:rPr>
          <w:highlight w:val="none"/>
        </w:rPr>
        <w:instrText xml:space="preserve"> PAGEREF _Toc4033 </w:instrText>
      </w:r>
      <w:r>
        <w:rPr>
          <w:highlight w:val="none"/>
        </w:rPr>
        <w:fldChar w:fldCharType="separate"/>
      </w:r>
      <w:r>
        <w:rPr>
          <w:highlight w:val="none"/>
        </w:rPr>
        <w:t>99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_Toc13611 </w:instrText>
      </w:r>
      <w:r>
        <w:rPr>
          <w:highlight w:val="none"/>
        </w:rPr>
        <w:fldChar w:fldCharType="separate"/>
      </w:r>
      <w:r>
        <w:rPr>
          <w:rFonts w:hint="eastAsia"/>
          <w:highlight w:val="none"/>
        </w:rPr>
        <w:t>1.10 化石、文物</w:t>
      </w:r>
      <w:r>
        <w:rPr>
          <w:highlight w:val="none"/>
        </w:rPr>
        <w:tab/>
      </w:r>
      <w:r>
        <w:rPr>
          <w:highlight w:val="none"/>
        </w:rPr>
        <w:fldChar w:fldCharType="begin"/>
      </w:r>
      <w:r>
        <w:rPr>
          <w:highlight w:val="none"/>
        </w:rPr>
        <w:instrText xml:space="preserve"> PAGEREF _Toc13611 </w:instrText>
      </w:r>
      <w:r>
        <w:rPr>
          <w:highlight w:val="none"/>
        </w:rPr>
        <w:fldChar w:fldCharType="separate"/>
      </w:r>
      <w:r>
        <w:rPr>
          <w:highlight w:val="none"/>
        </w:rPr>
        <w:t>99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_Toc29948 </w:instrText>
      </w:r>
      <w:r>
        <w:rPr>
          <w:highlight w:val="none"/>
        </w:rPr>
        <w:fldChar w:fldCharType="separate"/>
      </w:r>
      <w:r>
        <w:rPr>
          <w:rFonts w:hint="eastAsia"/>
          <w:highlight w:val="none"/>
        </w:rPr>
        <w:t>1.11 专利技术</w:t>
      </w:r>
      <w:r>
        <w:rPr>
          <w:highlight w:val="none"/>
        </w:rPr>
        <w:tab/>
      </w:r>
      <w:r>
        <w:rPr>
          <w:highlight w:val="none"/>
        </w:rPr>
        <w:fldChar w:fldCharType="begin"/>
      </w:r>
      <w:r>
        <w:rPr>
          <w:highlight w:val="none"/>
        </w:rPr>
        <w:instrText xml:space="preserve"> PAGEREF _Toc29948 </w:instrText>
      </w:r>
      <w:r>
        <w:rPr>
          <w:highlight w:val="none"/>
        </w:rPr>
        <w:fldChar w:fldCharType="separate"/>
      </w:r>
      <w:r>
        <w:rPr>
          <w:highlight w:val="none"/>
        </w:rPr>
        <w:t>99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_Toc1167 </w:instrText>
      </w:r>
      <w:r>
        <w:rPr>
          <w:highlight w:val="none"/>
        </w:rPr>
        <w:fldChar w:fldCharType="separate"/>
      </w:r>
      <w:r>
        <w:rPr>
          <w:rFonts w:hint="eastAsia"/>
          <w:highlight w:val="none"/>
        </w:rPr>
        <w:t>1.12 图纸和文件的保密</w:t>
      </w:r>
      <w:r>
        <w:rPr>
          <w:highlight w:val="none"/>
        </w:rPr>
        <w:tab/>
      </w:r>
      <w:r>
        <w:rPr>
          <w:highlight w:val="none"/>
        </w:rPr>
        <w:fldChar w:fldCharType="begin"/>
      </w:r>
      <w:r>
        <w:rPr>
          <w:highlight w:val="none"/>
        </w:rPr>
        <w:instrText xml:space="preserve"> PAGEREF _Toc1167 </w:instrText>
      </w:r>
      <w:r>
        <w:rPr>
          <w:highlight w:val="none"/>
        </w:rPr>
        <w:fldChar w:fldCharType="separate"/>
      </w:r>
      <w:r>
        <w:rPr>
          <w:highlight w:val="none"/>
        </w:rPr>
        <w:t>100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_Toc2868 </w:instrText>
      </w:r>
      <w:r>
        <w:rPr>
          <w:highlight w:val="none"/>
        </w:rPr>
        <w:fldChar w:fldCharType="separate"/>
      </w:r>
      <w:r>
        <w:rPr>
          <w:rFonts w:hint="eastAsia"/>
          <w:highlight w:val="none"/>
        </w:rPr>
        <w:t>2. 发包人义务</w:t>
      </w:r>
      <w:r>
        <w:rPr>
          <w:highlight w:val="none"/>
        </w:rPr>
        <w:tab/>
      </w:r>
      <w:r>
        <w:rPr>
          <w:highlight w:val="none"/>
        </w:rPr>
        <w:fldChar w:fldCharType="begin"/>
      </w:r>
      <w:r>
        <w:rPr>
          <w:highlight w:val="none"/>
        </w:rPr>
        <w:instrText xml:space="preserve"> PAGEREF _Toc2868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_Toc12249 </w:instrText>
      </w:r>
      <w:r>
        <w:rPr>
          <w:highlight w:val="none"/>
        </w:rPr>
        <w:fldChar w:fldCharType="separate"/>
      </w:r>
      <w:r>
        <w:rPr>
          <w:rFonts w:hint="eastAsia"/>
          <w:highlight w:val="none"/>
        </w:rPr>
        <w:t>2.1 遵守法律</w:t>
      </w:r>
      <w:r>
        <w:rPr>
          <w:highlight w:val="none"/>
        </w:rPr>
        <w:tab/>
      </w:r>
      <w:r>
        <w:rPr>
          <w:highlight w:val="none"/>
        </w:rPr>
        <w:fldChar w:fldCharType="begin"/>
      </w:r>
      <w:r>
        <w:rPr>
          <w:highlight w:val="none"/>
        </w:rPr>
        <w:instrText xml:space="preserve"> PAGEREF _Toc12249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_Toc19996 </w:instrText>
      </w:r>
      <w:r>
        <w:rPr>
          <w:highlight w:val="none"/>
        </w:rPr>
        <w:fldChar w:fldCharType="separate"/>
      </w:r>
      <w:r>
        <w:rPr>
          <w:rFonts w:hint="eastAsia"/>
          <w:highlight w:val="none"/>
        </w:rPr>
        <w:t>2.2 发出开工通知</w:t>
      </w:r>
      <w:r>
        <w:rPr>
          <w:highlight w:val="none"/>
        </w:rPr>
        <w:tab/>
      </w:r>
      <w:r>
        <w:rPr>
          <w:highlight w:val="none"/>
        </w:rPr>
        <w:fldChar w:fldCharType="begin"/>
      </w:r>
      <w:r>
        <w:rPr>
          <w:highlight w:val="none"/>
        </w:rPr>
        <w:instrText xml:space="preserve"> PAGEREF _Toc19996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_Toc27886 </w:instrText>
      </w:r>
      <w:r>
        <w:rPr>
          <w:highlight w:val="none"/>
        </w:rPr>
        <w:fldChar w:fldCharType="separate"/>
      </w:r>
      <w:r>
        <w:rPr>
          <w:rFonts w:hint="eastAsia"/>
          <w:highlight w:val="none"/>
        </w:rPr>
        <w:t>2.3 提供施工场地</w:t>
      </w:r>
      <w:r>
        <w:rPr>
          <w:highlight w:val="none"/>
        </w:rPr>
        <w:tab/>
      </w:r>
      <w:r>
        <w:rPr>
          <w:highlight w:val="none"/>
        </w:rPr>
        <w:fldChar w:fldCharType="begin"/>
      </w:r>
      <w:r>
        <w:rPr>
          <w:highlight w:val="none"/>
        </w:rPr>
        <w:instrText xml:space="preserve"> PAGEREF _Toc27886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_Toc2329 </w:instrText>
      </w:r>
      <w:r>
        <w:rPr>
          <w:highlight w:val="none"/>
        </w:rPr>
        <w:fldChar w:fldCharType="separate"/>
      </w:r>
      <w:r>
        <w:rPr>
          <w:rFonts w:hint="eastAsia"/>
          <w:highlight w:val="none"/>
        </w:rPr>
        <w:t>2.4 协助承包人办理证件和批件</w:t>
      </w:r>
      <w:r>
        <w:rPr>
          <w:highlight w:val="none"/>
        </w:rPr>
        <w:tab/>
      </w:r>
      <w:r>
        <w:rPr>
          <w:highlight w:val="none"/>
        </w:rPr>
        <w:fldChar w:fldCharType="begin"/>
      </w:r>
      <w:r>
        <w:rPr>
          <w:highlight w:val="none"/>
        </w:rPr>
        <w:instrText xml:space="preserve"> PAGEREF _Toc2329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_Toc23141 </w:instrText>
      </w:r>
      <w:r>
        <w:rPr>
          <w:highlight w:val="none"/>
        </w:rPr>
        <w:fldChar w:fldCharType="separate"/>
      </w:r>
      <w:r>
        <w:rPr>
          <w:rFonts w:hint="eastAsia"/>
          <w:highlight w:val="none"/>
        </w:rPr>
        <w:t>2.5 组织设计交底</w:t>
      </w:r>
      <w:r>
        <w:rPr>
          <w:highlight w:val="none"/>
        </w:rPr>
        <w:tab/>
      </w:r>
      <w:r>
        <w:rPr>
          <w:highlight w:val="none"/>
        </w:rPr>
        <w:fldChar w:fldCharType="begin"/>
      </w:r>
      <w:r>
        <w:rPr>
          <w:highlight w:val="none"/>
        </w:rPr>
        <w:instrText xml:space="preserve"> PAGEREF _Toc23141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_Toc1539 </w:instrText>
      </w:r>
      <w:r>
        <w:rPr>
          <w:highlight w:val="none"/>
        </w:rPr>
        <w:fldChar w:fldCharType="separate"/>
      </w:r>
      <w:r>
        <w:rPr>
          <w:rFonts w:hint="eastAsia"/>
          <w:highlight w:val="none"/>
        </w:rPr>
        <w:t>2.6 支付合同价款</w:t>
      </w:r>
      <w:r>
        <w:rPr>
          <w:highlight w:val="none"/>
        </w:rPr>
        <w:tab/>
      </w:r>
      <w:r>
        <w:rPr>
          <w:highlight w:val="none"/>
        </w:rPr>
        <w:fldChar w:fldCharType="begin"/>
      </w:r>
      <w:r>
        <w:rPr>
          <w:highlight w:val="none"/>
        </w:rPr>
        <w:instrText xml:space="preserve"> PAGEREF _Toc1539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_Toc12757 </w:instrText>
      </w:r>
      <w:r>
        <w:rPr>
          <w:highlight w:val="none"/>
        </w:rPr>
        <w:fldChar w:fldCharType="separate"/>
      </w:r>
      <w:r>
        <w:rPr>
          <w:rFonts w:hint="eastAsia"/>
          <w:highlight w:val="none"/>
        </w:rPr>
        <w:t>2.7 组织竣工验收</w:t>
      </w:r>
      <w:r>
        <w:rPr>
          <w:highlight w:val="none"/>
        </w:rPr>
        <w:tab/>
      </w:r>
      <w:r>
        <w:rPr>
          <w:highlight w:val="none"/>
        </w:rPr>
        <w:fldChar w:fldCharType="begin"/>
      </w:r>
      <w:r>
        <w:rPr>
          <w:highlight w:val="none"/>
        </w:rPr>
        <w:instrText xml:space="preserve"> PAGEREF _Toc12757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_Toc15052 </w:instrText>
      </w:r>
      <w:r>
        <w:rPr>
          <w:highlight w:val="none"/>
        </w:rPr>
        <w:fldChar w:fldCharType="separate"/>
      </w:r>
      <w:r>
        <w:rPr>
          <w:rFonts w:hint="eastAsia"/>
          <w:highlight w:val="none"/>
        </w:rPr>
        <w:t>2.8 其他义务</w:t>
      </w:r>
      <w:r>
        <w:rPr>
          <w:highlight w:val="none"/>
        </w:rPr>
        <w:tab/>
      </w:r>
      <w:r>
        <w:rPr>
          <w:highlight w:val="none"/>
        </w:rPr>
        <w:fldChar w:fldCharType="begin"/>
      </w:r>
      <w:r>
        <w:rPr>
          <w:highlight w:val="none"/>
        </w:rPr>
        <w:instrText xml:space="preserve"> PAGEREF _Toc15052 </w:instrText>
      </w:r>
      <w:r>
        <w:rPr>
          <w:highlight w:val="none"/>
        </w:rPr>
        <w:fldChar w:fldCharType="separate"/>
      </w:r>
      <w:r>
        <w:rPr>
          <w:highlight w:val="none"/>
        </w:rPr>
        <w:t>100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_Toc29007 </w:instrText>
      </w:r>
      <w:r>
        <w:rPr>
          <w:highlight w:val="none"/>
        </w:rPr>
        <w:fldChar w:fldCharType="separate"/>
      </w:r>
      <w:r>
        <w:rPr>
          <w:rFonts w:hint="eastAsia"/>
          <w:highlight w:val="none"/>
        </w:rPr>
        <w:t>3. 监理人</w:t>
      </w:r>
      <w:r>
        <w:rPr>
          <w:highlight w:val="none"/>
        </w:rPr>
        <w:tab/>
      </w:r>
      <w:r>
        <w:rPr>
          <w:highlight w:val="none"/>
        </w:rPr>
        <w:fldChar w:fldCharType="begin"/>
      </w:r>
      <w:r>
        <w:rPr>
          <w:highlight w:val="none"/>
        </w:rPr>
        <w:instrText xml:space="preserve"> PAGEREF _Toc29007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_Toc13698 </w:instrText>
      </w:r>
      <w:r>
        <w:rPr>
          <w:highlight w:val="none"/>
        </w:rPr>
        <w:fldChar w:fldCharType="separate"/>
      </w:r>
      <w:r>
        <w:rPr>
          <w:rFonts w:hint="eastAsia"/>
          <w:highlight w:val="none"/>
        </w:rPr>
        <w:t>3.1 监理人的职责和权力</w:t>
      </w:r>
      <w:r>
        <w:rPr>
          <w:highlight w:val="none"/>
        </w:rPr>
        <w:tab/>
      </w:r>
      <w:r>
        <w:rPr>
          <w:highlight w:val="none"/>
        </w:rPr>
        <w:fldChar w:fldCharType="begin"/>
      </w:r>
      <w:r>
        <w:rPr>
          <w:highlight w:val="none"/>
        </w:rPr>
        <w:instrText xml:space="preserve"> PAGEREF _Toc13698 </w:instrText>
      </w:r>
      <w:r>
        <w:rPr>
          <w:highlight w:val="none"/>
        </w:rPr>
        <w:fldChar w:fldCharType="separate"/>
      </w:r>
      <w:r>
        <w:rPr>
          <w:highlight w:val="none"/>
        </w:rPr>
        <w:t>100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_Toc24033 </w:instrText>
      </w:r>
      <w:r>
        <w:rPr>
          <w:highlight w:val="none"/>
        </w:rPr>
        <w:fldChar w:fldCharType="separate"/>
      </w:r>
      <w:r>
        <w:rPr>
          <w:rFonts w:hint="eastAsia"/>
          <w:highlight w:val="none"/>
        </w:rPr>
        <w:t>3.2 总监理工程师</w:t>
      </w:r>
      <w:r>
        <w:rPr>
          <w:highlight w:val="none"/>
        </w:rPr>
        <w:tab/>
      </w:r>
      <w:r>
        <w:rPr>
          <w:highlight w:val="none"/>
        </w:rPr>
        <w:fldChar w:fldCharType="begin"/>
      </w:r>
      <w:r>
        <w:rPr>
          <w:highlight w:val="none"/>
        </w:rPr>
        <w:instrText xml:space="preserve"> PAGEREF _Toc24033 </w:instrText>
      </w:r>
      <w:r>
        <w:rPr>
          <w:highlight w:val="none"/>
        </w:rPr>
        <w:fldChar w:fldCharType="separate"/>
      </w:r>
      <w:r>
        <w:rPr>
          <w:highlight w:val="none"/>
        </w:rPr>
        <w:t>101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_Toc16718 </w:instrText>
      </w:r>
      <w:r>
        <w:rPr>
          <w:highlight w:val="none"/>
        </w:rPr>
        <w:fldChar w:fldCharType="separate"/>
      </w:r>
      <w:r>
        <w:rPr>
          <w:rFonts w:hint="eastAsia"/>
          <w:highlight w:val="none"/>
        </w:rPr>
        <w:t>3.3 监理人员</w:t>
      </w:r>
      <w:r>
        <w:rPr>
          <w:highlight w:val="none"/>
        </w:rPr>
        <w:tab/>
      </w:r>
      <w:r>
        <w:rPr>
          <w:highlight w:val="none"/>
        </w:rPr>
        <w:fldChar w:fldCharType="begin"/>
      </w:r>
      <w:r>
        <w:rPr>
          <w:highlight w:val="none"/>
        </w:rPr>
        <w:instrText xml:space="preserve"> PAGEREF _Toc16718 </w:instrText>
      </w:r>
      <w:r>
        <w:rPr>
          <w:highlight w:val="none"/>
        </w:rPr>
        <w:fldChar w:fldCharType="separate"/>
      </w:r>
      <w:r>
        <w:rPr>
          <w:highlight w:val="none"/>
        </w:rPr>
        <w:t>101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_Toc3872 </w:instrText>
      </w:r>
      <w:r>
        <w:rPr>
          <w:highlight w:val="none"/>
        </w:rPr>
        <w:fldChar w:fldCharType="separate"/>
      </w:r>
      <w:r>
        <w:rPr>
          <w:rFonts w:hint="eastAsia"/>
          <w:highlight w:val="none"/>
        </w:rPr>
        <w:t>3.4 监理人的指示</w:t>
      </w:r>
      <w:r>
        <w:rPr>
          <w:highlight w:val="none"/>
        </w:rPr>
        <w:tab/>
      </w:r>
      <w:r>
        <w:rPr>
          <w:highlight w:val="none"/>
        </w:rPr>
        <w:fldChar w:fldCharType="begin"/>
      </w:r>
      <w:r>
        <w:rPr>
          <w:highlight w:val="none"/>
        </w:rPr>
        <w:instrText xml:space="preserve"> PAGEREF _Toc3872 </w:instrText>
      </w:r>
      <w:r>
        <w:rPr>
          <w:highlight w:val="none"/>
        </w:rPr>
        <w:fldChar w:fldCharType="separate"/>
      </w:r>
      <w:r>
        <w:rPr>
          <w:highlight w:val="none"/>
        </w:rPr>
        <w:t>101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_Toc21582 </w:instrText>
      </w:r>
      <w:r>
        <w:rPr>
          <w:highlight w:val="none"/>
        </w:rPr>
        <w:fldChar w:fldCharType="separate"/>
      </w:r>
      <w:r>
        <w:rPr>
          <w:rFonts w:hint="eastAsia"/>
          <w:highlight w:val="none"/>
        </w:rPr>
        <w:t>3.5 商定或确定</w:t>
      </w:r>
      <w:r>
        <w:rPr>
          <w:highlight w:val="none"/>
        </w:rPr>
        <w:tab/>
      </w:r>
      <w:r>
        <w:rPr>
          <w:highlight w:val="none"/>
        </w:rPr>
        <w:fldChar w:fldCharType="begin"/>
      </w:r>
      <w:r>
        <w:rPr>
          <w:highlight w:val="none"/>
        </w:rPr>
        <w:instrText xml:space="preserve"> PAGEREF _Toc21582 </w:instrText>
      </w:r>
      <w:r>
        <w:rPr>
          <w:highlight w:val="none"/>
        </w:rPr>
        <w:fldChar w:fldCharType="separate"/>
      </w:r>
      <w:r>
        <w:rPr>
          <w:highlight w:val="none"/>
        </w:rPr>
        <w:t>102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_Toc29701 </w:instrText>
      </w:r>
      <w:r>
        <w:rPr>
          <w:highlight w:val="none"/>
        </w:rPr>
        <w:fldChar w:fldCharType="separate"/>
      </w:r>
      <w:r>
        <w:rPr>
          <w:rFonts w:hint="eastAsia"/>
          <w:highlight w:val="none"/>
        </w:rPr>
        <w:t>4. 承包人</w:t>
      </w:r>
      <w:r>
        <w:rPr>
          <w:highlight w:val="none"/>
        </w:rPr>
        <w:tab/>
      </w:r>
      <w:r>
        <w:rPr>
          <w:highlight w:val="none"/>
        </w:rPr>
        <w:fldChar w:fldCharType="begin"/>
      </w:r>
      <w:r>
        <w:rPr>
          <w:highlight w:val="none"/>
        </w:rPr>
        <w:instrText xml:space="preserve"> PAGEREF _Toc29701 </w:instrText>
      </w:r>
      <w:r>
        <w:rPr>
          <w:highlight w:val="none"/>
        </w:rPr>
        <w:fldChar w:fldCharType="separate"/>
      </w:r>
      <w:r>
        <w:rPr>
          <w:highlight w:val="none"/>
        </w:rPr>
        <w:t>102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_Toc5516 </w:instrText>
      </w:r>
      <w:r>
        <w:rPr>
          <w:highlight w:val="none"/>
        </w:rPr>
        <w:fldChar w:fldCharType="separate"/>
      </w:r>
      <w:r>
        <w:rPr>
          <w:rFonts w:hint="eastAsia"/>
          <w:highlight w:val="none"/>
        </w:rPr>
        <w:t>4.1 承包人的一般义务</w:t>
      </w:r>
      <w:r>
        <w:rPr>
          <w:highlight w:val="none"/>
        </w:rPr>
        <w:tab/>
      </w:r>
      <w:r>
        <w:rPr>
          <w:highlight w:val="none"/>
        </w:rPr>
        <w:fldChar w:fldCharType="begin"/>
      </w:r>
      <w:r>
        <w:rPr>
          <w:highlight w:val="none"/>
        </w:rPr>
        <w:instrText xml:space="preserve"> PAGEREF _Toc5516 </w:instrText>
      </w:r>
      <w:r>
        <w:rPr>
          <w:highlight w:val="none"/>
        </w:rPr>
        <w:fldChar w:fldCharType="separate"/>
      </w:r>
      <w:r>
        <w:rPr>
          <w:highlight w:val="none"/>
        </w:rPr>
        <w:t>102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_Toc928 </w:instrText>
      </w:r>
      <w:r>
        <w:rPr>
          <w:highlight w:val="none"/>
        </w:rPr>
        <w:fldChar w:fldCharType="separate"/>
      </w:r>
      <w:r>
        <w:rPr>
          <w:rFonts w:hint="eastAsia"/>
          <w:highlight w:val="none"/>
        </w:rPr>
        <w:t>4.2 履约担保</w:t>
      </w:r>
      <w:r>
        <w:rPr>
          <w:highlight w:val="none"/>
        </w:rPr>
        <w:tab/>
      </w:r>
      <w:r>
        <w:rPr>
          <w:highlight w:val="none"/>
        </w:rPr>
        <w:fldChar w:fldCharType="begin"/>
      </w:r>
      <w:r>
        <w:rPr>
          <w:highlight w:val="none"/>
        </w:rPr>
        <w:instrText xml:space="preserve"> PAGEREF _Toc928 </w:instrText>
      </w:r>
      <w:r>
        <w:rPr>
          <w:highlight w:val="none"/>
        </w:rPr>
        <w:fldChar w:fldCharType="separate"/>
      </w:r>
      <w:r>
        <w:rPr>
          <w:highlight w:val="none"/>
        </w:rPr>
        <w:t>103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_Toc861 </w:instrText>
      </w:r>
      <w:r>
        <w:rPr>
          <w:highlight w:val="none"/>
        </w:rPr>
        <w:fldChar w:fldCharType="separate"/>
      </w:r>
      <w:r>
        <w:rPr>
          <w:rFonts w:hint="eastAsia"/>
          <w:highlight w:val="none"/>
        </w:rPr>
        <w:t>4.3 分包</w:t>
      </w:r>
      <w:r>
        <w:rPr>
          <w:highlight w:val="none"/>
        </w:rPr>
        <w:tab/>
      </w:r>
      <w:r>
        <w:rPr>
          <w:highlight w:val="none"/>
        </w:rPr>
        <w:fldChar w:fldCharType="begin"/>
      </w:r>
      <w:r>
        <w:rPr>
          <w:highlight w:val="none"/>
        </w:rPr>
        <w:instrText xml:space="preserve"> PAGEREF _Toc861 </w:instrText>
      </w:r>
      <w:r>
        <w:rPr>
          <w:highlight w:val="none"/>
        </w:rPr>
        <w:fldChar w:fldCharType="separate"/>
      </w:r>
      <w:r>
        <w:rPr>
          <w:highlight w:val="none"/>
        </w:rPr>
        <w:t>103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_Toc8298 </w:instrText>
      </w:r>
      <w:r>
        <w:rPr>
          <w:highlight w:val="none"/>
        </w:rPr>
        <w:fldChar w:fldCharType="separate"/>
      </w:r>
      <w:r>
        <w:rPr>
          <w:rFonts w:hint="eastAsia"/>
          <w:highlight w:val="none"/>
        </w:rPr>
        <w:t>4.4 联合体</w:t>
      </w:r>
      <w:r>
        <w:rPr>
          <w:highlight w:val="none"/>
        </w:rPr>
        <w:tab/>
      </w:r>
      <w:r>
        <w:rPr>
          <w:highlight w:val="none"/>
        </w:rPr>
        <w:fldChar w:fldCharType="begin"/>
      </w:r>
      <w:r>
        <w:rPr>
          <w:highlight w:val="none"/>
        </w:rPr>
        <w:instrText xml:space="preserve"> PAGEREF _Toc8298 </w:instrText>
      </w:r>
      <w:r>
        <w:rPr>
          <w:highlight w:val="none"/>
        </w:rPr>
        <w:fldChar w:fldCharType="separate"/>
      </w:r>
      <w:r>
        <w:rPr>
          <w:highlight w:val="none"/>
        </w:rPr>
        <w:t>103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_Toc17892 </w:instrText>
      </w:r>
      <w:r>
        <w:rPr>
          <w:highlight w:val="none"/>
        </w:rPr>
        <w:fldChar w:fldCharType="separate"/>
      </w:r>
      <w:r>
        <w:rPr>
          <w:rFonts w:hint="eastAsia"/>
          <w:highlight w:val="none"/>
        </w:rPr>
        <w:t>4.5 承包人项目经理</w:t>
      </w:r>
      <w:r>
        <w:rPr>
          <w:highlight w:val="none"/>
        </w:rPr>
        <w:tab/>
      </w:r>
      <w:r>
        <w:rPr>
          <w:highlight w:val="none"/>
        </w:rPr>
        <w:fldChar w:fldCharType="begin"/>
      </w:r>
      <w:r>
        <w:rPr>
          <w:highlight w:val="none"/>
        </w:rPr>
        <w:instrText xml:space="preserve"> PAGEREF _Toc17892 </w:instrText>
      </w:r>
      <w:r>
        <w:rPr>
          <w:highlight w:val="none"/>
        </w:rPr>
        <w:fldChar w:fldCharType="separate"/>
      </w:r>
      <w:r>
        <w:rPr>
          <w:highlight w:val="none"/>
        </w:rPr>
        <w:t>103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_Toc11080 </w:instrText>
      </w:r>
      <w:r>
        <w:rPr>
          <w:highlight w:val="none"/>
        </w:rPr>
        <w:fldChar w:fldCharType="separate"/>
      </w:r>
      <w:r>
        <w:rPr>
          <w:rFonts w:hint="eastAsia"/>
          <w:highlight w:val="none"/>
        </w:rPr>
        <w:t>4.6 承包人人员的管理</w:t>
      </w:r>
      <w:r>
        <w:rPr>
          <w:highlight w:val="none"/>
        </w:rPr>
        <w:tab/>
      </w:r>
      <w:r>
        <w:rPr>
          <w:highlight w:val="none"/>
        </w:rPr>
        <w:fldChar w:fldCharType="begin"/>
      </w:r>
      <w:r>
        <w:rPr>
          <w:highlight w:val="none"/>
        </w:rPr>
        <w:instrText xml:space="preserve"> PAGEREF _Toc11080 </w:instrText>
      </w:r>
      <w:r>
        <w:rPr>
          <w:highlight w:val="none"/>
        </w:rPr>
        <w:fldChar w:fldCharType="separate"/>
      </w:r>
      <w:r>
        <w:rPr>
          <w:highlight w:val="none"/>
        </w:rPr>
        <w:t>104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_Toc22163 </w:instrText>
      </w:r>
      <w:r>
        <w:rPr>
          <w:highlight w:val="none"/>
        </w:rPr>
        <w:fldChar w:fldCharType="separate"/>
      </w:r>
      <w:r>
        <w:rPr>
          <w:rFonts w:hint="eastAsia"/>
          <w:highlight w:val="none"/>
        </w:rPr>
        <w:t>4.7 撤换承包人项目经理和其他人员</w:t>
      </w:r>
      <w:r>
        <w:rPr>
          <w:highlight w:val="none"/>
        </w:rPr>
        <w:tab/>
      </w:r>
      <w:r>
        <w:rPr>
          <w:highlight w:val="none"/>
        </w:rPr>
        <w:fldChar w:fldCharType="begin"/>
      </w:r>
      <w:r>
        <w:rPr>
          <w:highlight w:val="none"/>
        </w:rPr>
        <w:instrText xml:space="preserve"> PAGEREF _Toc22163 </w:instrText>
      </w:r>
      <w:r>
        <w:rPr>
          <w:highlight w:val="none"/>
        </w:rPr>
        <w:fldChar w:fldCharType="separate"/>
      </w:r>
      <w:r>
        <w:rPr>
          <w:highlight w:val="none"/>
        </w:rPr>
        <w:t>104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_Toc27513 </w:instrText>
      </w:r>
      <w:r>
        <w:rPr>
          <w:highlight w:val="none"/>
        </w:rPr>
        <w:fldChar w:fldCharType="separate"/>
      </w:r>
      <w:r>
        <w:rPr>
          <w:rFonts w:hint="eastAsia"/>
          <w:highlight w:val="none"/>
        </w:rPr>
        <w:t>4.8 保障承包人人员的合法权益</w:t>
      </w:r>
      <w:r>
        <w:rPr>
          <w:highlight w:val="none"/>
        </w:rPr>
        <w:tab/>
      </w:r>
      <w:r>
        <w:rPr>
          <w:highlight w:val="none"/>
        </w:rPr>
        <w:fldChar w:fldCharType="begin"/>
      </w:r>
      <w:r>
        <w:rPr>
          <w:highlight w:val="none"/>
        </w:rPr>
        <w:instrText xml:space="preserve"> PAGEREF _Toc27513 </w:instrText>
      </w:r>
      <w:r>
        <w:rPr>
          <w:highlight w:val="none"/>
        </w:rPr>
        <w:fldChar w:fldCharType="separate"/>
      </w:r>
      <w:r>
        <w:rPr>
          <w:highlight w:val="none"/>
        </w:rPr>
        <w:t>104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_Toc11493 </w:instrText>
      </w:r>
      <w:r>
        <w:rPr>
          <w:highlight w:val="none"/>
        </w:rPr>
        <w:fldChar w:fldCharType="separate"/>
      </w:r>
      <w:r>
        <w:rPr>
          <w:rFonts w:hint="eastAsia"/>
          <w:highlight w:val="none"/>
        </w:rPr>
        <w:t>4.9 工程价款应专款专用</w:t>
      </w:r>
      <w:r>
        <w:rPr>
          <w:highlight w:val="none"/>
        </w:rPr>
        <w:tab/>
      </w:r>
      <w:r>
        <w:rPr>
          <w:highlight w:val="none"/>
        </w:rPr>
        <w:fldChar w:fldCharType="begin"/>
      </w:r>
      <w:r>
        <w:rPr>
          <w:highlight w:val="none"/>
        </w:rPr>
        <w:instrText xml:space="preserve"> PAGEREF _Toc11493 </w:instrText>
      </w:r>
      <w:r>
        <w:rPr>
          <w:highlight w:val="none"/>
        </w:rPr>
        <w:fldChar w:fldCharType="separate"/>
      </w:r>
      <w:r>
        <w:rPr>
          <w:highlight w:val="none"/>
        </w:rPr>
        <w:t>104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_Toc23290 </w:instrText>
      </w:r>
      <w:r>
        <w:rPr>
          <w:highlight w:val="none"/>
        </w:rPr>
        <w:fldChar w:fldCharType="separate"/>
      </w:r>
      <w:r>
        <w:rPr>
          <w:rFonts w:hint="eastAsia"/>
          <w:highlight w:val="none"/>
        </w:rPr>
        <w:t>4.10 承包人现场查勘</w:t>
      </w:r>
      <w:r>
        <w:rPr>
          <w:highlight w:val="none"/>
        </w:rPr>
        <w:tab/>
      </w:r>
      <w:r>
        <w:rPr>
          <w:highlight w:val="none"/>
        </w:rPr>
        <w:fldChar w:fldCharType="begin"/>
      </w:r>
      <w:r>
        <w:rPr>
          <w:highlight w:val="none"/>
        </w:rPr>
        <w:instrText xml:space="preserve"> PAGEREF _Toc23290 </w:instrText>
      </w:r>
      <w:r>
        <w:rPr>
          <w:highlight w:val="none"/>
        </w:rPr>
        <w:fldChar w:fldCharType="separate"/>
      </w:r>
      <w:r>
        <w:rPr>
          <w:highlight w:val="none"/>
        </w:rPr>
        <w:t>105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_Toc24990 </w:instrText>
      </w:r>
      <w:r>
        <w:rPr>
          <w:highlight w:val="none"/>
        </w:rPr>
        <w:fldChar w:fldCharType="separate"/>
      </w:r>
      <w:r>
        <w:rPr>
          <w:rFonts w:hint="eastAsia"/>
          <w:highlight w:val="none"/>
        </w:rPr>
        <w:t>4.11 不利物质条件</w:t>
      </w:r>
      <w:r>
        <w:rPr>
          <w:highlight w:val="none"/>
        </w:rPr>
        <w:tab/>
      </w:r>
      <w:r>
        <w:rPr>
          <w:highlight w:val="none"/>
        </w:rPr>
        <w:fldChar w:fldCharType="begin"/>
      </w:r>
      <w:r>
        <w:rPr>
          <w:highlight w:val="none"/>
        </w:rPr>
        <w:instrText xml:space="preserve"> PAGEREF _Toc24990 </w:instrText>
      </w:r>
      <w:r>
        <w:rPr>
          <w:highlight w:val="none"/>
        </w:rPr>
        <w:fldChar w:fldCharType="separate"/>
      </w:r>
      <w:r>
        <w:rPr>
          <w:highlight w:val="none"/>
        </w:rPr>
        <w:t>105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_Toc9014 </w:instrText>
      </w:r>
      <w:r>
        <w:rPr>
          <w:highlight w:val="none"/>
        </w:rPr>
        <w:fldChar w:fldCharType="separate"/>
      </w:r>
      <w:r>
        <w:rPr>
          <w:rFonts w:hint="eastAsia"/>
          <w:highlight w:val="none"/>
        </w:rPr>
        <w:t>5. 材料和工程设备</w:t>
      </w:r>
      <w:r>
        <w:rPr>
          <w:highlight w:val="none"/>
        </w:rPr>
        <w:tab/>
      </w:r>
      <w:r>
        <w:rPr>
          <w:highlight w:val="none"/>
        </w:rPr>
        <w:fldChar w:fldCharType="begin"/>
      </w:r>
      <w:r>
        <w:rPr>
          <w:highlight w:val="none"/>
        </w:rPr>
        <w:instrText xml:space="preserve"> PAGEREF _Toc9014 </w:instrText>
      </w:r>
      <w:r>
        <w:rPr>
          <w:highlight w:val="none"/>
        </w:rPr>
        <w:fldChar w:fldCharType="separate"/>
      </w:r>
      <w:r>
        <w:rPr>
          <w:highlight w:val="none"/>
        </w:rPr>
        <w:t>105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_Toc1366 </w:instrText>
      </w:r>
      <w:r>
        <w:rPr>
          <w:highlight w:val="none"/>
        </w:rPr>
        <w:fldChar w:fldCharType="separate"/>
      </w:r>
      <w:r>
        <w:rPr>
          <w:rFonts w:hint="eastAsia"/>
          <w:highlight w:val="none"/>
        </w:rPr>
        <w:t>5.1 承包人提供的材料和工程设备</w:t>
      </w:r>
      <w:r>
        <w:rPr>
          <w:highlight w:val="none"/>
        </w:rPr>
        <w:tab/>
      </w:r>
      <w:r>
        <w:rPr>
          <w:highlight w:val="none"/>
        </w:rPr>
        <w:fldChar w:fldCharType="begin"/>
      </w:r>
      <w:r>
        <w:rPr>
          <w:highlight w:val="none"/>
        </w:rPr>
        <w:instrText xml:space="preserve"> PAGEREF _Toc1366 </w:instrText>
      </w:r>
      <w:r>
        <w:rPr>
          <w:highlight w:val="none"/>
        </w:rPr>
        <w:fldChar w:fldCharType="separate"/>
      </w:r>
      <w:r>
        <w:rPr>
          <w:highlight w:val="none"/>
        </w:rPr>
        <w:t>105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_Toc13296 </w:instrText>
      </w:r>
      <w:r>
        <w:rPr>
          <w:highlight w:val="none"/>
        </w:rPr>
        <w:fldChar w:fldCharType="separate"/>
      </w:r>
      <w:r>
        <w:rPr>
          <w:rFonts w:hint="eastAsia"/>
          <w:highlight w:val="none"/>
        </w:rPr>
        <w:t>5.2 发包人提供的材料和工程设备</w:t>
      </w:r>
      <w:r>
        <w:rPr>
          <w:highlight w:val="none"/>
        </w:rPr>
        <w:tab/>
      </w:r>
      <w:r>
        <w:rPr>
          <w:highlight w:val="none"/>
        </w:rPr>
        <w:fldChar w:fldCharType="begin"/>
      </w:r>
      <w:r>
        <w:rPr>
          <w:highlight w:val="none"/>
        </w:rPr>
        <w:instrText xml:space="preserve"> PAGEREF _Toc13296 </w:instrText>
      </w:r>
      <w:r>
        <w:rPr>
          <w:highlight w:val="none"/>
        </w:rPr>
        <w:fldChar w:fldCharType="separate"/>
      </w:r>
      <w:r>
        <w:rPr>
          <w:highlight w:val="none"/>
        </w:rPr>
        <w:t>105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_Toc3103 </w:instrText>
      </w:r>
      <w:r>
        <w:rPr>
          <w:highlight w:val="none"/>
        </w:rPr>
        <w:fldChar w:fldCharType="separate"/>
      </w:r>
      <w:r>
        <w:rPr>
          <w:rFonts w:hint="eastAsia"/>
          <w:highlight w:val="none"/>
        </w:rPr>
        <w:t>5.3 材料和工程设备专用于合同工程</w:t>
      </w:r>
      <w:r>
        <w:rPr>
          <w:highlight w:val="none"/>
        </w:rPr>
        <w:tab/>
      </w:r>
      <w:r>
        <w:rPr>
          <w:highlight w:val="none"/>
        </w:rPr>
        <w:fldChar w:fldCharType="begin"/>
      </w:r>
      <w:r>
        <w:rPr>
          <w:highlight w:val="none"/>
        </w:rPr>
        <w:instrText xml:space="preserve"> PAGEREF _Toc3103 </w:instrText>
      </w:r>
      <w:r>
        <w:rPr>
          <w:highlight w:val="none"/>
        </w:rPr>
        <w:fldChar w:fldCharType="separate"/>
      </w:r>
      <w:r>
        <w:rPr>
          <w:highlight w:val="none"/>
        </w:rPr>
        <w:t>106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_Toc28367 </w:instrText>
      </w:r>
      <w:r>
        <w:rPr>
          <w:highlight w:val="none"/>
        </w:rPr>
        <w:fldChar w:fldCharType="separate"/>
      </w:r>
      <w:r>
        <w:rPr>
          <w:rFonts w:hint="eastAsia"/>
          <w:highlight w:val="none"/>
        </w:rPr>
        <w:t>5.4 禁止使用不合格的材料和工程设备</w:t>
      </w:r>
      <w:r>
        <w:rPr>
          <w:highlight w:val="none"/>
        </w:rPr>
        <w:tab/>
      </w:r>
      <w:r>
        <w:rPr>
          <w:highlight w:val="none"/>
        </w:rPr>
        <w:fldChar w:fldCharType="begin"/>
      </w:r>
      <w:r>
        <w:rPr>
          <w:highlight w:val="none"/>
        </w:rPr>
        <w:instrText xml:space="preserve"> PAGEREF _Toc28367 </w:instrText>
      </w:r>
      <w:r>
        <w:rPr>
          <w:highlight w:val="none"/>
        </w:rPr>
        <w:fldChar w:fldCharType="separate"/>
      </w:r>
      <w:r>
        <w:rPr>
          <w:highlight w:val="none"/>
        </w:rPr>
        <w:t>106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_Toc32634 </w:instrText>
      </w:r>
      <w:r>
        <w:rPr>
          <w:highlight w:val="none"/>
        </w:rPr>
        <w:fldChar w:fldCharType="separate"/>
      </w:r>
      <w:r>
        <w:rPr>
          <w:rFonts w:hint="eastAsia"/>
          <w:highlight w:val="none"/>
        </w:rPr>
        <w:t>6. 施工设备和临时设施</w:t>
      </w:r>
      <w:r>
        <w:rPr>
          <w:highlight w:val="none"/>
        </w:rPr>
        <w:tab/>
      </w:r>
      <w:r>
        <w:rPr>
          <w:highlight w:val="none"/>
        </w:rPr>
        <w:fldChar w:fldCharType="begin"/>
      </w:r>
      <w:r>
        <w:rPr>
          <w:highlight w:val="none"/>
        </w:rPr>
        <w:instrText xml:space="preserve"> PAGEREF _Toc32634 </w:instrText>
      </w:r>
      <w:r>
        <w:rPr>
          <w:highlight w:val="none"/>
        </w:rPr>
        <w:fldChar w:fldCharType="separate"/>
      </w:r>
      <w:r>
        <w:rPr>
          <w:highlight w:val="none"/>
        </w:rPr>
        <w:t>106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_Toc29683 </w:instrText>
      </w:r>
      <w:r>
        <w:rPr>
          <w:highlight w:val="none"/>
        </w:rPr>
        <w:fldChar w:fldCharType="separate"/>
      </w:r>
      <w:r>
        <w:rPr>
          <w:rFonts w:hint="eastAsia"/>
          <w:highlight w:val="none"/>
        </w:rPr>
        <w:t>6.1 承包人提供的施工设备和临时设施</w:t>
      </w:r>
      <w:r>
        <w:rPr>
          <w:highlight w:val="none"/>
        </w:rPr>
        <w:tab/>
      </w:r>
      <w:r>
        <w:rPr>
          <w:highlight w:val="none"/>
        </w:rPr>
        <w:fldChar w:fldCharType="begin"/>
      </w:r>
      <w:r>
        <w:rPr>
          <w:highlight w:val="none"/>
        </w:rPr>
        <w:instrText xml:space="preserve"> PAGEREF _Toc29683 </w:instrText>
      </w:r>
      <w:r>
        <w:rPr>
          <w:highlight w:val="none"/>
        </w:rPr>
        <w:fldChar w:fldCharType="separate"/>
      </w:r>
      <w:r>
        <w:rPr>
          <w:highlight w:val="none"/>
        </w:rPr>
        <w:t>106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_Toc28938 </w:instrText>
      </w:r>
      <w:r>
        <w:rPr>
          <w:highlight w:val="none"/>
        </w:rPr>
        <w:fldChar w:fldCharType="separate"/>
      </w:r>
      <w:r>
        <w:rPr>
          <w:rFonts w:hint="eastAsia"/>
          <w:highlight w:val="none"/>
        </w:rPr>
        <w:t>6.2 发包人提供的施工设备和临时设施</w:t>
      </w:r>
      <w:r>
        <w:rPr>
          <w:highlight w:val="none"/>
        </w:rPr>
        <w:tab/>
      </w:r>
      <w:r>
        <w:rPr>
          <w:highlight w:val="none"/>
        </w:rPr>
        <w:fldChar w:fldCharType="begin"/>
      </w:r>
      <w:r>
        <w:rPr>
          <w:highlight w:val="none"/>
        </w:rPr>
        <w:instrText xml:space="preserve"> PAGEREF _Toc28938 </w:instrText>
      </w:r>
      <w:r>
        <w:rPr>
          <w:highlight w:val="none"/>
        </w:rPr>
        <w:fldChar w:fldCharType="separate"/>
      </w:r>
      <w:r>
        <w:rPr>
          <w:highlight w:val="none"/>
        </w:rPr>
        <w:t>106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_Toc16500 </w:instrText>
      </w:r>
      <w:r>
        <w:rPr>
          <w:highlight w:val="none"/>
        </w:rPr>
        <w:fldChar w:fldCharType="separate"/>
      </w:r>
      <w:r>
        <w:rPr>
          <w:rFonts w:hint="eastAsia"/>
          <w:highlight w:val="none"/>
        </w:rPr>
        <w:t>6.3 要求承包人增加或更换施工设备</w:t>
      </w:r>
      <w:r>
        <w:rPr>
          <w:highlight w:val="none"/>
        </w:rPr>
        <w:tab/>
      </w:r>
      <w:r>
        <w:rPr>
          <w:highlight w:val="none"/>
        </w:rPr>
        <w:fldChar w:fldCharType="begin"/>
      </w:r>
      <w:r>
        <w:rPr>
          <w:highlight w:val="none"/>
        </w:rPr>
        <w:instrText xml:space="preserve"> PAGEREF _Toc16500 </w:instrText>
      </w:r>
      <w:r>
        <w:rPr>
          <w:highlight w:val="none"/>
        </w:rPr>
        <w:fldChar w:fldCharType="separate"/>
      </w:r>
      <w:r>
        <w:rPr>
          <w:highlight w:val="none"/>
        </w:rPr>
        <w:t>106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_Toc15251 </w:instrText>
      </w:r>
      <w:r>
        <w:rPr>
          <w:highlight w:val="none"/>
        </w:rPr>
        <w:fldChar w:fldCharType="separate"/>
      </w:r>
      <w:r>
        <w:rPr>
          <w:rFonts w:hint="eastAsia"/>
          <w:highlight w:val="none"/>
        </w:rPr>
        <w:t>6.4 施工设备和临时设施专用于合同工程</w:t>
      </w:r>
      <w:r>
        <w:rPr>
          <w:highlight w:val="none"/>
        </w:rPr>
        <w:tab/>
      </w:r>
      <w:r>
        <w:rPr>
          <w:highlight w:val="none"/>
        </w:rPr>
        <w:fldChar w:fldCharType="begin"/>
      </w:r>
      <w:r>
        <w:rPr>
          <w:highlight w:val="none"/>
        </w:rPr>
        <w:instrText xml:space="preserve"> PAGEREF _Toc15251 </w:instrText>
      </w:r>
      <w:r>
        <w:rPr>
          <w:highlight w:val="none"/>
        </w:rPr>
        <w:fldChar w:fldCharType="separate"/>
      </w:r>
      <w:r>
        <w:rPr>
          <w:highlight w:val="none"/>
        </w:rPr>
        <w:t>106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_Toc5581 </w:instrText>
      </w:r>
      <w:r>
        <w:rPr>
          <w:highlight w:val="none"/>
        </w:rPr>
        <w:fldChar w:fldCharType="separate"/>
      </w:r>
      <w:r>
        <w:rPr>
          <w:rFonts w:hint="eastAsia"/>
          <w:highlight w:val="none"/>
        </w:rPr>
        <w:t>7. 交通运输</w:t>
      </w:r>
      <w:r>
        <w:rPr>
          <w:highlight w:val="none"/>
        </w:rPr>
        <w:tab/>
      </w:r>
      <w:r>
        <w:rPr>
          <w:highlight w:val="none"/>
        </w:rPr>
        <w:fldChar w:fldCharType="begin"/>
      </w:r>
      <w:r>
        <w:rPr>
          <w:highlight w:val="none"/>
        </w:rPr>
        <w:instrText xml:space="preserve"> PAGEREF _Toc5581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_Toc19791 </w:instrText>
      </w:r>
      <w:r>
        <w:rPr>
          <w:highlight w:val="none"/>
        </w:rPr>
        <w:fldChar w:fldCharType="separate"/>
      </w:r>
      <w:r>
        <w:rPr>
          <w:rFonts w:hint="eastAsia"/>
          <w:highlight w:val="none"/>
        </w:rPr>
        <w:t>7.1 道路通行权和场外设施</w:t>
      </w:r>
      <w:r>
        <w:rPr>
          <w:highlight w:val="none"/>
        </w:rPr>
        <w:tab/>
      </w:r>
      <w:r>
        <w:rPr>
          <w:highlight w:val="none"/>
        </w:rPr>
        <w:fldChar w:fldCharType="begin"/>
      </w:r>
      <w:r>
        <w:rPr>
          <w:highlight w:val="none"/>
        </w:rPr>
        <w:instrText xml:space="preserve"> PAGEREF _Toc19791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_Toc6506 </w:instrText>
      </w:r>
      <w:r>
        <w:rPr>
          <w:highlight w:val="none"/>
        </w:rPr>
        <w:fldChar w:fldCharType="separate"/>
      </w:r>
      <w:r>
        <w:rPr>
          <w:rFonts w:hint="eastAsia"/>
          <w:highlight w:val="none"/>
        </w:rPr>
        <w:t>7.2 场内施工道路</w:t>
      </w:r>
      <w:r>
        <w:rPr>
          <w:highlight w:val="none"/>
        </w:rPr>
        <w:tab/>
      </w:r>
      <w:r>
        <w:rPr>
          <w:highlight w:val="none"/>
        </w:rPr>
        <w:fldChar w:fldCharType="begin"/>
      </w:r>
      <w:r>
        <w:rPr>
          <w:highlight w:val="none"/>
        </w:rPr>
        <w:instrText xml:space="preserve"> PAGEREF _Toc6506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_Toc19877 </w:instrText>
      </w:r>
      <w:r>
        <w:rPr>
          <w:highlight w:val="none"/>
        </w:rPr>
        <w:fldChar w:fldCharType="separate"/>
      </w:r>
      <w:r>
        <w:rPr>
          <w:rFonts w:hint="eastAsia"/>
          <w:highlight w:val="none"/>
        </w:rPr>
        <w:t>7.3 场外交通</w:t>
      </w:r>
      <w:r>
        <w:rPr>
          <w:highlight w:val="none"/>
        </w:rPr>
        <w:tab/>
      </w:r>
      <w:r>
        <w:rPr>
          <w:highlight w:val="none"/>
        </w:rPr>
        <w:fldChar w:fldCharType="begin"/>
      </w:r>
      <w:r>
        <w:rPr>
          <w:highlight w:val="none"/>
        </w:rPr>
        <w:instrText xml:space="preserve"> PAGEREF _Toc19877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_Toc22016 </w:instrText>
      </w:r>
      <w:r>
        <w:rPr>
          <w:highlight w:val="none"/>
        </w:rPr>
        <w:fldChar w:fldCharType="separate"/>
      </w:r>
      <w:r>
        <w:rPr>
          <w:rFonts w:hint="eastAsia"/>
          <w:highlight w:val="none"/>
        </w:rPr>
        <w:t>7.4 超大件和超重件的运输</w:t>
      </w:r>
      <w:r>
        <w:rPr>
          <w:highlight w:val="none"/>
        </w:rPr>
        <w:tab/>
      </w:r>
      <w:r>
        <w:rPr>
          <w:highlight w:val="none"/>
        </w:rPr>
        <w:fldChar w:fldCharType="begin"/>
      </w:r>
      <w:r>
        <w:rPr>
          <w:highlight w:val="none"/>
        </w:rPr>
        <w:instrText xml:space="preserve"> PAGEREF _Toc22016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_Toc16826 </w:instrText>
      </w:r>
      <w:r>
        <w:rPr>
          <w:highlight w:val="none"/>
        </w:rPr>
        <w:fldChar w:fldCharType="separate"/>
      </w:r>
      <w:r>
        <w:rPr>
          <w:rFonts w:hint="eastAsia"/>
          <w:highlight w:val="none"/>
        </w:rPr>
        <w:t>7.5 道路和桥梁的损坏责任</w:t>
      </w:r>
      <w:r>
        <w:rPr>
          <w:highlight w:val="none"/>
        </w:rPr>
        <w:tab/>
      </w:r>
      <w:r>
        <w:rPr>
          <w:highlight w:val="none"/>
        </w:rPr>
        <w:fldChar w:fldCharType="begin"/>
      </w:r>
      <w:r>
        <w:rPr>
          <w:highlight w:val="none"/>
        </w:rPr>
        <w:instrText xml:space="preserve"> PAGEREF _Toc16826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_Toc21595 </w:instrText>
      </w:r>
      <w:r>
        <w:rPr>
          <w:highlight w:val="none"/>
        </w:rPr>
        <w:fldChar w:fldCharType="separate"/>
      </w:r>
      <w:r>
        <w:rPr>
          <w:rFonts w:hint="eastAsia"/>
          <w:highlight w:val="none"/>
        </w:rPr>
        <w:t>7.6 水路和航空运输</w:t>
      </w:r>
      <w:r>
        <w:rPr>
          <w:highlight w:val="none"/>
        </w:rPr>
        <w:tab/>
      </w:r>
      <w:r>
        <w:rPr>
          <w:highlight w:val="none"/>
        </w:rPr>
        <w:fldChar w:fldCharType="begin"/>
      </w:r>
      <w:r>
        <w:rPr>
          <w:highlight w:val="none"/>
        </w:rPr>
        <w:instrText xml:space="preserve"> PAGEREF _Toc21595 </w:instrText>
      </w:r>
      <w:r>
        <w:rPr>
          <w:highlight w:val="none"/>
        </w:rPr>
        <w:fldChar w:fldCharType="separate"/>
      </w:r>
      <w:r>
        <w:rPr>
          <w:highlight w:val="none"/>
        </w:rPr>
        <w:t>107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_Toc11900 </w:instrText>
      </w:r>
      <w:r>
        <w:rPr>
          <w:highlight w:val="none"/>
        </w:rPr>
        <w:fldChar w:fldCharType="separate"/>
      </w:r>
      <w:r>
        <w:rPr>
          <w:rFonts w:hint="eastAsia"/>
          <w:highlight w:val="none"/>
        </w:rPr>
        <w:t>8. 测量放线</w:t>
      </w:r>
      <w:r>
        <w:rPr>
          <w:highlight w:val="none"/>
        </w:rPr>
        <w:tab/>
      </w:r>
      <w:r>
        <w:rPr>
          <w:highlight w:val="none"/>
        </w:rPr>
        <w:fldChar w:fldCharType="begin"/>
      </w:r>
      <w:r>
        <w:rPr>
          <w:highlight w:val="none"/>
        </w:rPr>
        <w:instrText xml:space="preserve"> PAGEREF _Toc11900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_Toc28600 </w:instrText>
      </w:r>
      <w:r>
        <w:rPr>
          <w:highlight w:val="none"/>
        </w:rPr>
        <w:fldChar w:fldCharType="separate"/>
      </w:r>
      <w:r>
        <w:rPr>
          <w:rFonts w:hint="eastAsia"/>
          <w:highlight w:val="none"/>
        </w:rPr>
        <w:t>8.1 施工控制网</w:t>
      </w:r>
      <w:r>
        <w:rPr>
          <w:highlight w:val="none"/>
        </w:rPr>
        <w:tab/>
      </w:r>
      <w:r>
        <w:rPr>
          <w:highlight w:val="none"/>
        </w:rPr>
        <w:fldChar w:fldCharType="begin"/>
      </w:r>
      <w:r>
        <w:rPr>
          <w:highlight w:val="none"/>
        </w:rPr>
        <w:instrText xml:space="preserve"> PAGEREF _Toc28600 </w:instrText>
      </w:r>
      <w:r>
        <w:rPr>
          <w:highlight w:val="none"/>
        </w:rPr>
        <w:fldChar w:fldCharType="separate"/>
      </w:r>
      <w:r>
        <w:rPr>
          <w:highlight w:val="none"/>
        </w:rPr>
        <w:t>107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_Toc27671 </w:instrText>
      </w:r>
      <w:r>
        <w:rPr>
          <w:highlight w:val="none"/>
        </w:rPr>
        <w:fldChar w:fldCharType="separate"/>
      </w:r>
      <w:r>
        <w:rPr>
          <w:rFonts w:hint="eastAsia"/>
          <w:highlight w:val="none"/>
        </w:rPr>
        <w:t>8.2 施工测量</w:t>
      </w:r>
      <w:r>
        <w:rPr>
          <w:highlight w:val="none"/>
        </w:rPr>
        <w:tab/>
      </w:r>
      <w:r>
        <w:rPr>
          <w:highlight w:val="none"/>
        </w:rPr>
        <w:fldChar w:fldCharType="begin"/>
      </w:r>
      <w:r>
        <w:rPr>
          <w:highlight w:val="none"/>
        </w:rPr>
        <w:instrText xml:space="preserve"> PAGEREF _Toc27671 </w:instrText>
      </w:r>
      <w:r>
        <w:rPr>
          <w:highlight w:val="none"/>
        </w:rPr>
        <w:fldChar w:fldCharType="separate"/>
      </w:r>
      <w:r>
        <w:rPr>
          <w:highlight w:val="none"/>
        </w:rPr>
        <w:t>108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_Toc27121 </w:instrText>
      </w:r>
      <w:r>
        <w:rPr>
          <w:highlight w:val="none"/>
        </w:rPr>
        <w:fldChar w:fldCharType="separate"/>
      </w:r>
      <w:r>
        <w:rPr>
          <w:rFonts w:hint="eastAsia"/>
          <w:highlight w:val="none"/>
        </w:rPr>
        <w:t>8.3 基准资料错误的责任</w:t>
      </w:r>
      <w:r>
        <w:rPr>
          <w:highlight w:val="none"/>
        </w:rPr>
        <w:tab/>
      </w:r>
      <w:r>
        <w:rPr>
          <w:highlight w:val="none"/>
        </w:rPr>
        <w:fldChar w:fldCharType="begin"/>
      </w:r>
      <w:r>
        <w:rPr>
          <w:highlight w:val="none"/>
        </w:rPr>
        <w:instrText xml:space="preserve"> PAGEREF _Toc27121 </w:instrText>
      </w:r>
      <w:r>
        <w:rPr>
          <w:highlight w:val="none"/>
        </w:rPr>
        <w:fldChar w:fldCharType="separate"/>
      </w:r>
      <w:r>
        <w:rPr>
          <w:highlight w:val="none"/>
        </w:rPr>
        <w:t>108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_Toc15856 </w:instrText>
      </w:r>
      <w:r>
        <w:rPr>
          <w:highlight w:val="none"/>
        </w:rPr>
        <w:fldChar w:fldCharType="separate"/>
      </w:r>
      <w:r>
        <w:rPr>
          <w:rFonts w:hint="eastAsia"/>
          <w:highlight w:val="none"/>
        </w:rPr>
        <w:t>8.4 监理人使用施工控制网</w:t>
      </w:r>
      <w:r>
        <w:rPr>
          <w:highlight w:val="none"/>
        </w:rPr>
        <w:tab/>
      </w:r>
      <w:r>
        <w:rPr>
          <w:highlight w:val="none"/>
        </w:rPr>
        <w:fldChar w:fldCharType="begin"/>
      </w:r>
      <w:r>
        <w:rPr>
          <w:highlight w:val="none"/>
        </w:rPr>
        <w:instrText xml:space="preserve"> PAGEREF _Toc15856 </w:instrText>
      </w:r>
      <w:r>
        <w:rPr>
          <w:highlight w:val="none"/>
        </w:rPr>
        <w:fldChar w:fldCharType="separate"/>
      </w:r>
      <w:r>
        <w:rPr>
          <w:highlight w:val="none"/>
        </w:rPr>
        <w:t>108</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_Toc9727 </w:instrText>
      </w:r>
      <w:r>
        <w:rPr>
          <w:highlight w:val="none"/>
        </w:rPr>
        <w:fldChar w:fldCharType="separate"/>
      </w:r>
      <w:r>
        <w:rPr>
          <w:rFonts w:hint="eastAsia"/>
          <w:highlight w:val="none"/>
        </w:rPr>
        <w:t>9. 施工安全、治安保卫和环境保护</w:t>
      </w:r>
      <w:r>
        <w:rPr>
          <w:highlight w:val="none"/>
        </w:rPr>
        <w:tab/>
      </w:r>
      <w:r>
        <w:rPr>
          <w:highlight w:val="none"/>
        </w:rPr>
        <w:fldChar w:fldCharType="begin"/>
      </w:r>
      <w:r>
        <w:rPr>
          <w:highlight w:val="none"/>
        </w:rPr>
        <w:instrText xml:space="preserve"> PAGEREF _Toc9727 </w:instrText>
      </w:r>
      <w:r>
        <w:rPr>
          <w:highlight w:val="none"/>
        </w:rPr>
        <w:fldChar w:fldCharType="separate"/>
      </w:r>
      <w:r>
        <w:rPr>
          <w:highlight w:val="none"/>
        </w:rPr>
        <w:t>108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_Toc7067 </w:instrText>
      </w:r>
      <w:r>
        <w:rPr>
          <w:highlight w:val="none"/>
        </w:rPr>
        <w:fldChar w:fldCharType="separate"/>
      </w:r>
      <w:r>
        <w:rPr>
          <w:rFonts w:hint="eastAsia"/>
          <w:highlight w:val="none"/>
        </w:rPr>
        <w:t>9.1 发包人的施工安全责任</w:t>
      </w:r>
      <w:r>
        <w:rPr>
          <w:highlight w:val="none"/>
        </w:rPr>
        <w:tab/>
      </w:r>
      <w:r>
        <w:rPr>
          <w:highlight w:val="none"/>
        </w:rPr>
        <w:fldChar w:fldCharType="begin"/>
      </w:r>
      <w:r>
        <w:rPr>
          <w:highlight w:val="none"/>
        </w:rPr>
        <w:instrText xml:space="preserve"> PAGEREF _Toc7067 </w:instrText>
      </w:r>
      <w:r>
        <w:rPr>
          <w:highlight w:val="none"/>
        </w:rPr>
        <w:fldChar w:fldCharType="separate"/>
      </w:r>
      <w:r>
        <w:rPr>
          <w:highlight w:val="none"/>
        </w:rPr>
        <w:t>108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_Toc25507 </w:instrText>
      </w:r>
      <w:r>
        <w:rPr>
          <w:highlight w:val="none"/>
        </w:rPr>
        <w:fldChar w:fldCharType="separate"/>
      </w:r>
      <w:r>
        <w:rPr>
          <w:rFonts w:hint="eastAsia"/>
          <w:highlight w:val="none"/>
        </w:rPr>
        <w:t>9.2 承包人的施工安全责任</w:t>
      </w:r>
      <w:r>
        <w:rPr>
          <w:highlight w:val="none"/>
        </w:rPr>
        <w:tab/>
      </w:r>
      <w:r>
        <w:rPr>
          <w:highlight w:val="none"/>
        </w:rPr>
        <w:fldChar w:fldCharType="begin"/>
      </w:r>
      <w:r>
        <w:rPr>
          <w:highlight w:val="none"/>
        </w:rPr>
        <w:instrText xml:space="preserve"> PAGEREF _Toc25507 </w:instrText>
      </w:r>
      <w:r>
        <w:rPr>
          <w:highlight w:val="none"/>
        </w:rPr>
        <w:fldChar w:fldCharType="separate"/>
      </w:r>
      <w:r>
        <w:rPr>
          <w:highlight w:val="none"/>
        </w:rPr>
        <w:t>108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_Toc14952 </w:instrText>
      </w:r>
      <w:r>
        <w:rPr>
          <w:highlight w:val="none"/>
        </w:rPr>
        <w:fldChar w:fldCharType="separate"/>
      </w:r>
      <w:r>
        <w:rPr>
          <w:rFonts w:hint="eastAsia"/>
          <w:highlight w:val="none"/>
        </w:rPr>
        <w:t>9.3 治安保卫</w:t>
      </w:r>
      <w:r>
        <w:rPr>
          <w:highlight w:val="none"/>
        </w:rPr>
        <w:tab/>
      </w:r>
      <w:r>
        <w:rPr>
          <w:highlight w:val="none"/>
        </w:rPr>
        <w:fldChar w:fldCharType="begin"/>
      </w:r>
      <w:r>
        <w:rPr>
          <w:highlight w:val="none"/>
        </w:rPr>
        <w:instrText xml:space="preserve"> PAGEREF _Toc14952 </w:instrText>
      </w:r>
      <w:r>
        <w:rPr>
          <w:highlight w:val="none"/>
        </w:rPr>
        <w:fldChar w:fldCharType="separate"/>
      </w:r>
      <w:r>
        <w:rPr>
          <w:highlight w:val="none"/>
        </w:rPr>
        <w:t>109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_Toc27952 </w:instrText>
      </w:r>
      <w:r>
        <w:rPr>
          <w:highlight w:val="none"/>
        </w:rPr>
        <w:fldChar w:fldCharType="separate"/>
      </w:r>
      <w:r>
        <w:rPr>
          <w:rFonts w:hint="eastAsia"/>
          <w:highlight w:val="none"/>
        </w:rPr>
        <w:t>9.4 环境保护</w:t>
      </w:r>
      <w:r>
        <w:rPr>
          <w:highlight w:val="none"/>
        </w:rPr>
        <w:tab/>
      </w:r>
      <w:r>
        <w:rPr>
          <w:highlight w:val="none"/>
        </w:rPr>
        <w:fldChar w:fldCharType="begin"/>
      </w:r>
      <w:r>
        <w:rPr>
          <w:highlight w:val="none"/>
        </w:rPr>
        <w:instrText xml:space="preserve"> PAGEREF _Toc27952 </w:instrText>
      </w:r>
      <w:r>
        <w:rPr>
          <w:highlight w:val="none"/>
        </w:rPr>
        <w:fldChar w:fldCharType="separate"/>
      </w:r>
      <w:r>
        <w:rPr>
          <w:highlight w:val="none"/>
        </w:rPr>
        <w:t>109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_Toc9343 </w:instrText>
      </w:r>
      <w:r>
        <w:rPr>
          <w:highlight w:val="none"/>
        </w:rPr>
        <w:fldChar w:fldCharType="separate"/>
      </w:r>
      <w:r>
        <w:rPr>
          <w:rFonts w:hint="eastAsia"/>
          <w:highlight w:val="none"/>
        </w:rPr>
        <w:t>9.5 事故处理</w:t>
      </w:r>
      <w:r>
        <w:rPr>
          <w:highlight w:val="none"/>
        </w:rPr>
        <w:tab/>
      </w:r>
      <w:r>
        <w:rPr>
          <w:highlight w:val="none"/>
        </w:rPr>
        <w:fldChar w:fldCharType="begin"/>
      </w:r>
      <w:r>
        <w:rPr>
          <w:highlight w:val="none"/>
        </w:rPr>
        <w:instrText xml:space="preserve"> PAGEREF _Toc9343 </w:instrText>
      </w:r>
      <w:r>
        <w:rPr>
          <w:highlight w:val="none"/>
        </w:rPr>
        <w:fldChar w:fldCharType="separate"/>
      </w:r>
      <w:r>
        <w:rPr>
          <w:highlight w:val="none"/>
        </w:rPr>
        <w:t>110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_Toc28878 </w:instrText>
      </w:r>
      <w:r>
        <w:rPr>
          <w:highlight w:val="none"/>
        </w:rPr>
        <w:fldChar w:fldCharType="separate"/>
      </w:r>
      <w:r>
        <w:rPr>
          <w:rFonts w:hint="eastAsia"/>
          <w:highlight w:val="none"/>
        </w:rPr>
        <w:t>10. 进度计划</w:t>
      </w:r>
      <w:r>
        <w:rPr>
          <w:highlight w:val="none"/>
        </w:rPr>
        <w:tab/>
      </w:r>
      <w:r>
        <w:rPr>
          <w:highlight w:val="none"/>
        </w:rPr>
        <w:fldChar w:fldCharType="begin"/>
      </w:r>
      <w:r>
        <w:rPr>
          <w:highlight w:val="none"/>
        </w:rPr>
        <w:instrText xml:space="preserve"> PAGEREF _Toc28878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_Toc20893 </w:instrText>
      </w:r>
      <w:r>
        <w:rPr>
          <w:highlight w:val="none"/>
        </w:rPr>
        <w:fldChar w:fldCharType="separate"/>
      </w:r>
      <w:r>
        <w:rPr>
          <w:rFonts w:hint="eastAsia"/>
          <w:highlight w:val="none"/>
        </w:rPr>
        <w:t>10.1 合同进度计划</w:t>
      </w:r>
      <w:r>
        <w:rPr>
          <w:highlight w:val="none"/>
        </w:rPr>
        <w:tab/>
      </w:r>
      <w:r>
        <w:rPr>
          <w:highlight w:val="none"/>
        </w:rPr>
        <w:fldChar w:fldCharType="begin"/>
      </w:r>
      <w:r>
        <w:rPr>
          <w:highlight w:val="none"/>
        </w:rPr>
        <w:instrText xml:space="preserve"> PAGEREF _Toc20893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_Toc18606 </w:instrText>
      </w:r>
      <w:r>
        <w:rPr>
          <w:highlight w:val="none"/>
        </w:rPr>
        <w:fldChar w:fldCharType="separate"/>
      </w:r>
      <w:r>
        <w:rPr>
          <w:rFonts w:hint="eastAsia"/>
          <w:highlight w:val="none"/>
        </w:rPr>
        <w:t>10.2 合同进度计划的修订</w:t>
      </w:r>
      <w:r>
        <w:rPr>
          <w:highlight w:val="none"/>
        </w:rPr>
        <w:tab/>
      </w:r>
      <w:r>
        <w:rPr>
          <w:highlight w:val="none"/>
        </w:rPr>
        <w:fldChar w:fldCharType="begin"/>
      </w:r>
      <w:r>
        <w:rPr>
          <w:highlight w:val="none"/>
        </w:rPr>
        <w:instrText xml:space="preserve"> PAGEREF _Toc18606 </w:instrText>
      </w:r>
      <w:r>
        <w:rPr>
          <w:highlight w:val="none"/>
        </w:rPr>
        <w:fldChar w:fldCharType="separate"/>
      </w:r>
      <w:r>
        <w:rPr>
          <w:highlight w:val="none"/>
        </w:rPr>
        <w:t>110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_Toc5870 </w:instrText>
      </w:r>
      <w:r>
        <w:rPr>
          <w:highlight w:val="none"/>
        </w:rPr>
        <w:fldChar w:fldCharType="separate"/>
      </w:r>
      <w:r>
        <w:rPr>
          <w:rFonts w:hint="eastAsia"/>
          <w:highlight w:val="none"/>
        </w:rPr>
        <w:t>11. 开工和竣工</w:t>
      </w:r>
      <w:r>
        <w:rPr>
          <w:highlight w:val="none"/>
        </w:rPr>
        <w:tab/>
      </w:r>
      <w:r>
        <w:rPr>
          <w:highlight w:val="none"/>
        </w:rPr>
        <w:fldChar w:fldCharType="begin"/>
      </w:r>
      <w:r>
        <w:rPr>
          <w:highlight w:val="none"/>
        </w:rPr>
        <w:instrText xml:space="preserve"> PAGEREF _Toc5870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_Toc20999 </w:instrText>
      </w:r>
      <w:r>
        <w:rPr>
          <w:highlight w:val="none"/>
        </w:rPr>
        <w:fldChar w:fldCharType="separate"/>
      </w:r>
      <w:r>
        <w:rPr>
          <w:rFonts w:hint="eastAsia"/>
          <w:highlight w:val="none"/>
        </w:rPr>
        <w:t>11.1 开工</w:t>
      </w:r>
      <w:r>
        <w:rPr>
          <w:highlight w:val="none"/>
        </w:rPr>
        <w:tab/>
      </w:r>
      <w:r>
        <w:rPr>
          <w:highlight w:val="none"/>
        </w:rPr>
        <w:fldChar w:fldCharType="begin"/>
      </w:r>
      <w:r>
        <w:rPr>
          <w:highlight w:val="none"/>
        </w:rPr>
        <w:instrText xml:space="preserve"> PAGEREF _Toc20999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_Toc11937 </w:instrText>
      </w:r>
      <w:r>
        <w:rPr>
          <w:highlight w:val="none"/>
        </w:rPr>
        <w:fldChar w:fldCharType="separate"/>
      </w:r>
      <w:r>
        <w:rPr>
          <w:rFonts w:hint="eastAsia"/>
          <w:highlight w:val="none"/>
        </w:rPr>
        <w:t>11.2 竣工</w:t>
      </w:r>
      <w:r>
        <w:rPr>
          <w:highlight w:val="none"/>
        </w:rPr>
        <w:tab/>
      </w:r>
      <w:r>
        <w:rPr>
          <w:highlight w:val="none"/>
        </w:rPr>
        <w:fldChar w:fldCharType="begin"/>
      </w:r>
      <w:r>
        <w:rPr>
          <w:highlight w:val="none"/>
        </w:rPr>
        <w:instrText xml:space="preserve"> PAGEREF _Toc11937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_Toc12501 </w:instrText>
      </w:r>
      <w:r>
        <w:rPr>
          <w:highlight w:val="none"/>
        </w:rPr>
        <w:fldChar w:fldCharType="separate"/>
      </w:r>
      <w:r>
        <w:rPr>
          <w:rFonts w:hint="eastAsia"/>
          <w:highlight w:val="none"/>
        </w:rPr>
        <w:t>11.3 发包人的工期延误</w:t>
      </w:r>
      <w:r>
        <w:rPr>
          <w:highlight w:val="none"/>
        </w:rPr>
        <w:tab/>
      </w:r>
      <w:r>
        <w:rPr>
          <w:highlight w:val="none"/>
        </w:rPr>
        <w:fldChar w:fldCharType="begin"/>
      </w:r>
      <w:r>
        <w:rPr>
          <w:highlight w:val="none"/>
        </w:rPr>
        <w:instrText xml:space="preserve"> PAGEREF _Toc12501 </w:instrText>
      </w:r>
      <w:r>
        <w:rPr>
          <w:highlight w:val="none"/>
        </w:rPr>
        <w:fldChar w:fldCharType="separate"/>
      </w:r>
      <w:r>
        <w:rPr>
          <w:highlight w:val="none"/>
        </w:rPr>
        <w:t>110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_Toc23841 </w:instrText>
      </w:r>
      <w:r>
        <w:rPr>
          <w:highlight w:val="none"/>
        </w:rPr>
        <w:fldChar w:fldCharType="separate"/>
      </w:r>
      <w:r>
        <w:rPr>
          <w:rFonts w:hint="eastAsia"/>
          <w:highlight w:val="none"/>
        </w:rPr>
        <w:t>11.4 异常恶劣的气候条件</w:t>
      </w:r>
      <w:r>
        <w:rPr>
          <w:highlight w:val="none"/>
        </w:rPr>
        <w:tab/>
      </w:r>
      <w:r>
        <w:rPr>
          <w:highlight w:val="none"/>
        </w:rPr>
        <w:fldChar w:fldCharType="begin"/>
      </w:r>
      <w:r>
        <w:rPr>
          <w:highlight w:val="none"/>
        </w:rPr>
        <w:instrText xml:space="preserve"> PAGEREF _Toc23841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_Toc3760 </w:instrText>
      </w:r>
      <w:r>
        <w:rPr>
          <w:highlight w:val="none"/>
        </w:rPr>
        <w:fldChar w:fldCharType="separate"/>
      </w:r>
      <w:r>
        <w:rPr>
          <w:rFonts w:hint="eastAsia"/>
          <w:highlight w:val="none"/>
        </w:rPr>
        <w:t>11.5 承包人的工期延误</w:t>
      </w:r>
      <w:r>
        <w:rPr>
          <w:highlight w:val="none"/>
        </w:rPr>
        <w:tab/>
      </w:r>
      <w:r>
        <w:rPr>
          <w:highlight w:val="none"/>
        </w:rPr>
        <w:fldChar w:fldCharType="begin"/>
      </w:r>
      <w:r>
        <w:rPr>
          <w:highlight w:val="none"/>
        </w:rPr>
        <w:instrText xml:space="preserve"> PAGEREF _Toc3760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_Toc10527 </w:instrText>
      </w:r>
      <w:r>
        <w:rPr>
          <w:highlight w:val="none"/>
        </w:rPr>
        <w:fldChar w:fldCharType="separate"/>
      </w:r>
      <w:r>
        <w:rPr>
          <w:rFonts w:hint="eastAsia"/>
          <w:highlight w:val="none"/>
        </w:rPr>
        <w:t>11.6 工期提前</w:t>
      </w:r>
      <w:r>
        <w:rPr>
          <w:highlight w:val="none"/>
        </w:rPr>
        <w:tab/>
      </w:r>
      <w:r>
        <w:rPr>
          <w:highlight w:val="none"/>
        </w:rPr>
        <w:fldChar w:fldCharType="begin"/>
      </w:r>
      <w:r>
        <w:rPr>
          <w:highlight w:val="none"/>
        </w:rPr>
        <w:instrText xml:space="preserve"> PAGEREF _Toc10527 </w:instrText>
      </w:r>
      <w:r>
        <w:rPr>
          <w:highlight w:val="none"/>
        </w:rPr>
        <w:fldChar w:fldCharType="separate"/>
      </w:r>
      <w:r>
        <w:rPr>
          <w:highlight w:val="none"/>
        </w:rPr>
        <w:t>111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_Toc5425 </w:instrText>
      </w:r>
      <w:r>
        <w:rPr>
          <w:highlight w:val="none"/>
        </w:rPr>
        <w:fldChar w:fldCharType="separate"/>
      </w:r>
      <w:r>
        <w:rPr>
          <w:rFonts w:hint="eastAsia"/>
          <w:highlight w:val="none"/>
        </w:rPr>
        <w:t>12. 暂停施工</w:t>
      </w:r>
      <w:r>
        <w:rPr>
          <w:highlight w:val="none"/>
        </w:rPr>
        <w:tab/>
      </w:r>
      <w:r>
        <w:rPr>
          <w:highlight w:val="none"/>
        </w:rPr>
        <w:fldChar w:fldCharType="begin"/>
      </w:r>
      <w:r>
        <w:rPr>
          <w:highlight w:val="none"/>
        </w:rPr>
        <w:instrText xml:space="preserve"> PAGEREF _Toc5425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_Toc1225 </w:instrText>
      </w:r>
      <w:r>
        <w:rPr>
          <w:highlight w:val="none"/>
        </w:rPr>
        <w:fldChar w:fldCharType="separate"/>
      </w:r>
      <w:r>
        <w:rPr>
          <w:rFonts w:hint="eastAsia"/>
          <w:highlight w:val="none"/>
        </w:rPr>
        <w:t>12.1 承包人暂停施工的责任</w:t>
      </w:r>
      <w:r>
        <w:rPr>
          <w:highlight w:val="none"/>
        </w:rPr>
        <w:tab/>
      </w:r>
      <w:r>
        <w:rPr>
          <w:highlight w:val="none"/>
        </w:rPr>
        <w:fldChar w:fldCharType="begin"/>
      </w:r>
      <w:r>
        <w:rPr>
          <w:highlight w:val="none"/>
        </w:rPr>
        <w:instrText xml:space="preserve"> PAGEREF _Toc1225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_Toc10441 </w:instrText>
      </w:r>
      <w:r>
        <w:rPr>
          <w:highlight w:val="none"/>
        </w:rPr>
        <w:fldChar w:fldCharType="separate"/>
      </w:r>
      <w:r>
        <w:rPr>
          <w:rFonts w:hint="eastAsia"/>
          <w:highlight w:val="none"/>
        </w:rPr>
        <w:t>12.2 发包人暂停施工的责任</w:t>
      </w:r>
      <w:r>
        <w:rPr>
          <w:highlight w:val="none"/>
        </w:rPr>
        <w:tab/>
      </w:r>
      <w:r>
        <w:rPr>
          <w:highlight w:val="none"/>
        </w:rPr>
        <w:fldChar w:fldCharType="begin"/>
      </w:r>
      <w:r>
        <w:rPr>
          <w:highlight w:val="none"/>
        </w:rPr>
        <w:instrText xml:space="preserve"> PAGEREF _Toc10441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_Toc31204 </w:instrText>
      </w:r>
      <w:r>
        <w:rPr>
          <w:highlight w:val="none"/>
        </w:rPr>
        <w:fldChar w:fldCharType="separate"/>
      </w:r>
      <w:r>
        <w:rPr>
          <w:rFonts w:hint="eastAsia"/>
          <w:highlight w:val="none"/>
        </w:rPr>
        <w:t>12.3 监理人暂停施工指示</w:t>
      </w:r>
      <w:r>
        <w:rPr>
          <w:highlight w:val="none"/>
        </w:rPr>
        <w:tab/>
      </w:r>
      <w:r>
        <w:rPr>
          <w:highlight w:val="none"/>
        </w:rPr>
        <w:fldChar w:fldCharType="begin"/>
      </w:r>
      <w:r>
        <w:rPr>
          <w:highlight w:val="none"/>
        </w:rPr>
        <w:instrText xml:space="preserve"> PAGEREF _Toc31204 </w:instrText>
      </w:r>
      <w:r>
        <w:rPr>
          <w:highlight w:val="none"/>
        </w:rPr>
        <w:fldChar w:fldCharType="separate"/>
      </w:r>
      <w:r>
        <w:rPr>
          <w:highlight w:val="none"/>
        </w:rPr>
        <w:t>111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_Toc20206 </w:instrText>
      </w:r>
      <w:r>
        <w:rPr>
          <w:highlight w:val="none"/>
        </w:rPr>
        <w:fldChar w:fldCharType="separate"/>
      </w:r>
      <w:r>
        <w:rPr>
          <w:rFonts w:hint="eastAsia"/>
          <w:highlight w:val="none"/>
        </w:rPr>
        <w:t>12.4 暂停施工后的复工</w:t>
      </w:r>
      <w:r>
        <w:rPr>
          <w:highlight w:val="none"/>
        </w:rPr>
        <w:tab/>
      </w:r>
      <w:r>
        <w:rPr>
          <w:highlight w:val="none"/>
        </w:rPr>
        <w:fldChar w:fldCharType="begin"/>
      </w:r>
      <w:r>
        <w:rPr>
          <w:highlight w:val="none"/>
        </w:rPr>
        <w:instrText xml:space="preserve"> PAGEREF _Toc20206 </w:instrText>
      </w:r>
      <w:r>
        <w:rPr>
          <w:highlight w:val="none"/>
        </w:rPr>
        <w:fldChar w:fldCharType="separate"/>
      </w:r>
      <w:r>
        <w:rPr>
          <w:highlight w:val="none"/>
        </w:rPr>
        <w:t>112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_Toc14253 </w:instrText>
      </w:r>
      <w:r>
        <w:rPr>
          <w:highlight w:val="none"/>
        </w:rPr>
        <w:fldChar w:fldCharType="separate"/>
      </w:r>
      <w:r>
        <w:rPr>
          <w:rFonts w:hint="eastAsia"/>
          <w:highlight w:val="none"/>
        </w:rPr>
        <w:t xml:space="preserve">12.5 </w:t>
      </w:r>
      <w:r>
        <w:rPr>
          <w:highlight w:val="none"/>
        </w:rPr>
        <w:t>暂停施工</w:t>
      </w:r>
      <w:r>
        <w:rPr>
          <w:rFonts w:hint="eastAsia"/>
          <w:highlight w:val="none"/>
        </w:rPr>
        <w:t>持续56天以上</w:t>
      </w:r>
      <w:r>
        <w:rPr>
          <w:highlight w:val="none"/>
        </w:rPr>
        <w:tab/>
      </w:r>
      <w:r>
        <w:rPr>
          <w:highlight w:val="none"/>
        </w:rPr>
        <w:fldChar w:fldCharType="begin"/>
      </w:r>
      <w:r>
        <w:rPr>
          <w:highlight w:val="none"/>
        </w:rPr>
        <w:instrText xml:space="preserve"> PAGEREF _Toc14253 </w:instrText>
      </w:r>
      <w:r>
        <w:rPr>
          <w:highlight w:val="none"/>
        </w:rPr>
        <w:fldChar w:fldCharType="separate"/>
      </w:r>
      <w:r>
        <w:rPr>
          <w:highlight w:val="none"/>
        </w:rPr>
        <w:t>112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_Toc17161 </w:instrText>
      </w:r>
      <w:r>
        <w:rPr>
          <w:highlight w:val="none"/>
        </w:rPr>
        <w:fldChar w:fldCharType="separate"/>
      </w:r>
      <w:r>
        <w:rPr>
          <w:rFonts w:hint="eastAsia"/>
          <w:highlight w:val="none"/>
        </w:rPr>
        <w:t>13. 工程质量</w:t>
      </w:r>
      <w:r>
        <w:rPr>
          <w:highlight w:val="none"/>
        </w:rPr>
        <w:tab/>
      </w:r>
      <w:r>
        <w:rPr>
          <w:highlight w:val="none"/>
        </w:rPr>
        <w:fldChar w:fldCharType="begin"/>
      </w:r>
      <w:r>
        <w:rPr>
          <w:highlight w:val="none"/>
        </w:rPr>
        <w:instrText xml:space="preserve"> PAGEREF _Toc17161 </w:instrText>
      </w:r>
      <w:r>
        <w:rPr>
          <w:highlight w:val="none"/>
        </w:rPr>
        <w:fldChar w:fldCharType="separate"/>
      </w:r>
      <w:r>
        <w:rPr>
          <w:highlight w:val="none"/>
        </w:rPr>
        <w:t>112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_Toc6302 </w:instrText>
      </w:r>
      <w:r>
        <w:rPr>
          <w:highlight w:val="none"/>
        </w:rPr>
        <w:fldChar w:fldCharType="separate"/>
      </w:r>
      <w:r>
        <w:rPr>
          <w:rFonts w:hint="eastAsia"/>
          <w:highlight w:val="none"/>
        </w:rPr>
        <w:t>13.1 工程质量要求</w:t>
      </w:r>
      <w:r>
        <w:rPr>
          <w:highlight w:val="none"/>
        </w:rPr>
        <w:tab/>
      </w:r>
      <w:r>
        <w:rPr>
          <w:highlight w:val="none"/>
        </w:rPr>
        <w:fldChar w:fldCharType="begin"/>
      </w:r>
      <w:r>
        <w:rPr>
          <w:highlight w:val="none"/>
        </w:rPr>
        <w:instrText xml:space="preserve"> PAGEREF _Toc6302 </w:instrText>
      </w:r>
      <w:r>
        <w:rPr>
          <w:highlight w:val="none"/>
        </w:rPr>
        <w:fldChar w:fldCharType="separate"/>
      </w:r>
      <w:r>
        <w:rPr>
          <w:highlight w:val="none"/>
        </w:rPr>
        <w:t>112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_Toc6032 </w:instrText>
      </w:r>
      <w:r>
        <w:rPr>
          <w:highlight w:val="none"/>
        </w:rPr>
        <w:fldChar w:fldCharType="separate"/>
      </w:r>
      <w:r>
        <w:rPr>
          <w:rFonts w:hint="eastAsia"/>
          <w:highlight w:val="none"/>
        </w:rPr>
        <w:t>13.2 承包人的质量管理</w:t>
      </w:r>
      <w:r>
        <w:rPr>
          <w:highlight w:val="none"/>
        </w:rPr>
        <w:tab/>
      </w:r>
      <w:r>
        <w:rPr>
          <w:highlight w:val="none"/>
        </w:rPr>
        <w:fldChar w:fldCharType="begin"/>
      </w:r>
      <w:r>
        <w:rPr>
          <w:highlight w:val="none"/>
        </w:rPr>
        <w:instrText xml:space="preserve"> PAGEREF _Toc6032 </w:instrText>
      </w:r>
      <w:r>
        <w:rPr>
          <w:highlight w:val="none"/>
        </w:rPr>
        <w:fldChar w:fldCharType="separate"/>
      </w:r>
      <w:r>
        <w:rPr>
          <w:highlight w:val="none"/>
        </w:rPr>
        <w:t>112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_Toc10132 </w:instrText>
      </w:r>
      <w:r>
        <w:rPr>
          <w:highlight w:val="none"/>
        </w:rPr>
        <w:fldChar w:fldCharType="separate"/>
      </w:r>
      <w:r>
        <w:rPr>
          <w:rFonts w:hint="eastAsia"/>
          <w:highlight w:val="none"/>
        </w:rPr>
        <w:t>13.3 承包人的质量检查</w:t>
      </w:r>
      <w:r>
        <w:rPr>
          <w:highlight w:val="none"/>
        </w:rPr>
        <w:tab/>
      </w:r>
      <w:r>
        <w:rPr>
          <w:highlight w:val="none"/>
        </w:rPr>
        <w:fldChar w:fldCharType="begin"/>
      </w:r>
      <w:r>
        <w:rPr>
          <w:highlight w:val="none"/>
        </w:rPr>
        <w:instrText xml:space="preserve"> PAGEREF _Toc10132 </w:instrText>
      </w:r>
      <w:r>
        <w:rPr>
          <w:highlight w:val="none"/>
        </w:rPr>
        <w:fldChar w:fldCharType="separate"/>
      </w:r>
      <w:r>
        <w:rPr>
          <w:highlight w:val="none"/>
        </w:rPr>
        <w:t>112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_Toc27949 </w:instrText>
      </w:r>
      <w:r>
        <w:rPr>
          <w:highlight w:val="none"/>
        </w:rPr>
        <w:fldChar w:fldCharType="separate"/>
      </w:r>
      <w:r>
        <w:rPr>
          <w:rFonts w:hint="eastAsia"/>
          <w:highlight w:val="none"/>
        </w:rPr>
        <w:t>13.4 监理人的质量检查</w:t>
      </w:r>
      <w:r>
        <w:rPr>
          <w:highlight w:val="none"/>
        </w:rPr>
        <w:tab/>
      </w:r>
      <w:r>
        <w:rPr>
          <w:highlight w:val="none"/>
        </w:rPr>
        <w:fldChar w:fldCharType="begin"/>
      </w:r>
      <w:r>
        <w:rPr>
          <w:highlight w:val="none"/>
        </w:rPr>
        <w:instrText xml:space="preserve"> PAGEREF _Toc27949 </w:instrText>
      </w:r>
      <w:r>
        <w:rPr>
          <w:highlight w:val="none"/>
        </w:rPr>
        <w:fldChar w:fldCharType="separate"/>
      </w:r>
      <w:r>
        <w:rPr>
          <w:highlight w:val="none"/>
        </w:rPr>
        <w:t>113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_Toc9956 </w:instrText>
      </w:r>
      <w:r>
        <w:rPr>
          <w:highlight w:val="none"/>
        </w:rPr>
        <w:fldChar w:fldCharType="separate"/>
      </w:r>
      <w:r>
        <w:rPr>
          <w:rFonts w:hint="eastAsia"/>
          <w:highlight w:val="none"/>
        </w:rPr>
        <w:t>13.5 工程隐蔽部位覆盖前的检查</w:t>
      </w:r>
      <w:r>
        <w:rPr>
          <w:highlight w:val="none"/>
        </w:rPr>
        <w:tab/>
      </w:r>
      <w:r>
        <w:rPr>
          <w:highlight w:val="none"/>
        </w:rPr>
        <w:fldChar w:fldCharType="begin"/>
      </w:r>
      <w:r>
        <w:rPr>
          <w:highlight w:val="none"/>
        </w:rPr>
        <w:instrText xml:space="preserve"> PAGEREF _Toc9956 </w:instrText>
      </w:r>
      <w:r>
        <w:rPr>
          <w:highlight w:val="none"/>
        </w:rPr>
        <w:fldChar w:fldCharType="separate"/>
      </w:r>
      <w:r>
        <w:rPr>
          <w:highlight w:val="none"/>
        </w:rPr>
        <w:t>113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_Toc22501 </w:instrText>
      </w:r>
      <w:r>
        <w:rPr>
          <w:highlight w:val="none"/>
        </w:rPr>
        <w:fldChar w:fldCharType="separate"/>
      </w:r>
      <w:r>
        <w:rPr>
          <w:rFonts w:hint="eastAsia"/>
          <w:highlight w:val="none"/>
        </w:rPr>
        <w:t>13.6 清除不合格工程</w:t>
      </w:r>
      <w:r>
        <w:rPr>
          <w:highlight w:val="none"/>
        </w:rPr>
        <w:tab/>
      </w:r>
      <w:r>
        <w:rPr>
          <w:highlight w:val="none"/>
        </w:rPr>
        <w:fldChar w:fldCharType="begin"/>
      </w:r>
      <w:r>
        <w:rPr>
          <w:highlight w:val="none"/>
        </w:rPr>
        <w:instrText xml:space="preserve"> PAGEREF _Toc22501 </w:instrText>
      </w:r>
      <w:r>
        <w:rPr>
          <w:highlight w:val="none"/>
        </w:rPr>
        <w:fldChar w:fldCharType="separate"/>
      </w:r>
      <w:r>
        <w:rPr>
          <w:highlight w:val="none"/>
        </w:rPr>
        <w:t>113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_Toc29029 </w:instrText>
      </w:r>
      <w:r>
        <w:rPr>
          <w:highlight w:val="none"/>
        </w:rPr>
        <w:fldChar w:fldCharType="separate"/>
      </w:r>
      <w:r>
        <w:rPr>
          <w:rFonts w:hint="eastAsia"/>
          <w:highlight w:val="none"/>
        </w:rPr>
        <w:t>14. 试验和检验</w:t>
      </w:r>
      <w:r>
        <w:rPr>
          <w:highlight w:val="none"/>
        </w:rPr>
        <w:tab/>
      </w:r>
      <w:r>
        <w:rPr>
          <w:highlight w:val="none"/>
        </w:rPr>
        <w:fldChar w:fldCharType="begin"/>
      </w:r>
      <w:r>
        <w:rPr>
          <w:highlight w:val="none"/>
        </w:rPr>
        <w:instrText xml:space="preserve"> PAGEREF _Toc29029 </w:instrText>
      </w:r>
      <w:r>
        <w:rPr>
          <w:highlight w:val="none"/>
        </w:rPr>
        <w:fldChar w:fldCharType="separate"/>
      </w:r>
      <w:r>
        <w:rPr>
          <w:highlight w:val="none"/>
        </w:rPr>
        <w:t>113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_Toc2705 </w:instrText>
      </w:r>
      <w:r>
        <w:rPr>
          <w:highlight w:val="none"/>
        </w:rPr>
        <w:fldChar w:fldCharType="separate"/>
      </w:r>
      <w:r>
        <w:rPr>
          <w:rFonts w:hint="eastAsia"/>
          <w:highlight w:val="none"/>
        </w:rPr>
        <w:t>14.1 材料、工程设备和工程的试验和检验</w:t>
      </w:r>
      <w:r>
        <w:rPr>
          <w:highlight w:val="none"/>
        </w:rPr>
        <w:tab/>
      </w:r>
      <w:r>
        <w:rPr>
          <w:highlight w:val="none"/>
        </w:rPr>
        <w:fldChar w:fldCharType="begin"/>
      </w:r>
      <w:r>
        <w:rPr>
          <w:highlight w:val="none"/>
        </w:rPr>
        <w:instrText xml:space="preserve"> PAGEREF _Toc2705 </w:instrText>
      </w:r>
      <w:r>
        <w:rPr>
          <w:highlight w:val="none"/>
        </w:rPr>
        <w:fldChar w:fldCharType="separate"/>
      </w:r>
      <w:r>
        <w:rPr>
          <w:highlight w:val="none"/>
        </w:rPr>
        <w:t>113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_Toc3191 </w:instrText>
      </w:r>
      <w:r>
        <w:rPr>
          <w:highlight w:val="none"/>
        </w:rPr>
        <w:fldChar w:fldCharType="separate"/>
      </w:r>
      <w:r>
        <w:rPr>
          <w:rFonts w:hint="eastAsia"/>
          <w:highlight w:val="none"/>
        </w:rPr>
        <w:t>14.2 现场材料试验</w:t>
      </w:r>
      <w:r>
        <w:rPr>
          <w:highlight w:val="none"/>
        </w:rPr>
        <w:tab/>
      </w:r>
      <w:r>
        <w:rPr>
          <w:highlight w:val="none"/>
        </w:rPr>
        <w:fldChar w:fldCharType="begin"/>
      </w:r>
      <w:r>
        <w:rPr>
          <w:highlight w:val="none"/>
        </w:rPr>
        <w:instrText xml:space="preserve"> PAGEREF _Toc3191 </w:instrText>
      </w:r>
      <w:r>
        <w:rPr>
          <w:highlight w:val="none"/>
        </w:rPr>
        <w:fldChar w:fldCharType="separate"/>
      </w:r>
      <w:r>
        <w:rPr>
          <w:highlight w:val="none"/>
        </w:rPr>
        <w:t>114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_Toc25399 </w:instrText>
      </w:r>
      <w:r>
        <w:rPr>
          <w:highlight w:val="none"/>
        </w:rPr>
        <w:fldChar w:fldCharType="separate"/>
      </w:r>
      <w:r>
        <w:rPr>
          <w:rFonts w:hint="eastAsia"/>
          <w:highlight w:val="none"/>
        </w:rPr>
        <w:t>14.3 现场工艺试验</w:t>
      </w:r>
      <w:r>
        <w:rPr>
          <w:highlight w:val="none"/>
        </w:rPr>
        <w:tab/>
      </w:r>
      <w:r>
        <w:rPr>
          <w:highlight w:val="none"/>
        </w:rPr>
        <w:fldChar w:fldCharType="begin"/>
      </w:r>
      <w:r>
        <w:rPr>
          <w:highlight w:val="none"/>
        </w:rPr>
        <w:instrText xml:space="preserve"> PAGEREF _Toc25399 </w:instrText>
      </w:r>
      <w:r>
        <w:rPr>
          <w:highlight w:val="none"/>
        </w:rPr>
        <w:fldChar w:fldCharType="separate"/>
      </w:r>
      <w:r>
        <w:rPr>
          <w:highlight w:val="none"/>
        </w:rPr>
        <w:t>114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_Toc15245 </w:instrText>
      </w:r>
      <w:r>
        <w:rPr>
          <w:highlight w:val="none"/>
        </w:rPr>
        <w:fldChar w:fldCharType="separate"/>
      </w:r>
      <w:r>
        <w:rPr>
          <w:rFonts w:hint="eastAsia"/>
          <w:highlight w:val="none"/>
        </w:rPr>
        <w:t>15. 变更</w:t>
      </w:r>
      <w:r>
        <w:rPr>
          <w:highlight w:val="none"/>
        </w:rPr>
        <w:tab/>
      </w:r>
      <w:r>
        <w:rPr>
          <w:highlight w:val="none"/>
        </w:rPr>
        <w:fldChar w:fldCharType="begin"/>
      </w:r>
      <w:r>
        <w:rPr>
          <w:highlight w:val="none"/>
        </w:rPr>
        <w:instrText xml:space="preserve"> PAGEREF _Toc15245 </w:instrText>
      </w:r>
      <w:r>
        <w:rPr>
          <w:highlight w:val="none"/>
        </w:rPr>
        <w:fldChar w:fldCharType="separate"/>
      </w:r>
      <w:r>
        <w:rPr>
          <w:highlight w:val="none"/>
        </w:rPr>
        <w:t>114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_Toc1789 </w:instrText>
      </w:r>
      <w:r>
        <w:rPr>
          <w:highlight w:val="none"/>
        </w:rPr>
        <w:fldChar w:fldCharType="separate"/>
      </w:r>
      <w:r>
        <w:rPr>
          <w:rFonts w:hint="eastAsia"/>
          <w:highlight w:val="none"/>
        </w:rPr>
        <w:t>15.1 变更的范围和内容</w:t>
      </w:r>
      <w:r>
        <w:rPr>
          <w:highlight w:val="none"/>
        </w:rPr>
        <w:tab/>
      </w:r>
      <w:r>
        <w:rPr>
          <w:highlight w:val="none"/>
        </w:rPr>
        <w:fldChar w:fldCharType="begin"/>
      </w:r>
      <w:r>
        <w:rPr>
          <w:highlight w:val="none"/>
        </w:rPr>
        <w:instrText xml:space="preserve"> PAGEREF _Toc1789 </w:instrText>
      </w:r>
      <w:r>
        <w:rPr>
          <w:highlight w:val="none"/>
        </w:rPr>
        <w:fldChar w:fldCharType="separate"/>
      </w:r>
      <w:r>
        <w:rPr>
          <w:highlight w:val="none"/>
        </w:rPr>
        <w:t>114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_Toc10440 </w:instrText>
      </w:r>
      <w:r>
        <w:rPr>
          <w:highlight w:val="none"/>
        </w:rPr>
        <w:fldChar w:fldCharType="separate"/>
      </w:r>
      <w:r>
        <w:rPr>
          <w:rFonts w:hint="eastAsia"/>
          <w:highlight w:val="none"/>
        </w:rPr>
        <w:t>15.2 变更权</w:t>
      </w:r>
      <w:r>
        <w:rPr>
          <w:highlight w:val="none"/>
        </w:rPr>
        <w:tab/>
      </w:r>
      <w:r>
        <w:rPr>
          <w:highlight w:val="none"/>
        </w:rPr>
        <w:fldChar w:fldCharType="begin"/>
      </w:r>
      <w:r>
        <w:rPr>
          <w:highlight w:val="none"/>
        </w:rPr>
        <w:instrText xml:space="preserve"> PAGEREF _Toc10440 </w:instrText>
      </w:r>
      <w:r>
        <w:rPr>
          <w:highlight w:val="none"/>
        </w:rPr>
        <w:fldChar w:fldCharType="separate"/>
      </w:r>
      <w:r>
        <w:rPr>
          <w:highlight w:val="none"/>
        </w:rPr>
        <w:t>114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_Toc29381 </w:instrText>
      </w:r>
      <w:r>
        <w:rPr>
          <w:highlight w:val="none"/>
        </w:rPr>
        <w:fldChar w:fldCharType="separate"/>
      </w:r>
      <w:r>
        <w:rPr>
          <w:rFonts w:hint="eastAsia"/>
          <w:highlight w:val="none"/>
        </w:rPr>
        <w:t>15.3 变更程序</w:t>
      </w:r>
      <w:r>
        <w:rPr>
          <w:highlight w:val="none"/>
        </w:rPr>
        <w:tab/>
      </w:r>
      <w:r>
        <w:rPr>
          <w:highlight w:val="none"/>
        </w:rPr>
        <w:fldChar w:fldCharType="begin"/>
      </w:r>
      <w:r>
        <w:rPr>
          <w:highlight w:val="none"/>
        </w:rPr>
        <w:instrText xml:space="preserve"> PAGEREF _Toc29381 </w:instrText>
      </w:r>
      <w:r>
        <w:rPr>
          <w:highlight w:val="none"/>
        </w:rPr>
        <w:fldChar w:fldCharType="separate"/>
      </w:r>
      <w:r>
        <w:rPr>
          <w:highlight w:val="none"/>
        </w:rPr>
        <w:t>114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_Toc5025 </w:instrText>
      </w:r>
      <w:r>
        <w:rPr>
          <w:highlight w:val="none"/>
        </w:rPr>
        <w:fldChar w:fldCharType="separate"/>
      </w:r>
      <w:r>
        <w:rPr>
          <w:rFonts w:hint="eastAsia"/>
          <w:highlight w:val="none"/>
        </w:rPr>
        <w:t>15.4 变更的估价原则</w:t>
      </w:r>
      <w:r>
        <w:rPr>
          <w:highlight w:val="none"/>
        </w:rPr>
        <w:tab/>
      </w:r>
      <w:r>
        <w:rPr>
          <w:highlight w:val="none"/>
        </w:rPr>
        <w:fldChar w:fldCharType="begin"/>
      </w:r>
      <w:r>
        <w:rPr>
          <w:highlight w:val="none"/>
        </w:rPr>
        <w:instrText xml:space="preserve"> PAGEREF _Toc5025 </w:instrText>
      </w:r>
      <w:r>
        <w:rPr>
          <w:highlight w:val="none"/>
        </w:rPr>
        <w:fldChar w:fldCharType="separate"/>
      </w:r>
      <w:r>
        <w:rPr>
          <w:highlight w:val="none"/>
        </w:rPr>
        <w:t>115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_Toc19905 </w:instrText>
      </w:r>
      <w:r>
        <w:rPr>
          <w:highlight w:val="none"/>
        </w:rPr>
        <w:fldChar w:fldCharType="separate"/>
      </w:r>
      <w:r>
        <w:rPr>
          <w:rFonts w:hint="eastAsia"/>
          <w:highlight w:val="none"/>
        </w:rPr>
        <w:t>15.5 承包人的合理化建议</w:t>
      </w:r>
      <w:r>
        <w:rPr>
          <w:highlight w:val="none"/>
        </w:rPr>
        <w:tab/>
      </w:r>
      <w:r>
        <w:rPr>
          <w:highlight w:val="none"/>
        </w:rPr>
        <w:fldChar w:fldCharType="begin"/>
      </w:r>
      <w:r>
        <w:rPr>
          <w:highlight w:val="none"/>
        </w:rPr>
        <w:instrText xml:space="preserve"> PAGEREF _Toc19905 </w:instrText>
      </w:r>
      <w:r>
        <w:rPr>
          <w:highlight w:val="none"/>
        </w:rPr>
        <w:fldChar w:fldCharType="separate"/>
      </w:r>
      <w:r>
        <w:rPr>
          <w:highlight w:val="none"/>
        </w:rPr>
        <w:t>115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_Toc15802 </w:instrText>
      </w:r>
      <w:r>
        <w:rPr>
          <w:highlight w:val="none"/>
        </w:rPr>
        <w:fldChar w:fldCharType="separate"/>
      </w:r>
      <w:r>
        <w:rPr>
          <w:rFonts w:hint="eastAsia"/>
          <w:highlight w:val="none"/>
        </w:rPr>
        <w:t>15.6 暂列金额</w:t>
      </w:r>
      <w:r>
        <w:rPr>
          <w:highlight w:val="none"/>
        </w:rPr>
        <w:tab/>
      </w:r>
      <w:r>
        <w:rPr>
          <w:highlight w:val="none"/>
        </w:rPr>
        <w:fldChar w:fldCharType="begin"/>
      </w:r>
      <w:r>
        <w:rPr>
          <w:highlight w:val="none"/>
        </w:rPr>
        <w:instrText xml:space="preserve"> PAGEREF _Toc15802 </w:instrText>
      </w:r>
      <w:r>
        <w:rPr>
          <w:highlight w:val="none"/>
        </w:rPr>
        <w:fldChar w:fldCharType="separate"/>
      </w:r>
      <w:r>
        <w:rPr>
          <w:highlight w:val="none"/>
        </w:rPr>
        <w:t>116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_Toc30069 </w:instrText>
      </w:r>
      <w:r>
        <w:rPr>
          <w:highlight w:val="none"/>
        </w:rPr>
        <w:fldChar w:fldCharType="separate"/>
      </w:r>
      <w:r>
        <w:rPr>
          <w:rFonts w:hint="eastAsia"/>
          <w:highlight w:val="none"/>
        </w:rPr>
        <w:t>15.7 计日工</w:t>
      </w:r>
      <w:r>
        <w:rPr>
          <w:highlight w:val="none"/>
        </w:rPr>
        <w:tab/>
      </w:r>
      <w:r>
        <w:rPr>
          <w:highlight w:val="none"/>
        </w:rPr>
        <w:fldChar w:fldCharType="begin"/>
      </w:r>
      <w:r>
        <w:rPr>
          <w:highlight w:val="none"/>
        </w:rPr>
        <w:instrText xml:space="preserve"> PAGEREF _Toc30069 </w:instrText>
      </w:r>
      <w:r>
        <w:rPr>
          <w:highlight w:val="none"/>
        </w:rPr>
        <w:fldChar w:fldCharType="separate"/>
      </w:r>
      <w:r>
        <w:rPr>
          <w:highlight w:val="none"/>
        </w:rPr>
        <w:t>116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_Toc20292 </w:instrText>
      </w:r>
      <w:r>
        <w:rPr>
          <w:highlight w:val="none"/>
        </w:rPr>
        <w:fldChar w:fldCharType="separate"/>
      </w:r>
      <w:r>
        <w:rPr>
          <w:rFonts w:hint="eastAsia"/>
          <w:highlight w:val="none"/>
        </w:rPr>
        <w:t>15.8 暂估价</w:t>
      </w:r>
      <w:r>
        <w:rPr>
          <w:highlight w:val="none"/>
        </w:rPr>
        <w:tab/>
      </w:r>
      <w:r>
        <w:rPr>
          <w:highlight w:val="none"/>
        </w:rPr>
        <w:fldChar w:fldCharType="begin"/>
      </w:r>
      <w:r>
        <w:rPr>
          <w:highlight w:val="none"/>
        </w:rPr>
        <w:instrText xml:space="preserve"> PAGEREF _Toc20292 </w:instrText>
      </w:r>
      <w:r>
        <w:rPr>
          <w:highlight w:val="none"/>
        </w:rPr>
        <w:fldChar w:fldCharType="separate"/>
      </w:r>
      <w:r>
        <w:rPr>
          <w:highlight w:val="none"/>
        </w:rPr>
        <w:t>116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_Toc14084 </w:instrText>
      </w:r>
      <w:r>
        <w:rPr>
          <w:highlight w:val="none"/>
        </w:rPr>
        <w:fldChar w:fldCharType="separate"/>
      </w:r>
      <w:r>
        <w:rPr>
          <w:rFonts w:hint="eastAsia"/>
          <w:highlight w:val="none"/>
        </w:rPr>
        <w:t>16. 价格调整</w:t>
      </w:r>
      <w:r>
        <w:rPr>
          <w:highlight w:val="none"/>
        </w:rPr>
        <w:tab/>
      </w:r>
      <w:r>
        <w:rPr>
          <w:highlight w:val="none"/>
        </w:rPr>
        <w:fldChar w:fldCharType="begin"/>
      </w:r>
      <w:r>
        <w:rPr>
          <w:highlight w:val="none"/>
        </w:rPr>
        <w:instrText xml:space="preserve"> PAGEREF _Toc14084 </w:instrText>
      </w:r>
      <w:r>
        <w:rPr>
          <w:highlight w:val="none"/>
        </w:rPr>
        <w:fldChar w:fldCharType="separate"/>
      </w:r>
      <w:r>
        <w:rPr>
          <w:highlight w:val="none"/>
        </w:rPr>
        <w:t>117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_Toc30632 </w:instrText>
      </w:r>
      <w:r>
        <w:rPr>
          <w:highlight w:val="none"/>
        </w:rPr>
        <w:fldChar w:fldCharType="separate"/>
      </w:r>
      <w:r>
        <w:rPr>
          <w:rFonts w:hint="eastAsia"/>
          <w:highlight w:val="none"/>
        </w:rPr>
        <w:t>16.1 物价波动引起的价格调整</w:t>
      </w:r>
      <w:r>
        <w:rPr>
          <w:highlight w:val="none"/>
        </w:rPr>
        <w:tab/>
      </w:r>
      <w:r>
        <w:rPr>
          <w:highlight w:val="none"/>
        </w:rPr>
        <w:fldChar w:fldCharType="begin"/>
      </w:r>
      <w:r>
        <w:rPr>
          <w:highlight w:val="none"/>
        </w:rPr>
        <w:instrText xml:space="preserve"> PAGEREF _Toc30632 </w:instrText>
      </w:r>
      <w:r>
        <w:rPr>
          <w:highlight w:val="none"/>
        </w:rPr>
        <w:fldChar w:fldCharType="separate"/>
      </w:r>
      <w:r>
        <w:rPr>
          <w:highlight w:val="none"/>
        </w:rPr>
        <w:t>117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_Toc1987 </w:instrText>
      </w:r>
      <w:r>
        <w:rPr>
          <w:highlight w:val="none"/>
        </w:rPr>
        <w:fldChar w:fldCharType="separate"/>
      </w:r>
      <w:r>
        <w:rPr>
          <w:rFonts w:hint="eastAsia"/>
          <w:highlight w:val="none"/>
        </w:rPr>
        <w:t>16.1.1.2 暂时确定调整差额</w:t>
      </w:r>
      <w:r>
        <w:rPr>
          <w:highlight w:val="none"/>
        </w:rPr>
        <w:tab/>
      </w:r>
      <w:r>
        <w:rPr>
          <w:highlight w:val="none"/>
        </w:rPr>
        <w:fldChar w:fldCharType="begin"/>
      </w:r>
      <w:r>
        <w:rPr>
          <w:highlight w:val="none"/>
        </w:rPr>
        <w:instrText xml:space="preserve"> PAGEREF _Toc1987 </w:instrText>
      </w:r>
      <w:r>
        <w:rPr>
          <w:highlight w:val="none"/>
        </w:rPr>
        <w:fldChar w:fldCharType="separate"/>
      </w:r>
      <w:r>
        <w:rPr>
          <w:highlight w:val="none"/>
        </w:rPr>
        <w:t>117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_Toc29772 </w:instrText>
      </w:r>
      <w:r>
        <w:rPr>
          <w:highlight w:val="none"/>
        </w:rPr>
        <w:fldChar w:fldCharType="separate"/>
      </w:r>
      <w:r>
        <w:rPr>
          <w:rFonts w:hint="eastAsia"/>
          <w:highlight w:val="none"/>
        </w:rPr>
        <w:t>16.1.1.3 权重的调整</w:t>
      </w:r>
      <w:r>
        <w:rPr>
          <w:highlight w:val="none"/>
        </w:rPr>
        <w:tab/>
      </w:r>
      <w:r>
        <w:rPr>
          <w:highlight w:val="none"/>
        </w:rPr>
        <w:fldChar w:fldCharType="begin"/>
      </w:r>
      <w:r>
        <w:rPr>
          <w:highlight w:val="none"/>
        </w:rPr>
        <w:instrText xml:space="preserve"> PAGEREF _Toc29772 </w:instrText>
      </w:r>
      <w:r>
        <w:rPr>
          <w:highlight w:val="none"/>
        </w:rPr>
        <w:fldChar w:fldCharType="separate"/>
      </w:r>
      <w:r>
        <w:rPr>
          <w:highlight w:val="none"/>
        </w:rPr>
        <w:t>117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_Toc24409 </w:instrText>
      </w:r>
      <w:r>
        <w:rPr>
          <w:highlight w:val="none"/>
        </w:rPr>
        <w:fldChar w:fldCharType="separate"/>
      </w:r>
      <w:r>
        <w:rPr>
          <w:rFonts w:hint="eastAsia"/>
          <w:highlight w:val="none"/>
        </w:rPr>
        <w:t>16.1.1.4 承包人工期延误后的价格调整</w:t>
      </w:r>
      <w:r>
        <w:rPr>
          <w:highlight w:val="none"/>
        </w:rPr>
        <w:tab/>
      </w:r>
      <w:r>
        <w:rPr>
          <w:highlight w:val="none"/>
        </w:rPr>
        <w:fldChar w:fldCharType="begin"/>
      </w:r>
      <w:r>
        <w:rPr>
          <w:highlight w:val="none"/>
        </w:rPr>
        <w:instrText xml:space="preserve"> PAGEREF _Toc24409 </w:instrText>
      </w:r>
      <w:r>
        <w:rPr>
          <w:highlight w:val="none"/>
        </w:rPr>
        <w:fldChar w:fldCharType="separate"/>
      </w:r>
      <w:r>
        <w:rPr>
          <w:highlight w:val="none"/>
        </w:rPr>
        <w:t>117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_Toc13994 </w:instrText>
      </w:r>
      <w:r>
        <w:rPr>
          <w:highlight w:val="none"/>
        </w:rPr>
        <w:fldChar w:fldCharType="separate"/>
      </w:r>
      <w:r>
        <w:rPr>
          <w:rFonts w:hint="eastAsia"/>
          <w:highlight w:val="none"/>
        </w:rPr>
        <w:t>16.2 法律变化引起的价格调整</w:t>
      </w:r>
      <w:r>
        <w:rPr>
          <w:highlight w:val="none"/>
        </w:rPr>
        <w:tab/>
      </w:r>
      <w:r>
        <w:rPr>
          <w:highlight w:val="none"/>
        </w:rPr>
        <w:fldChar w:fldCharType="begin"/>
      </w:r>
      <w:r>
        <w:rPr>
          <w:highlight w:val="none"/>
        </w:rPr>
        <w:instrText xml:space="preserve"> PAGEREF _Toc13994 </w:instrText>
      </w:r>
      <w:r>
        <w:rPr>
          <w:highlight w:val="none"/>
        </w:rPr>
        <w:fldChar w:fldCharType="separate"/>
      </w:r>
      <w:r>
        <w:rPr>
          <w:highlight w:val="none"/>
        </w:rPr>
        <w:t>118</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_Toc10237 </w:instrText>
      </w:r>
      <w:r>
        <w:rPr>
          <w:highlight w:val="none"/>
        </w:rPr>
        <w:fldChar w:fldCharType="separate"/>
      </w:r>
      <w:r>
        <w:rPr>
          <w:rFonts w:hint="eastAsia"/>
          <w:highlight w:val="none"/>
        </w:rPr>
        <w:t>17. 计量与支付</w:t>
      </w:r>
      <w:r>
        <w:rPr>
          <w:highlight w:val="none"/>
        </w:rPr>
        <w:tab/>
      </w:r>
      <w:r>
        <w:rPr>
          <w:highlight w:val="none"/>
        </w:rPr>
        <w:fldChar w:fldCharType="begin"/>
      </w:r>
      <w:r>
        <w:rPr>
          <w:highlight w:val="none"/>
        </w:rPr>
        <w:instrText xml:space="preserve"> PAGEREF _Toc10237 </w:instrText>
      </w:r>
      <w:r>
        <w:rPr>
          <w:highlight w:val="none"/>
        </w:rPr>
        <w:fldChar w:fldCharType="separate"/>
      </w:r>
      <w:r>
        <w:rPr>
          <w:highlight w:val="none"/>
        </w:rPr>
        <w:t>118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_Toc27680 </w:instrText>
      </w:r>
      <w:r>
        <w:rPr>
          <w:highlight w:val="none"/>
        </w:rPr>
        <w:fldChar w:fldCharType="separate"/>
      </w:r>
      <w:r>
        <w:rPr>
          <w:rFonts w:hint="eastAsia"/>
          <w:highlight w:val="none"/>
        </w:rPr>
        <w:t>17.1 计量</w:t>
      </w:r>
      <w:r>
        <w:rPr>
          <w:highlight w:val="none"/>
        </w:rPr>
        <w:tab/>
      </w:r>
      <w:r>
        <w:rPr>
          <w:highlight w:val="none"/>
        </w:rPr>
        <w:fldChar w:fldCharType="begin"/>
      </w:r>
      <w:r>
        <w:rPr>
          <w:highlight w:val="none"/>
        </w:rPr>
        <w:instrText xml:space="preserve"> PAGEREF _Toc27680 </w:instrText>
      </w:r>
      <w:r>
        <w:rPr>
          <w:highlight w:val="none"/>
        </w:rPr>
        <w:fldChar w:fldCharType="separate"/>
      </w:r>
      <w:r>
        <w:rPr>
          <w:highlight w:val="none"/>
        </w:rPr>
        <w:t>118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_Toc7571 </w:instrText>
      </w:r>
      <w:r>
        <w:rPr>
          <w:highlight w:val="none"/>
        </w:rPr>
        <w:fldChar w:fldCharType="separate"/>
      </w:r>
      <w:r>
        <w:rPr>
          <w:rFonts w:hint="eastAsia"/>
          <w:highlight w:val="none"/>
        </w:rPr>
        <w:t>17.2 预付款</w:t>
      </w:r>
      <w:r>
        <w:rPr>
          <w:highlight w:val="none"/>
        </w:rPr>
        <w:tab/>
      </w:r>
      <w:r>
        <w:rPr>
          <w:highlight w:val="none"/>
        </w:rPr>
        <w:fldChar w:fldCharType="begin"/>
      </w:r>
      <w:r>
        <w:rPr>
          <w:highlight w:val="none"/>
        </w:rPr>
        <w:instrText xml:space="preserve"> PAGEREF _Toc7571 </w:instrText>
      </w:r>
      <w:r>
        <w:rPr>
          <w:highlight w:val="none"/>
        </w:rPr>
        <w:fldChar w:fldCharType="separate"/>
      </w:r>
      <w:r>
        <w:rPr>
          <w:highlight w:val="none"/>
        </w:rPr>
        <w:t>119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_Toc32020 </w:instrText>
      </w:r>
      <w:r>
        <w:rPr>
          <w:highlight w:val="none"/>
        </w:rPr>
        <w:fldChar w:fldCharType="separate"/>
      </w:r>
      <w:r>
        <w:rPr>
          <w:rFonts w:hint="eastAsia"/>
          <w:highlight w:val="none"/>
        </w:rPr>
        <w:t>17.3 工程进度付款</w:t>
      </w:r>
      <w:r>
        <w:rPr>
          <w:highlight w:val="none"/>
        </w:rPr>
        <w:tab/>
      </w:r>
      <w:r>
        <w:rPr>
          <w:highlight w:val="none"/>
        </w:rPr>
        <w:fldChar w:fldCharType="begin"/>
      </w:r>
      <w:r>
        <w:rPr>
          <w:highlight w:val="none"/>
        </w:rPr>
        <w:instrText xml:space="preserve"> PAGEREF _Toc32020 </w:instrText>
      </w:r>
      <w:r>
        <w:rPr>
          <w:highlight w:val="none"/>
        </w:rPr>
        <w:fldChar w:fldCharType="separate"/>
      </w:r>
      <w:r>
        <w:rPr>
          <w:highlight w:val="none"/>
        </w:rPr>
        <w:t>119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_Toc31410 </w:instrText>
      </w:r>
      <w:r>
        <w:rPr>
          <w:highlight w:val="none"/>
        </w:rPr>
        <w:fldChar w:fldCharType="separate"/>
      </w:r>
      <w:r>
        <w:rPr>
          <w:rFonts w:hint="eastAsia"/>
          <w:highlight w:val="none"/>
        </w:rPr>
        <w:t>17.4 质量保证金</w:t>
      </w:r>
      <w:r>
        <w:rPr>
          <w:highlight w:val="none"/>
        </w:rPr>
        <w:tab/>
      </w:r>
      <w:r>
        <w:rPr>
          <w:highlight w:val="none"/>
        </w:rPr>
        <w:fldChar w:fldCharType="begin"/>
      </w:r>
      <w:r>
        <w:rPr>
          <w:highlight w:val="none"/>
        </w:rPr>
        <w:instrText xml:space="preserve"> PAGEREF _Toc31410 </w:instrText>
      </w:r>
      <w:r>
        <w:rPr>
          <w:highlight w:val="none"/>
        </w:rPr>
        <w:fldChar w:fldCharType="separate"/>
      </w:r>
      <w:r>
        <w:rPr>
          <w:highlight w:val="none"/>
        </w:rPr>
        <w:t>120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_Toc1636 </w:instrText>
      </w:r>
      <w:r>
        <w:rPr>
          <w:highlight w:val="none"/>
        </w:rPr>
        <w:fldChar w:fldCharType="separate"/>
      </w:r>
      <w:r>
        <w:rPr>
          <w:rFonts w:hint="eastAsia"/>
          <w:highlight w:val="none"/>
        </w:rPr>
        <w:t>17.5 竣工结算</w:t>
      </w:r>
      <w:r>
        <w:rPr>
          <w:highlight w:val="none"/>
        </w:rPr>
        <w:tab/>
      </w:r>
      <w:r>
        <w:rPr>
          <w:highlight w:val="none"/>
        </w:rPr>
        <w:fldChar w:fldCharType="begin"/>
      </w:r>
      <w:r>
        <w:rPr>
          <w:highlight w:val="none"/>
        </w:rPr>
        <w:instrText xml:space="preserve"> PAGEREF _Toc1636 </w:instrText>
      </w:r>
      <w:r>
        <w:rPr>
          <w:highlight w:val="none"/>
        </w:rPr>
        <w:fldChar w:fldCharType="separate"/>
      </w:r>
      <w:r>
        <w:rPr>
          <w:highlight w:val="none"/>
        </w:rPr>
        <w:t>120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_Toc2779 </w:instrText>
      </w:r>
      <w:r>
        <w:rPr>
          <w:highlight w:val="none"/>
        </w:rPr>
        <w:fldChar w:fldCharType="separate"/>
      </w:r>
      <w:r>
        <w:rPr>
          <w:rFonts w:hint="eastAsia"/>
          <w:highlight w:val="none"/>
        </w:rPr>
        <w:t>17.6 最终结清</w:t>
      </w:r>
      <w:r>
        <w:rPr>
          <w:highlight w:val="none"/>
        </w:rPr>
        <w:tab/>
      </w:r>
      <w:r>
        <w:rPr>
          <w:highlight w:val="none"/>
        </w:rPr>
        <w:fldChar w:fldCharType="begin"/>
      </w:r>
      <w:r>
        <w:rPr>
          <w:highlight w:val="none"/>
        </w:rPr>
        <w:instrText xml:space="preserve"> PAGEREF _Toc2779 </w:instrText>
      </w:r>
      <w:r>
        <w:rPr>
          <w:highlight w:val="none"/>
        </w:rPr>
        <w:fldChar w:fldCharType="separate"/>
      </w:r>
      <w:r>
        <w:rPr>
          <w:highlight w:val="none"/>
        </w:rPr>
        <w:t>121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_Toc10048 </w:instrText>
      </w:r>
      <w:r>
        <w:rPr>
          <w:highlight w:val="none"/>
        </w:rPr>
        <w:fldChar w:fldCharType="separate"/>
      </w:r>
      <w:r>
        <w:rPr>
          <w:rFonts w:hint="eastAsia"/>
          <w:highlight w:val="none"/>
        </w:rPr>
        <w:t>18. 竣工验收</w:t>
      </w:r>
      <w:r>
        <w:rPr>
          <w:highlight w:val="none"/>
        </w:rPr>
        <w:tab/>
      </w:r>
      <w:r>
        <w:rPr>
          <w:highlight w:val="none"/>
        </w:rPr>
        <w:fldChar w:fldCharType="begin"/>
      </w:r>
      <w:r>
        <w:rPr>
          <w:highlight w:val="none"/>
        </w:rPr>
        <w:instrText xml:space="preserve"> PAGEREF _Toc10048 </w:instrText>
      </w:r>
      <w:r>
        <w:rPr>
          <w:highlight w:val="none"/>
        </w:rPr>
        <w:fldChar w:fldCharType="separate"/>
      </w:r>
      <w:r>
        <w:rPr>
          <w:highlight w:val="none"/>
        </w:rPr>
        <w:t>122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_Toc13160 </w:instrText>
      </w:r>
      <w:r>
        <w:rPr>
          <w:highlight w:val="none"/>
        </w:rPr>
        <w:fldChar w:fldCharType="separate"/>
      </w:r>
      <w:r>
        <w:rPr>
          <w:rFonts w:hint="eastAsia"/>
          <w:highlight w:val="none"/>
        </w:rPr>
        <w:t>18.1 竣工验收的含义</w:t>
      </w:r>
      <w:r>
        <w:rPr>
          <w:highlight w:val="none"/>
        </w:rPr>
        <w:tab/>
      </w:r>
      <w:r>
        <w:rPr>
          <w:highlight w:val="none"/>
        </w:rPr>
        <w:fldChar w:fldCharType="begin"/>
      </w:r>
      <w:r>
        <w:rPr>
          <w:highlight w:val="none"/>
        </w:rPr>
        <w:instrText xml:space="preserve"> PAGEREF _Toc13160 </w:instrText>
      </w:r>
      <w:r>
        <w:rPr>
          <w:highlight w:val="none"/>
        </w:rPr>
        <w:fldChar w:fldCharType="separate"/>
      </w:r>
      <w:r>
        <w:rPr>
          <w:highlight w:val="none"/>
        </w:rPr>
        <w:t>122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_Toc3801 </w:instrText>
      </w:r>
      <w:r>
        <w:rPr>
          <w:highlight w:val="none"/>
        </w:rPr>
        <w:fldChar w:fldCharType="separate"/>
      </w:r>
      <w:r>
        <w:rPr>
          <w:rFonts w:hint="eastAsia"/>
          <w:highlight w:val="none"/>
        </w:rPr>
        <w:t>18.2 竣工验收申请报告</w:t>
      </w:r>
      <w:r>
        <w:rPr>
          <w:highlight w:val="none"/>
        </w:rPr>
        <w:tab/>
      </w:r>
      <w:r>
        <w:rPr>
          <w:highlight w:val="none"/>
        </w:rPr>
        <w:fldChar w:fldCharType="begin"/>
      </w:r>
      <w:r>
        <w:rPr>
          <w:highlight w:val="none"/>
        </w:rPr>
        <w:instrText xml:space="preserve"> PAGEREF _Toc3801 </w:instrText>
      </w:r>
      <w:r>
        <w:rPr>
          <w:highlight w:val="none"/>
        </w:rPr>
        <w:fldChar w:fldCharType="separate"/>
      </w:r>
      <w:r>
        <w:rPr>
          <w:highlight w:val="none"/>
        </w:rPr>
        <w:t>122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_Toc20735 </w:instrText>
      </w:r>
      <w:r>
        <w:rPr>
          <w:highlight w:val="none"/>
        </w:rPr>
        <w:fldChar w:fldCharType="separate"/>
      </w:r>
      <w:r>
        <w:rPr>
          <w:rFonts w:hint="eastAsia"/>
          <w:highlight w:val="none"/>
        </w:rPr>
        <w:t>18.3 验收</w:t>
      </w:r>
      <w:r>
        <w:rPr>
          <w:highlight w:val="none"/>
        </w:rPr>
        <w:tab/>
      </w:r>
      <w:r>
        <w:rPr>
          <w:highlight w:val="none"/>
        </w:rPr>
        <w:fldChar w:fldCharType="begin"/>
      </w:r>
      <w:r>
        <w:rPr>
          <w:highlight w:val="none"/>
        </w:rPr>
        <w:instrText xml:space="preserve"> PAGEREF _Toc20735 </w:instrText>
      </w:r>
      <w:r>
        <w:rPr>
          <w:highlight w:val="none"/>
        </w:rPr>
        <w:fldChar w:fldCharType="separate"/>
      </w:r>
      <w:r>
        <w:rPr>
          <w:highlight w:val="none"/>
        </w:rPr>
        <w:t>122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_Toc20622 </w:instrText>
      </w:r>
      <w:r>
        <w:rPr>
          <w:highlight w:val="none"/>
        </w:rPr>
        <w:fldChar w:fldCharType="separate"/>
      </w:r>
      <w:r>
        <w:rPr>
          <w:rFonts w:hint="eastAsia"/>
          <w:highlight w:val="none"/>
        </w:rPr>
        <w:t>18.4 单位工程验收</w:t>
      </w:r>
      <w:r>
        <w:rPr>
          <w:highlight w:val="none"/>
        </w:rPr>
        <w:tab/>
      </w:r>
      <w:r>
        <w:rPr>
          <w:highlight w:val="none"/>
        </w:rPr>
        <w:fldChar w:fldCharType="begin"/>
      </w:r>
      <w:r>
        <w:rPr>
          <w:highlight w:val="none"/>
        </w:rPr>
        <w:instrText xml:space="preserve"> PAGEREF _Toc20622 </w:instrText>
      </w:r>
      <w:r>
        <w:rPr>
          <w:highlight w:val="none"/>
        </w:rPr>
        <w:fldChar w:fldCharType="separate"/>
      </w:r>
      <w:r>
        <w:rPr>
          <w:highlight w:val="none"/>
        </w:rPr>
        <w:t>123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_Toc30093 </w:instrText>
      </w:r>
      <w:r>
        <w:rPr>
          <w:highlight w:val="none"/>
        </w:rPr>
        <w:fldChar w:fldCharType="separate"/>
      </w:r>
      <w:r>
        <w:rPr>
          <w:rFonts w:hint="eastAsia"/>
          <w:highlight w:val="none"/>
        </w:rPr>
        <w:t>18.5 施工期运行</w:t>
      </w:r>
      <w:r>
        <w:rPr>
          <w:highlight w:val="none"/>
        </w:rPr>
        <w:tab/>
      </w:r>
      <w:r>
        <w:rPr>
          <w:highlight w:val="none"/>
        </w:rPr>
        <w:fldChar w:fldCharType="begin"/>
      </w:r>
      <w:r>
        <w:rPr>
          <w:highlight w:val="none"/>
        </w:rPr>
        <w:instrText xml:space="preserve"> PAGEREF _Toc30093 </w:instrText>
      </w:r>
      <w:r>
        <w:rPr>
          <w:highlight w:val="none"/>
        </w:rPr>
        <w:fldChar w:fldCharType="separate"/>
      </w:r>
      <w:r>
        <w:rPr>
          <w:highlight w:val="none"/>
        </w:rPr>
        <w:t>123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_Toc31358 </w:instrText>
      </w:r>
      <w:r>
        <w:rPr>
          <w:highlight w:val="none"/>
        </w:rPr>
        <w:fldChar w:fldCharType="separate"/>
      </w:r>
      <w:r>
        <w:rPr>
          <w:rFonts w:hint="eastAsia"/>
          <w:highlight w:val="none"/>
        </w:rPr>
        <w:t>18.6 试运行</w:t>
      </w:r>
      <w:r>
        <w:rPr>
          <w:highlight w:val="none"/>
        </w:rPr>
        <w:tab/>
      </w:r>
      <w:r>
        <w:rPr>
          <w:highlight w:val="none"/>
        </w:rPr>
        <w:fldChar w:fldCharType="begin"/>
      </w:r>
      <w:r>
        <w:rPr>
          <w:highlight w:val="none"/>
        </w:rPr>
        <w:instrText xml:space="preserve"> PAGEREF _Toc31358 </w:instrText>
      </w:r>
      <w:r>
        <w:rPr>
          <w:highlight w:val="none"/>
        </w:rPr>
        <w:fldChar w:fldCharType="separate"/>
      </w:r>
      <w:r>
        <w:rPr>
          <w:highlight w:val="none"/>
        </w:rPr>
        <w:t>123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_Toc13069 </w:instrText>
      </w:r>
      <w:r>
        <w:rPr>
          <w:highlight w:val="none"/>
        </w:rPr>
        <w:fldChar w:fldCharType="separate"/>
      </w:r>
      <w:r>
        <w:rPr>
          <w:rFonts w:hint="eastAsia"/>
          <w:highlight w:val="none"/>
        </w:rPr>
        <w:t>18.7 竣工清场</w:t>
      </w:r>
      <w:r>
        <w:rPr>
          <w:highlight w:val="none"/>
        </w:rPr>
        <w:tab/>
      </w:r>
      <w:r>
        <w:rPr>
          <w:highlight w:val="none"/>
        </w:rPr>
        <w:fldChar w:fldCharType="begin"/>
      </w:r>
      <w:r>
        <w:rPr>
          <w:highlight w:val="none"/>
        </w:rPr>
        <w:instrText xml:space="preserve"> PAGEREF _Toc13069 </w:instrText>
      </w:r>
      <w:r>
        <w:rPr>
          <w:highlight w:val="none"/>
        </w:rPr>
        <w:fldChar w:fldCharType="separate"/>
      </w:r>
      <w:r>
        <w:rPr>
          <w:highlight w:val="none"/>
        </w:rPr>
        <w:t>123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_Toc2472 </w:instrText>
      </w:r>
      <w:r>
        <w:rPr>
          <w:highlight w:val="none"/>
        </w:rPr>
        <w:fldChar w:fldCharType="separate"/>
      </w:r>
      <w:r>
        <w:rPr>
          <w:rFonts w:hint="eastAsia"/>
          <w:highlight w:val="none"/>
        </w:rPr>
        <w:t>18.8 施工队伍的撤离</w:t>
      </w:r>
      <w:r>
        <w:rPr>
          <w:highlight w:val="none"/>
        </w:rPr>
        <w:tab/>
      </w:r>
      <w:r>
        <w:rPr>
          <w:highlight w:val="none"/>
        </w:rPr>
        <w:fldChar w:fldCharType="begin"/>
      </w:r>
      <w:r>
        <w:rPr>
          <w:highlight w:val="none"/>
        </w:rPr>
        <w:instrText xml:space="preserve"> PAGEREF _Toc2472 </w:instrText>
      </w:r>
      <w:r>
        <w:rPr>
          <w:highlight w:val="none"/>
        </w:rPr>
        <w:fldChar w:fldCharType="separate"/>
      </w:r>
      <w:r>
        <w:rPr>
          <w:highlight w:val="none"/>
        </w:rPr>
        <w:t>124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_Toc16816 </w:instrText>
      </w:r>
      <w:r>
        <w:rPr>
          <w:highlight w:val="none"/>
        </w:rPr>
        <w:fldChar w:fldCharType="separate"/>
      </w:r>
      <w:r>
        <w:rPr>
          <w:rFonts w:hint="eastAsia"/>
          <w:highlight w:val="none"/>
        </w:rPr>
        <w:t>19. 缺陷责任与保修责任</w:t>
      </w:r>
      <w:r>
        <w:rPr>
          <w:highlight w:val="none"/>
        </w:rPr>
        <w:tab/>
      </w:r>
      <w:r>
        <w:rPr>
          <w:highlight w:val="none"/>
        </w:rPr>
        <w:fldChar w:fldCharType="begin"/>
      </w:r>
      <w:r>
        <w:rPr>
          <w:highlight w:val="none"/>
        </w:rPr>
        <w:instrText xml:space="preserve"> PAGEREF _Toc16816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_Toc28668 </w:instrText>
      </w:r>
      <w:r>
        <w:rPr>
          <w:highlight w:val="none"/>
        </w:rPr>
        <w:fldChar w:fldCharType="separate"/>
      </w:r>
      <w:r>
        <w:rPr>
          <w:rFonts w:hint="eastAsia"/>
          <w:highlight w:val="none"/>
        </w:rPr>
        <w:t>19.1 缺陷责任期的起算时间</w:t>
      </w:r>
      <w:r>
        <w:rPr>
          <w:highlight w:val="none"/>
        </w:rPr>
        <w:tab/>
      </w:r>
      <w:r>
        <w:rPr>
          <w:highlight w:val="none"/>
        </w:rPr>
        <w:fldChar w:fldCharType="begin"/>
      </w:r>
      <w:r>
        <w:rPr>
          <w:highlight w:val="none"/>
        </w:rPr>
        <w:instrText xml:space="preserve"> PAGEREF _Toc28668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_Toc1057 </w:instrText>
      </w:r>
      <w:r>
        <w:rPr>
          <w:highlight w:val="none"/>
        </w:rPr>
        <w:fldChar w:fldCharType="separate"/>
      </w:r>
      <w:r>
        <w:rPr>
          <w:rFonts w:hint="eastAsia"/>
          <w:highlight w:val="none"/>
        </w:rPr>
        <w:t>19.2 缺陷责任</w:t>
      </w:r>
      <w:r>
        <w:rPr>
          <w:highlight w:val="none"/>
        </w:rPr>
        <w:tab/>
      </w:r>
      <w:r>
        <w:rPr>
          <w:highlight w:val="none"/>
        </w:rPr>
        <w:fldChar w:fldCharType="begin"/>
      </w:r>
      <w:r>
        <w:rPr>
          <w:highlight w:val="none"/>
        </w:rPr>
        <w:instrText xml:space="preserve"> PAGEREF _Toc1057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_Toc17419 </w:instrText>
      </w:r>
      <w:r>
        <w:rPr>
          <w:highlight w:val="none"/>
        </w:rPr>
        <w:fldChar w:fldCharType="separate"/>
      </w:r>
      <w:r>
        <w:rPr>
          <w:rFonts w:hint="eastAsia"/>
          <w:highlight w:val="none"/>
        </w:rPr>
        <w:t>19.3 缺陷责任期的延长</w:t>
      </w:r>
      <w:r>
        <w:rPr>
          <w:highlight w:val="none"/>
        </w:rPr>
        <w:tab/>
      </w:r>
      <w:r>
        <w:rPr>
          <w:highlight w:val="none"/>
        </w:rPr>
        <w:fldChar w:fldCharType="begin"/>
      </w:r>
      <w:r>
        <w:rPr>
          <w:highlight w:val="none"/>
        </w:rPr>
        <w:instrText xml:space="preserve"> PAGEREF _Toc17419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_Toc17137 </w:instrText>
      </w:r>
      <w:r>
        <w:rPr>
          <w:highlight w:val="none"/>
        </w:rPr>
        <w:fldChar w:fldCharType="separate"/>
      </w:r>
      <w:r>
        <w:rPr>
          <w:rFonts w:hint="eastAsia"/>
          <w:highlight w:val="none"/>
        </w:rPr>
        <w:t>19.4 进一步试验和试运行</w:t>
      </w:r>
      <w:r>
        <w:rPr>
          <w:highlight w:val="none"/>
        </w:rPr>
        <w:tab/>
      </w:r>
      <w:r>
        <w:rPr>
          <w:highlight w:val="none"/>
        </w:rPr>
        <w:fldChar w:fldCharType="begin"/>
      </w:r>
      <w:r>
        <w:rPr>
          <w:highlight w:val="none"/>
        </w:rPr>
        <w:instrText xml:space="preserve"> PAGEREF _Toc17137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_Toc12096 </w:instrText>
      </w:r>
      <w:r>
        <w:rPr>
          <w:highlight w:val="none"/>
        </w:rPr>
        <w:fldChar w:fldCharType="separate"/>
      </w:r>
      <w:r>
        <w:rPr>
          <w:rFonts w:hint="eastAsia"/>
          <w:highlight w:val="none"/>
        </w:rPr>
        <w:t>19.5 承包人的进入权</w:t>
      </w:r>
      <w:r>
        <w:rPr>
          <w:highlight w:val="none"/>
        </w:rPr>
        <w:tab/>
      </w:r>
      <w:r>
        <w:rPr>
          <w:highlight w:val="none"/>
        </w:rPr>
        <w:fldChar w:fldCharType="begin"/>
      </w:r>
      <w:r>
        <w:rPr>
          <w:highlight w:val="none"/>
        </w:rPr>
        <w:instrText xml:space="preserve"> PAGEREF _Toc12096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_Toc123 </w:instrText>
      </w:r>
      <w:r>
        <w:rPr>
          <w:highlight w:val="none"/>
        </w:rPr>
        <w:fldChar w:fldCharType="separate"/>
      </w:r>
      <w:r>
        <w:rPr>
          <w:rFonts w:hint="eastAsia"/>
          <w:highlight w:val="none"/>
        </w:rPr>
        <w:t>19.6 缺陷责任期终止证书</w:t>
      </w:r>
      <w:r>
        <w:rPr>
          <w:highlight w:val="none"/>
        </w:rPr>
        <w:tab/>
      </w:r>
      <w:r>
        <w:rPr>
          <w:highlight w:val="none"/>
        </w:rPr>
        <w:fldChar w:fldCharType="begin"/>
      </w:r>
      <w:r>
        <w:rPr>
          <w:highlight w:val="none"/>
        </w:rPr>
        <w:instrText xml:space="preserve"> PAGEREF _Toc123 </w:instrText>
      </w:r>
      <w:r>
        <w:rPr>
          <w:highlight w:val="none"/>
        </w:rPr>
        <w:fldChar w:fldCharType="separate"/>
      </w:r>
      <w:r>
        <w:rPr>
          <w:highlight w:val="none"/>
        </w:rPr>
        <w:t>124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_Toc5827 </w:instrText>
      </w:r>
      <w:r>
        <w:rPr>
          <w:highlight w:val="none"/>
        </w:rPr>
        <w:fldChar w:fldCharType="separate"/>
      </w:r>
      <w:r>
        <w:rPr>
          <w:rFonts w:hint="eastAsia"/>
          <w:highlight w:val="none"/>
        </w:rPr>
        <w:t>19.7 保修责任</w:t>
      </w:r>
      <w:r>
        <w:rPr>
          <w:highlight w:val="none"/>
        </w:rPr>
        <w:tab/>
      </w:r>
      <w:r>
        <w:rPr>
          <w:highlight w:val="none"/>
        </w:rPr>
        <w:fldChar w:fldCharType="begin"/>
      </w:r>
      <w:r>
        <w:rPr>
          <w:highlight w:val="none"/>
        </w:rPr>
        <w:instrText xml:space="preserve"> PAGEREF _Toc5827 </w:instrText>
      </w:r>
      <w:r>
        <w:rPr>
          <w:highlight w:val="none"/>
        </w:rPr>
        <w:fldChar w:fldCharType="separate"/>
      </w:r>
      <w:r>
        <w:rPr>
          <w:highlight w:val="none"/>
        </w:rPr>
        <w:t>125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_Toc4278 </w:instrText>
      </w:r>
      <w:r>
        <w:rPr>
          <w:highlight w:val="none"/>
        </w:rPr>
        <w:fldChar w:fldCharType="separate"/>
      </w:r>
      <w:r>
        <w:rPr>
          <w:rFonts w:hint="eastAsia"/>
          <w:highlight w:val="none"/>
        </w:rPr>
        <w:t>20. 保险</w:t>
      </w:r>
      <w:r>
        <w:rPr>
          <w:highlight w:val="none"/>
        </w:rPr>
        <w:tab/>
      </w:r>
      <w:r>
        <w:rPr>
          <w:highlight w:val="none"/>
        </w:rPr>
        <w:fldChar w:fldCharType="begin"/>
      </w:r>
      <w:r>
        <w:rPr>
          <w:highlight w:val="none"/>
        </w:rPr>
        <w:instrText xml:space="preserve"> PAGEREF _Toc4278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_Toc7274 </w:instrText>
      </w:r>
      <w:r>
        <w:rPr>
          <w:highlight w:val="none"/>
        </w:rPr>
        <w:fldChar w:fldCharType="separate"/>
      </w:r>
      <w:r>
        <w:rPr>
          <w:rFonts w:hint="eastAsia"/>
          <w:highlight w:val="none"/>
        </w:rPr>
        <w:t>20.1 工程保险</w:t>
      </w:r>
      <w:r>
        <w:rPr>
          <w:highlight w:val="none"/>
        </w:rPr>
        <w:tab/>
      </w:r>
      <w:r>
        <w:rPr>
          <w:highlight w:val="none"/>
        </w:rPr>
        <w:fldChar w:fldCharType="begin"/>
      </w:r>
      <w:r>
        <w:rPr>
          <w:highlight w:val="none"/>
        </w:rPr>
        <w:instrText xml:space="preserve"> PAGEREF _Toc7274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_Toc15572 </w:instrText>
      </w:r>
      <w:r>
        <w:rPr>
          <w:highlight w:val="none"/>
        </w:rPr>
        <w:fldChar w:fldCharType="separate"/>
      </w:r>
      <w:r>
        <w:rPr>
          <w:rFonts w:hint="eastAsia"/>
          <w:highlight w:val="none"/>
        </w:rPr>
        <w:t>20.2 人员工伤事故的保险</w:t>
      </w:r>
      <w:r>
        <w:rPr>
          <w:highlight w:val="none"/>
        </w:rPr>
        <w:tab/>
      </w:r>
      <w:r>
        <w:rPr>
          <w:highlight w:val="none"/>
        </w:rPr>
        <w:fldChar w:fldCharType="begin"/>
      </w:r>
      <w:r>
        <w:rPr>
          <w:highlight w:val="none"/>
        </w:rPr>
        <w:instrText xml:space="preserve"> PAGEREF _Toc15572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_Toc16501 </w:instrText>
      </w:r>
      <w:r>
        <w:rPr>
          <w:highlight w:val="none"/>
        </w:rPr>
        <w:fldChar w:fldCharType="separate"/>
      </w:r>
      <w:r>
        <w:rPr>
          <w:rFonts w:hint="eastAsia"/>
          <w:highlight w:val="none"/>
        </w:rPr>
        <w:t>20.3 人身意外伤害险</w:t>
      </w:r>
      <w:r>
        <w:rPr>
          <w:highlight w:val="none"/>
        </w:rPr>
        <w:tab/>
      </w:r>
      <w:r>
        <w:rPr>
          <w:highlight w:val="none"/>
        </w:rPr>
        <w:fldChar w:fldCharType="begin"/>
      </w:r>
      <w:r>
        <w:rPr>
          <w:highlight w:val="none"/>
        </w:rPr>
        <w:instrText xml:space="preserve"> PAGEREF _Toc16501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_Toc14496 </w:instrText>
      </w:r>
      <w:r>
        <w:rPr>
          <w:highlight w:val="none"/>
        </w:rPr>
        <w:fldChar w:fldCharType="separate"/>
      </w:r>
      <w:r>
        <w:rPr>
          <w:rFonts w:hint="eastAsia"/>
          <w:highlight w:val="none"/>
        </w:rPr>
        <w:t>20.4 第三者责任险</w:t>
      </w:r>
      <w:r>
        <w:rPr>
          <w:highlight w:val="none"/>
        </w:rPr>
        <w:tab/>
      </w:r>
      <w:r>
        <w:rPr>
          <w:highlight w:val="none"/>
        </w:rPr>
        <w:fldChar w:fldCharType="begin"/>
      </w:r>
      <w:r>
        <w:rPr>
          <w:highlight w:val="none"/>
        </w:rPr>
        <w:instrText xml:space="preserve"> PAGEREF _Toc14496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_Toc29158 </w:instrText>
      </w:r>
      <w:r>
        <w:rPr>
          <w:highlight w:val="none"/>
        </w:rPr>
        <w:fldChar w:fldCharType="separate"/>
      </w:r>
      <w:r>
        <w:rPr>
          <w:rFonts w:hint="eastAsia"/>
          <w:highlight w:val="none"/>
        </w:rPr>
        <w:t>20.5 其他保险</w:t>
      </w:r>
      <w:r>
        <w:rPr>
          <w:highlight w:val="none"/>
        </w:rPr>
        <w:tab/>
      </w:r>
      <w:r>
        <w:rPr>
          <w:highlight w:val="none"/>
        </w:rPr>
        <w:fldChar w:fldCharType="begin"/>
      </w:r>
      <w:r>
        <w:rPr>
          <w:highlight w:val="none"/>
        </w:rPr>
        <w:instrText xml:space="preserve"> PAGEREF _Toc29158 </w:instrText>
      </w:r>
      <w:r>
        <w:rPr>
          <w:highlight w:val="none"/>
        </w:rPr>
        <w:fldChar w:fldCharType="separate"/>
      </w:r>
      <w:r>
        <w:rPr>
          <w:highlight w:val="none"/>
        </w:rPr>
        <w:t>125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_Toc8178 </w:instrText>
      </w:r>
      <w:r>
        <w:rPr>
          <w:highlight w:val="none"/>
        </w:rPr>
        <w:fldChar w:fldCharType="separate"/>
      </w:r>
      <w:r>
        <w:rPr>
          <w:rFonts w:hint="eastAsia"/>
          <w:highlight w:val="none"/>
        </w:rPr>
        <w:t>20.6 对各项保险的一般要求</w:t>
      </w:r>
      <w:r>
        <w:rPr>
          <w:highlight w:val="none"/>
        </w:rPr>
        <w:tab/>
      </w:r>
      <w:r>
        <w:rPr>
          <w:highlight w:val="none"/>
        </w:rPr>
        <w:fldChar w:fldCharType="begin"/>
      </w:r>
      <w:r>
        <w:rPr>
          <w:highlight w:val="none"/>
        </w:rPr>
        <w:instrText xml:space="preserve"> PAGEREF _Toc8178 </w:instrText>
      </w:r>
      <w:r>
        <w:rPr>
          <w:highlight w:val="none"/>
        </w:rPr>
        <w:fldChar w:fldCharType="separate"/>
      </w:r>
      <w:r>
        <w:rPr>
          <w:highlight w:val="none"/>
        </w:rPr>
        <w:t>125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_Toc2723 </w:instrText>
      </w:r>
      <w:r>
        <w:rPr>
          <w:highlight w:val="none"/>
        </w:rPr>
        <w:fldChar w:fldCharType="separate"/>
      </w:r>
      <w:r>
        <w:rPr>
          <w:rFonts w:hint="eastAsia"/>
          <w:highlight w:val="none"/>
        </w:rPr>
        <w:t>21. 不可抗力</w:t>
      </w:r>
      <w:r>
        <w:rPr>
          <w:highlight w:val="none"/>
        </w:rPr>
        <w:tab/>
      </w:r>
      <w:r>
        <w:rPr>
          <w:highlight w:val="none"/>
        </w:rPr>
        <w:fldChar w:fldCharType="begin"/>
      </w:r>
      <w:r>
        <w:rPr>
          <w:highlight w:val="none"/>
        </w:rPr>
        <w:instrText xml:space="preserve"> PAGEREF _Toc2723 </w:instrText>
      </w:r>
      <w:r>
        <w:rPr>
          <w:highlight w:val="none"/>
        </w:rPr>
        <w:fldChar w:fldCharType="separate"/>
      </w:r>
      <w:r>
        <w:rPr>
          <w:highlight w:val="none"/>
        </w:rPr>
        <w:t>126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_Toc9406 </w:instrText>
      </w:r>
      <w:r>
        <w:rPr>
          <w:highlight w:val="none"/>
        </w:rPr>
        <w:fldChar w:fldCharType="separate"/>
      </w:r>
      <w:r>
        <w:rPr>
          <w:rFonts w:hint="eastAsia"/>
          <w:highlight w:val="none"/>
        </w:rPr>
        <w:t>21.1 不可抗力的确认</w:t>
      </w:r>
      <w:r>
        <w:rPr>
          <w:highlight w:val="none"/>
        </w:rPr>
        <w:tab/>
      </w:r>
      <w:r>
        <w:rPr>
          <w:highlight w:val="none"/>
        </w:rPr>
        <w:fldChar w:fldCharType="begin"/>
      </w:r>
      <w:r>
        <w:rPr>
          <w:highlight w:val="none"/>
        </w:rPr>
        <w:instrText xml:space="preserve"> PAGEREF _Toc9406 </w:instrText>
      </w:r>
      <w:r>
        <w:rPr>
          <w:highlight w:val="none"/>
        </w:rPr>
        <w:fldChar w:fldCharType="separate"/>
      </w:r>
      <w:r>
        <w:rPr>
          <w:highlight w:val="none"/>
        </w:rPr>
        <w:t>126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_Toc24024 </w:instrText>
      </w:r>
      <w:r>
        <w:rPr>
          <w:highlight w:val="none"/>
        </w:rPr>
        <w:fldChar w:fldCharType="separate"/>
      </w:r>
      <w:r>
        <w:rPr>
          <w:rFonts w:hint="eastAsia"/>
          <w:highlight w:val="none"/>
        </w:rPr>
        <w:t>21.2 不可抗力的通知</w:t>
      </w:r>
      <w:r>
        <w:rPr>
          <w:highlight w:val="none"/>
        </w:rPr>
        <w:tab/>
      </w:r>
      <w:r>
        <w:rPr>
          <w:highlight w:val="none"/>
        </w:rPr>
        <w:fldChar w:fldCharType="begin"/>
      </w:r>
      <w:r>
        <w:rPr>
          <w:highlight w:val="none"/>
        </w:rPr>
        <w:instrText xml:space="preserve"> PAGEREF _Toc24024 </w:instrText>
      </w:r>
      <w:r>
        <w:rPr>
          <w:highlight w:val="none"/>
        </w:rPr>
        <w:fldChar w:fldCharType="separate"/>
      </w:r>
      <w:r>
        <w:rPr>
          <w:highlight w:val="none"/>
        </w:rPr>
        <w:t>126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_Toc6779 </w:instrText>
      </w:r>
      <w:r>
        <w:rPr>
          <w:highlight w:val="none"/>
        </w:rPr>
        <w:fldChar w:fldCharType="separate"/>
      </w:r>
      <w:r>
        <w:rPr>
          <w:rFonts w:hint="eastAsia"/>
          <w:highlight w:val="none"/>
        </w:rPr>
        <w:t>21.3 不可抗力后果及其处理</w:t>
      </w:r>
      <w:r>
        <w:rPr>
          <w:highlight w:val="none"/>
        </w:rPr>
        <w:tab/>
      </w:r>
      <w:r>
        <w:rPr>
          <w:highlight w:val="none"/>
        </w:rPr>
        <w:fldChar w:fldCharType="begin"/>
      </w:r>
      <w:r>
        <w:rPr>
          <w:highlight w:val="none"/>
        </w:rPr>
        <w:instrText xml:space="preserve"> PAGEREF _Toc6779 </w:instrText>
      </w:r>
      <w:r>
        <w:rPr>
          <w:highlight w:val="none"/>
        </w:rPr>
        <w:fldChar w:fldCharType="separate"/>
      </w:r>
      <w:r>
        <w:rPr>
          <w:highlight w:val="none"/>
        </w:rPr>
        <w:t>126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_Toc29228 </w:instrText>
      </w:r>
      <w:r>
        <w:rPr>
          <w:highlight w:val="none"/>
        </w:rPr>
        <w:fldChar w:fldCharType="separate"/>
      </w:r>
      <w:r>
        <w:rPr>
          <w:rFonts w:hint="eastAsia"/>
          <w:highlight w:val="none"/>
        </w:rPr>
        <w:t>22. 违约</w:t>
      </w:r>
      <w:r>
        <w:rPr>
          <w:highlight w:val="none"/>
        </w:rPr>
        <w:tab/>
      </w:r>
      <w:r>
        <w:rPr>
          <w:highlight w:val="none"/>
        </w:rPr>
        <w:fldChar w:fldCharType="begin"/>
      </w:r>
      <w:r>
        <w:rPr>
          <w:highlight w:val="none"/>
        </w:rPr>
        <w:instrText xml:space="preserve"> PAGEREF _Toc29228 </w:instrText>
      </w:r>
      <w:r>
        <w:rPr>
          <w:highlight w:val="none"/>
        </w:rPr>
        <w:fldChar w:fldCharType="separate"/>
      </w:r>
      <w:r>
        <w:rPr>
          <w:highlight w:val="none"/>
        </w:rPr>
        <w:t>127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_Toc12800 </w:instrText>
      </w:r>
      <w:r>
        <w:rPr>
          <w:highlight w:val="none"/>
        </w:rPr>
        <w:fldChar w:fldCharType="separate"/>
      </w:r>
      <w:r>
        <w:rPr>
          <w:rFonts w:hint="eastAsia"/>
          <w:highlight w:val="none"/>
        </w:rPr>
        <w:t>22.1 承包人违约</w:t>
      </w:r>
      <w:r>
        <w:rPr>
          <w:highlight w:val="none"/>
        </w:rPr>
        <w:tab/>
      </w:r>
      <w:r>
        <w:rPr>
          <w:highlight w:val="none"/>
        </w:rPr>
        <w:fldChar w:fldCharType="begin"/>
      </w:r>
      <w:r>
        <w:rPr>
          <w:highlight w:val="none"/>
        </w:rPr>
        <w:instrText xml:space="preserve"> PAGEREF _Toc12800 </w:instrText>
      </w:r>
      <w:r>
        <w:rPr>
          <w:highlight w:val="none"/>
        </w:rPr>
        <w:fldChar w:fldCharType="separate"/>
      </w:r>
      <w:r>
        <w:rPr>
          <w:highlight w:val="none"/>
        </w:rPr>
        <w:t>127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_Toc3774 </w:instrText>
      </w:r>
      <w:r>
        <w:rPr>
          <w:highlight w:val="none"/>
        </w:rPr>
        <w:fldChar w:fldCharType="separate"/>
      </w:r>
      <w:r>
        <w:rPr>
          <w:rFonts w:hint="eastAsia"/>
          <w:highlight w:val="none"/>
        </w:rPr>
        <w:t>22.2 发包人违约</w:t>
      </w:r>
      <w:r>
        <w:rPr>
          <w:highlight w:val="none"/>
        </w:rPr>
        <w:tab/>
      </w:r>
      <w:r>
        <w:rPr>
          <w:highlight w:val="none"/>
        </w:rPr>
        <w:fldChar w:fldCharType="begin"/>
      </w:r>
      <w:r>
        <w:rPr>
          <w:highlight w:val="none"/>
        </w:rPr>
        <w:instrText xml:space="preserve"> PAGEREF _Toc3774 </w:instrText>
      </w:r>
      <w:r>
        <w:rPr>
          <w:highlight w:val="none"/>
        </w:rPr>
        <w:fldChar w:fldCharType="separate"/>
      </w:r>
      <w:r>
        <w:rPr>
          <w:highlight w:val="none"/>
        </w:rPr>
        <w:t>129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_Toc4359 </w:instrText>
      </w:r>
      <w:r>
        <w:rPr>
          <w:highlight w:val="none"/>
        </w:rPr>
        <w:fldChar w:fldCharType="separate"/>
      </w:r>
      <w:r>
        <w:rPr>
          <w:rFonts w:hint="eastAsia"/>
          <w:highlight w:val="none"/>
        </w:rPr>
        <w:t>22.3 第三人造成的违约</w:t>
      </w:r>
      <w:r>
        <w:rPr>
          <w:highlight w:val="none"/>
        </w:rPr>
        <w:tab/>
      </w:r>
      <w:r>
        <w:rPr>
          <w:highlight w:val="none"/>
        </w:rPr>
        <w:fldChar w:fldCharType="begin"/>
      </w:r>
      <w:r>
        <w:rPr>
          <w:highlight w:val="none"/>
        </w:rPr>
        <w:instrText xml:space="preserve"> PAGEREF _Toc4359 </w:instrText>
      </w:r>
      <w:r>
        <w:rPr>
          <w:highlight w:val="none"/>
        </w:rPr>
        <w:fldChar w:fldCharType="separate"/>
      </w:r>
      <w:r>
        <w:rPr>
          <w:highlight w:val="none"/>
        </w:rPr>
        <w:t>130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_Toc14610 </w:instrText>
      </w:r>
      <w:r>
        <w:rPr>
          <w:highlight w:val="none"/>
        </w:rPr>
        <w:fldChar w:fldCharType="separate"/>
      </w:r>
      <w:r>
        <w:rPr>
          <w:rFonts w:hint="eastAsia"/>
          <w:highlight w:val="none"/>
        </w:rPr>
        <w:t>23. 索赔</w:t>
      </w:r>
      <w:r>
        <w:rPr>
          <w:highlight w:val="none"/>
        </w:rPr>
        <w:tab/>
      </w:r>
      <w:r>
        <w:rPr>
          <w:highlight w:val="none"/>
        </w:rPr>
        <w:fldChar w:fldCharType="begin"/>
      </w:r>
      <w:r>
        <w:rPr>
          <w:highlight w:val="none"/>
        </w:rPr>
        <w:instrText xml:space="preserve"> PAGEREF _Toc14610 </w:instrText>
      </w:r>
      <w:r>
        <w:rPr>
          <w:highlight w:val="none"/>
        </w:rPr>
        <w:fldChar w:fldCharType="separate"/>
      </w:r>
      <w:r>
        <w:rPr>
          <w:highlight w:val="none"/>
        </w:rPr>
        <w:t>130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_Toc2798 </w:instrText>
      </w:r>
      <w:r>
        <w:rPr>
          <w:highlight w:val="none"/>
        </w:rPr>
        <w:fldChar w:fldCharType="separate"/>
      </w:r>
      <w:r>
        <w:rPr>
          <w:rFonts w:hint="eastAsia"/>
          <w:highlight w:val="none"/>
        </w:rPr>
        <w:t>23.1 承包人索赔的提出</w:t>
      </w:r>
      <w:r>
        <w:rPr>
          <w:highlight w:val="none"/>
        </w:rPr>
        <w:tab/>
      </w:r>
      <w:r>
        <w:rPr>
          <w:highlight w:val="none"/>
        </w:rPr>
        <w:fldChar w:fldCharType="begin"/>
      </w:r>
      <w:r>
        <w:rPr>
          <w:highlight w:val="none"/>
        </w:rPr>
        <w:instrText xml:space="preserve"> PAGEREF _Toc2798 </w:instrText>
      </w:r>
      <w:r>
        <w:rPr>
          <w:highlight w:val="none"/>
        </w:rPr>
        <w:fldChar w:fldCharType="separate"/>
      </w:r>
      <w:r>
        <w:rPr>
          <w:highlight w:val="none"/>
        </w:rPr>
        <w:t>130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_Toc29521 </w:instrText>
      </w:r>
      <w:r>
        <w:rPr>
          <w:highlight w:val="none"/>
        </w:rPr>
        <w:fldChar w:fldCharType="separate"/>
      </w:r>
      <w:r>
        <w:rPr>
          <w:rFonts w:hint="eastAsia"/>
          <w:highlight w:val="none"/>
        </w:rPr>
        <w:t>23.2 承包人索赔处理程序</w:t>
      </w:r>
      <w:r>
        <w:rPr>
          <w:highlight w:val="none"/>
        </w:rPr>
        <w:tab/>
      </w:r>
      <w:r>
        <w:rPr>
          <w:highlight w:val="none"/>
        </w:rPr>
        <w:fldChar w:fldCharType="begin"/>
      </w:r>
      <w:r>
        <w:rPr>
          <w:highlight w:val="none"/>
        </w:rPr>
        <w:instrText xml:space="preserve"> PAGEREF _Toc29521 </w:instrText>
      </w:r>
      <w:r>
        <w:rPr>
          <w:highlight w:val="none"/>
        </w:rPr>
        <w:fldChar w:fldCharType="separate"/>
      </w:r>
      <w:r>
        <w:rPr>
          <w:highlight w:val="none"/>
        </w:rPr>
        <w:t>130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_Toc11384 </w:instrText>
      </w:r>
      <w:r>
        <w:rPr>
          <w:highlight w:val="none"/>
        </w:rPr>
        <w:fldChar w:fldCharType="separate"/>
      </w:r>
      <w:r>
        <w:rPr>
          <w:rFonts w:hint="eastAsia"/>
          <w:highlight w:val="none"/>
        </w:rPr>
        <w:t>23.3 承包人提出索赔的期限</w:t>
      </w:r>
      <w:r>
        <w:rPr>
          <w:highlight w:val="none"/>
        </w:rPr>
        <w:tab/>
      </w:r>
      <w:r>
        <w:rPr>
          <w:highlight w:val="none"/>
        </w:rPr>
        <w:fldChar w:fldCharType="begin"/>
      </w:r>
      <w:r>
        <w:rPr>
          <w:highlight w:val="none"/>
        </w:rPr>
        <w:instrText xml:space="preserve"> PAGEREF _Toc11384 </w:instrText>
      </w:r>
      <w:r>
        <w:rPr>
          <w:highlight w:val="none"/>
        </w:rPr>
        <w:fldChar w:fldCharType="separate"/>
      </w:r>
      <w:r>
        <w:rPr>
          <w:highlight w:val="none"/>
        </w:rPr>
        <w:t>130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_Toc17792 </w:instrText>
      </w:r>
      <w:r>
        <w:rPr>
          <w:highlight w:val="none"/>
        </w:rPr>
        <w:fldChar w:fldCharType="separate"/>
      </w:r>
      <w:r>
        <w:rPr>
          <w:rFonts w:hint="eastAsia"/>
          <w:highlight w:val="none"/>
        </w:rPr>
        <w:t>23.4 发包人的索赔</w:t>
      </w:r>
      <w:r>
        <w:rPr>
          <w:highlight w:val="none"/>
        </w:rPr>
        <w:tab/>
      </w:r>
      <w:r>
        <w:rPr>
          <w:highlight w:val="none"/>
        </w:rPr>
        <w:fldChar w:fldCharType="begin"/>
      </w:r>
      <w:r>
        <w:rPr>
          <w:highlight w:val="none"/>
        </w:rPr>
        <w:instrText xml:space="preserve"> PAGEREF _Toc17792 </w:instrText>
      </w:r>
      <w:r>
        <w:rPr>
          <w:highlight w:val="none"/>
        </w:rPr>
        <w:fldChar w:fldCharType="separate"/>
      </w:r>
      <w:r>
        <w:rPr>
          <w:highlight w:val="none"/>
        </w:rPr>
        <w:t>130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_Toc6809 </w:instrText>
      </w:r>
      <w:r>
        <w:rPr>
          <w:highlight w:val="none"/>
        </w:rPr>
        <w:fldChar w:fldCharType="separate"/>
      </w:r>
      <w:r>
        <w:rPr>
          <w:rFonts w:hint="eastAsia"/>
          <w:highlight w:val="none"/>
        </w:rPr>
        <w:t>24. 争议的解决</w:t>
      </w:r>
      <w:r>
        <w:rPr>
          <w:highlight w:val="none"/>
        </w:rPr>
        <w:tab/>
      </w:r>
      <w:r>
        <w:rPr>
          <w:highlight w:val="none"/>
        </w:rPr>
        <w:fldChar w:fldCharType="begin"/>
      </w:r>
      <w:r>
        <w:rPr>
          <w:highlight w:val="none"/>
        </w:rPr>
        <w:instrText xml:space="preserve"> PAGEREF _Toc6809 </w:instrText>
      </w:r>
      <w:r>
        <w:rPr>
          <w:highlight w:val="none"/>
        </w:rPr>
        <w:fldChar w:fldCharType="separate"/>
      </w:r>
      <w:r>
        <w:rPr>
          <w:highlight w:val="none"/>
        </w:rPr>
        <w:t>131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_Toc12715 </w:instrText>
      </w:r>
      <w:r>
        <w:rPr>
          <w:highlight w:val="none"/>
        </w:rPr>
        <w:fldChar w:fldCharType="separate"/>
      </w:r>
      <w:r>
        <w:rPr>
          <w:rFonts w:hint="eastAsia"/>
          <w:highlight w:val="none"/>
        </w:rPr>
        <w:t>24.1 争议的解决方式</w:t>
      </w:r>
      <w:r>
        <w:rPr>
          <w:highlight w:val="none"/>
        </w:rPr>
        <w:tab/>
      </w:r>
      <w:r>
        <w:rPr>
          <w:highlight w:val="none"/>
        </w:rPr>
        <w:fldChar w:fldCharType="begin"/>
      </w:r>
      <w:r>
        <w:rPr>
          <w:highlight w:val="none"/>
        </w:rPr>
        <w:instrText xml:space="preserve"> PAGEREF _Toc12715 </w:instrText>
      </w:r>
      <w:r>
        <w:rPr>
          <w:highlight w:val="none"/>
        </w:rPr>
        <w:fldChar w:fldCharType="separate"/>
      </w:r>
      <w:r>
        <w:rPr>
          <w:highlight w:val="none"/>
        </w:rPr>
        <w:t>131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_Toc1166 </w:instrText>
      </w:r>
      <w:r>
        <w:rPr>
          <w:highlight w:val="none"/>
        </w:rPr>
        <w:fldChar w:fldCharType="separate"/>
      </w:r>
      <w:r>
        <w:rPr>
          <w:rFonts w:hint="eastAsia"/>
          <w:highlight w:val="none"/>
        </w:rPr>
        <w:t>24.2 友好解决</w:t>
      </w:r>
      <w:r>
        <w:rPr>
          <w:highlight w:val="none"/>
        </w:rPr>
        <w:tab/>
      </w:r>
      <w:r>
        <w:rPr>
          <w:highlight w:val="none"/>
        </w:rPr>
        <w:fldChar w:fldCharType="begin"/>
      </w:r>
      <w:r>
        <w:rPr>
          <w:highlight w:val="none"/>
        </w:rPr>
        <w:instrText xml:space="preserve"> PAGEREF _Toc1166 </w:instrText>
      </w:r>
      <w:r>
        <w:rPr>
          <w:highlight w:val="none"/>
        </w:rPr>
        <w:fldChar w:fldCharType="separate"/>
      </w:r>
      <w:r>
        <w:rPr>
          <w:highlight w:val="none"/>
        </w:rPr>
        <w:t>131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_Toc29196 </w:instrText>
      </w:r>
      <w:r>
        <w:rPr>
          <w:highlight w:val="none"/>
        </w:rPr>
        <w:fldChar w:fldCharType="separate"/>
      </w:r>
      <w:r>
        <w:rPr>
          <w:rFonts w:hint="eastAsia"/>
          <w:highlight w:val="none"/>
        </w:rPr>
        <w:t>24.3 争议评审</w:t>
      </w:r>
      <w:r>
        <w:rPr>
          <w:highlight w:val="none"/>
        </w:rPr>
        <w:tab/>
      </w:r>
      <w:r>
        <w:rPr>
          <w:highlight w:val="none"/>
        </w:rPr>
        <w:fldChar w:fldCharType="begin"/>
      </w:r>
      <w:r>
        <w:rPr>
          <w:highlight w:val="none"/>
        </w:rPr>
        <w:instrText xml:space="preserve"> PAGEREF _Toc29196 </w:instrText>
      </w:r>
      <w:r>
        <w:rPr>
          <w:highlight w:val="none"/>
        </w:rPr>
        <w:fldChar w:fldCharType="separate"/>
      </w:r>
      <w:r>
        <w:rPr>
          <w:highlight w:val="none"/>
        </w:rPr>
        <w:t>131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_Toc11218 </w:instrText>
      </w:r>
      <w:r>
        <w:rPr>
          <w:highlight w:val="none"/>
        </w:rPr>
        <w:fldChar w:fldCharType="separate"/>
      </w:r>
      <w:r>
        <w:rPr>
          <w:rFonts w:ascii="Arial" w:hAnsi="Arial" w:cs="Arial"/>
          <w:highlight w:val="none"/>
        </w:rPr>
        <w:t>第二节 专用合同条款</w:t>
      </w:r>
      <w:r>
        <w:rPr>
          <w:highlight w:val="none"/>
        </w:rPr>
        <w:tab/>
      </w:r>
      <w:r>
        <w:rPr>
          <w:highlight w:val="none"/>
        </w:rPr>
        <w:fldChar w:fldCharType="begin"/>
      </w:r>
      <w:r>
        <w:rPr>
          <w:highlight w:val="none"/>
        </w:rPr>
        <w:instrText xml:space="preserve"> PAGEREF _Toc11218 </w:instrText>
      </w:r>
      <w:r>
        <w:rPr>
          <w:highlight w:val="none"/>
        </w:rPr>
        <w:fldChar w:fldCharType="separate"/>
      </w:r>
      <w:r>
        <w:rPr>
          <w:highlight w:val="none"/>
        </w:rPr>
        <w:t>132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_Toc6575 </w:instrText>
      </w:r>
      <w:r>
        <w:rPr>
          <w:highlight w:val="none"/>
        </w:rPr>
        <w:fldChar w:fldCharType="separate"/>
      </w:r>
      <w:r>
        <w:rPr>
          <w:highlight w:val="none"/>
        </w:rPr>
        <w:t>1. 一般约定</w:t>
      </w:r>
      <w:r>
        <w:rPr>
          <w:highlight w:val="none"/>
        </w:rPr>
        <w:tab/>
      </w:r>
      <w:r>
        <w:rPr>
          <w:highlight w:val="none"/>
        </w:rPr>
        <w:fldChar w:fldCharType="begin"/>
      </w:r>
      <w:r>
        <w:rPr>
          <w:highlight w:val="none"/>
        </w:rPr>
        <w:instrText xml:space="preserve"> PAGEREF _Toc6575 </w:instrText>
      </w:r>
      <w:r>
        <w:rPr>
          <w:highlight w:val="none"/>
        </w:rPr>
        <w:fldChar w:fldCharType="separate"/>
      </w:r>
      <w:r>
        <w:rPr>
          <w:highlight w:val="none"/>
        </w:rPr>
        <w:t>133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_Toc22710 </w:instrText>
      </w:r>
      <w:r>
        <w:rPr>
          <w:highlight w:val="none"/>
        </w:rPr>
        <w:fldChar w:fldCharType="separate"/>
      </w:r>
      <w:r>
        <w:rPr>
          <w:rFonts w:ascii="Arial" w:hAnsi="Arial" w:cs="Arial"/>
          <w:highlight w:val="none"/>
        </w:rPr>
        <w:t>1.1 词语定义</w:t>
      </w:r>
      <w:r>
        <w:rPr>
          <w:highlight w:val="none"/>
        </w:rPr>
        <w:tab/>
      </w:r>
      <w:r>
        <w:rPr>
          <w:highlight w:val="none"/>
        </w:rPr>
        <w:fldChar w:fldCharType="begin"/>
      </w:r>
      <w:r>
        <w:rPr>
          <w:highlight w:val="none"/>
        </w:rPr>
        <w:instrText xml:space="preserve"> PAGEREF _Toc22710 </w:instrText>
      </w:r>
      <w:r>
        <w:rPr>
          <w:highlight w:val="none"/>
        </w:rPr>
        <w:fldChar w:fldCharType="separate"/>
      </w:r>
      <w:r>
        <w:rPr>
          <w:highlight w:val="none"/>
        </w:rPr>
        <w:t>133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_Toc13113 </w:instrText>
      </w:r>
      <w:r>
        <w:rPr>
          <w:highlight w:val="none"/>
        </w:rPr>
        <w:fldChar w:fldCharType="separate"/>
      </w:r>
      <w:r>
        <w:rPr>
          <w:rFonts w:hint="eastAsia" w:ascii="宋体" w:hAnsi="宋体"/>
          <w:szCs w:val="21"/>
          <w:highlight w:val="none"/>
        </w:rPr>
        <w:t>1.1.6.4 除另有特别指明外，专用合同条款中使用的措辞“合同条款”指通用合同条款和（或）专用合同条款。</w:t>
      </w:r>
      <w:r>
        <w:rPr>
          <w:highlight w:val="none"/>
        </w:rPr>
        <w:tab/>
      </w:r>
      <w:r>
        <w:rPr>
          <w:highlight w:val="none"/>
        </w:rPr>
        <w:fldChar w:fldCharType="begin"/>
      </w:r>
      <w:r>
        <w:rPr>
          <w:highlight w:val="none"/>
        </w:rPr>
        <w:instrText xml:space="preserve"> PAGEREF _Toc13113 </w:instrText>
      </w:r>
      <w:r>
        <w:rPr>
          <w:highlight w:val="none"/>
        </w:rPr>
        <w:fldChar w:fldCharType="separate"/>
      </w:r>
      <w:r>
        <w:rPr>
          <w:highlight w:val="none"/>
        </w:rPr>
        <w:t>134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_Toc2203 </w:instrText>
      </w:r>
      <w:r>
        <w:rPr>
          <w:highlight w:val="none"/>
        </w:rPr>
        <w:fldChar w:fldCharType="separate"/>
      </w:r>
      <w:r>
        <w:rPr>
          <w:rFonts w:hint="eastAsia" w:ascii="黑体" w:hAnsi="宋体" w:cs="Arial"/>
          <w:highlight w:val="none"/>
        </w:rPr>
        <w:t>1.4 合同文件的优先顺序</w:t>
      </w:r>
      <w:r>
        <w:rPr>
          <w:highlight w:val="none"/>
        </w:rPr>
        <w:tab/>
      </w:r>
      <w:r>
        <w:rPr>
          <w:highlight w:val="none"/>
        </w:rPr>
        <w:fldChar w:fldCharType="begin"/>
      </w:r>
      <w:r>
        <w:rPr>
          <w:highlight w:val="none"/>
        </w:rPr>
        <w:instrText xml:space="preserve"> PAGEREF _Toc2203 </w:instrText>
      </w:r>
      <w:r>
        <w:rPr>
          <w:highlight w:val="none"/>
        </w:rPr>
        <w:fldChar w:fldCharType="separate"/>
      </w:r>
      <w:r>
        <w:rPr>
          <w:highlight w:val="none"/>
        </w:rPr>
        <w:t>134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_Toc5798 </w:instrText>
      </w:r>
      <w:r>
        <w:rPr>
          <w:highlight w:val="none"/>
        </w:rPr>
        <w:fldChar w:fldCharType="separate"/>
      </w:r>
      <w:r>
        <w:rPr>
          <w:rFonts w:hint="eastAsia" w:ascii="黑体" w:hAnsi="宋体" w:cs="Arial"/>
          <w:highlight w:val="none"/>
        </w:rPr>
        <w:t>1.5 合同协议书</w:t>
      </w:r>
      <w:r>
        <w:rPr>
          <w:highlight w:val="none"/>
        </w:rPr>
        <w:tab/>
      </w:r>
      <w:r>
        <w:rPr>
          <w:highlight w:val="none"/>
        </w:rPr>
        <w:fldChar w:fldCharType="begin"/>
      </w:r>
      <w:r>
        <w:rPr>
          <w:highlight w:val="none"/>
        </w:rPr>
        <w:instrText xml:space="preserve"> PAGEREF _Toc5798 </w:instrText>
      </w:r>
      <w:r>
        <w:rPr>
          <w:highlight w:val="none"/>
        </w:rPr>
        <w:fldChar w:fldCharType="separate"/>
      </w:r>
      <w:r>
        <w:rPr>
          <w:highlight w:val="none"/>
        </w:rPr>
        <w:t>135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_Toc19235 </w:instrText>
      </w:r>
      <w:r>
        <w:rPr>
          <w:highlight w:val="none"/>
        </w:rPr>
        <w:fldChar w:fldCharType="separate"/>
      </w:r>
      <w:r>
        <w:rPr>
          <w:rFonts w:hint="eastAsia" w:ascii="黑体" w:hAnsi="宋体" w:cs="Arial"/>
          <w:highlight w:val="none"/>
        </w:rPr>
        <w:t>1.6 图纸和承包人文件</w:t>
      </w:r>
      <w:r>
        <w:rPr>
          <w:highlight w:val="none"/>
        </w:rPr>
        <w:tab/>
      </w:r>
      <w:r>
        <w:rPr>
          <w:highlight w:val="none"/>
        </w:rPr>
        <w:fldChar w:fldCharType="begin"/>
      </w:r>
      <w:r>
        <w:rPr>
          <w:highlight w:val="none"/>
        </w:rPr>
        <w:instrText xml:space="preserve"> PAGEREF _Toc19235 </w:instrText>
      </w:r>
      <w:r>
        <w:rPr>
          <w:highlight w:val="none"/>
        </w:rPr>
        <w:fldChar w:fldCharType="separate"/>
      </w:r>
      <w:r>
        <w:rPr>
          <w:highlight w:val="none"/>
        </w:rPr>
        <w:t>135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_Toc13888 </w:instrText>
      </w:r>
      <w:r>
        <w:rPr>
          <w:highlight w:val="none"/>
        </w:rPr>
        <w:fldChar w:fldCharType="separate"/>
      </w:r>
      <w:r>
        <w:rPr>
          <w:rFonts w:hint="eastAsia" w:ascii="黑体" w:hAnsi="宋体" w:cs="Arial"/>
          <w:highlight w:val="none"/>
        </w:rPr>
        <w:t>1.7 联 络</w:t>
      </w:r>
      <w:r>
        <w:rPr>
          <w:highlight w:val="none"/>
        </w:rPr>
        <w:tab/>
      </w:r>
      <w:r>
        <w:rPr>
          <w:highlight w:val="none"/>
        </w:rPr>
        <w:fldChar w:fldCharType="begin"/>
      </w:r>
      <w:r>
        <w:rPr>
          <w:highlight w:val="none"/>
        </w:rPr>
        <w:instrText xml:space="preserve"> PAGEREF _Toc13888 </w:instrText>
      </w:r>
      <w:r>
        <w:rPr>
          <w:highlight w:val="none"/>
        </w:rPr>
        <w:fldChar w:fldCharType="separate"/>
      </w:r>
      <w:r>
        <w:rPr>
          <w:highlight w:val="none"/>
        </w:rPr>
        <w:t>136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_Toc11739 </w:instrText>
      </w:r>
      <w:r>
        <w:rPr>
          <w:highlight w:val="none"/>
        </w:rPr>
        <w:fldChar w:fldCharType="separate"/>
      </w:r>
      <w:r>
        <w:rPr>
          <w:rFonts w:hint="eastAsia"/>
          <w:highlight w:val="none"/>
        </w:rPr>
        <w:t>2. 发包人义务</w:t>
      </w:r>
      <w:r>
        <w:rPr>
          <w:highlight w:val="none"/>
        </w:rPr>
        <w:tab/>
      </w:r>
      <w:r>
        <w:rPr>
          <w:highlight w:val="none"/>
        </w:rPr>
        <w:fldChar w:fldCharType="begin"/>
      </w:r>
      <w:r>
        <w:rPr>
          <w:highlight w:val="none"/>
        </w:rPr>
        <w:instrText xml:space="preserve"> PAGEREF _Toc11739 </w:instrText>
      </w:r>
      <w:r>
        <w:rPr>
          <w:highlight w:val="none"/>
        </w:rPr>
        <w:fldChar w:fldCharType="separate"/>
      </w:r>
      <w:r>
        <w:rPr>
          <w:highlight w:val="none"/>
        </w:rPr>
        <w:t>137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_Toc25638 </w:instrText>
      </w:r>
      <w:r>
        <w:rPr>
          <w:highlight w:val="none"/>
        </w:rPr>
        <w:fldChar w:fldCharType="separate"/>
      </w:r>
      <w:r>
        <w:rPr>
          <w:rFonts w:hint="eastAsia" w:ascii="黑体" w:hAnsi="宋体" w:cs="Arial"/>
          <w:highlight w:val="none"/>
        </w:rPr>
        <w:t>2.3 提供施工场地</w:t>
      </w:r>
      <w:r>
        <w:rPr>
          <w:highlight w:val="none"/>
        </w:rPr>
        <w:tab/>
      </w:r>
      <w:r>
        <w:rPr>
          <w:highlight w:val="none"/>
        </w:rPr>
        <w:fldChar w:fldCharType="begin"/>
      </w:r>
      <w:r>
        <w:rPr>
          <w:highlight w:val="none"/>
        </w:rPr>
        <w:instrText xml:space="preserve"> PAGEREF _Toc25638 </w:instrText>
      </w:r>
      <w:r>
        <w:rPr>
          <w:highlight w:val="none"/>
        </w:rPr>
        <w:fldChar w:fldCharType="separate"/>
      </w:r>
      <w:r>
        <w:rPr>
          <w:highlight w:val="none"/>
        </w:rPr>
        <w:t>137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_Toc21024 </w:instrText>
      </w:r>
      <w:r>
        <w:rPr>
          <w:highlight w:val="none"/>
        </w:rPr>
        <w:fldChar w:fldCharType="separate"/>
      </w:r>
      <w:r>
        <w:rPr>
          <w:rFonts w:hint="eastAsia" w:ascii="黑体" w:hAnsi="宋体" w:cs="Arial"/>
          <w:highlight w:val="none"/>
        </w:rPr>
        <w:t>2.5 组织设计交底</w:t>
      </w:r>
      <w:r>
        <w:rPr>
          <w:highlight w:val="none"/>
        </w:rPr>
        <w:tab/>
      </w:r>
      <w:r>
        <w:rPr>
          <w:highlight w:val="none"/>
        </w:rPr>
        <w:fldChar w:fldCharType="begin"/>
      </w:r>
      <w:r>
        <w:rPr>
          <w:highlight w:val="none"/>
        </w:rPr>
        <w:instrText xml:space="preserve"> PAGEREF _Toc21024 </w:instrText>
      </w:r>
      <w:r>
        <w:rPr>
          <w:highlight w:val="none"/>
        </w:rPr>
        <w:fldChar w:fldCharType="separate"/>
      </w:r>
      <w:r>
        <w:rPr>
          <w:highlight w:val="none"/>
        </w:rPr>
        <w:t>137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_Toc23824 </w:instrText>
      </w:r>
      <w:r>
        <w:rPr>
          <w:highlight w:val="none"/>
        </w:rPr>
        <w:fldChar w:fldCharType="separate"/>
      </w:r>
      <w:r>
        <w:rPr>
          <w:rFonts w:hint="eastAsia" w:ascii="黑体" w:hAnsi="宋体" w:cs="Arial"/>
          <w:highlight w:val="none"/>
        </w:rPr>
        <w:t>2.8 其他义务</w:t>
      </w:r>
      <w:r>
        <w:rPr>
          <w:highlight w:val="none"/>
        </w:rPr>
        <w:tab/>
      </w:r>
      <w:r>
        <w:rPr>
          <w:highlight w:val="none"/>
        </w:rPr>
        <w:fldChar w:fldCharType="begin"/>
      </w:r>
      <w:r>
        <w:rPr>
          <w:highlight w:val="none"/>
        </w:rPr>
        <w:instrText xml:space="preserve"> PAGEREF _Toc23824 </w:instrText>
      </w:r>
      <w:r>
        <w:rPr>
          <w:highlight w:val="none"/>
        </w:rPr>
        <w:fldChar w:fldCharType="separate"/>
      </w:r>
      <w:r>
        <w:rPr>
          <w:highlight w:val="none"/>
        </w:rPr>
        <w:t>137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_Toc26454 </w:instrText>
      </w:r>
      <w:r>
        <w:rPr>
          <w:highlight w:val="none"/>
        </w:rPr>
        <w:fldChar w:fldCharType="separate"/>
      </w:r>
      <w:r>
        <w:rPr>
          <w:rFonts w:hint="eastAsia"/>
          <w:szCs w:val="21"/>
          <w:highlight w:val="none"/>
        </w:rPr>
        <w:t>1)关于扬尘治理义务</w:t>
      </w:r>
      <w:r>
        <w:rPr>
          <w:highlight w:val="none"/>
        </w:rPr>
        <w:tab/>
      </w:r>
      <w:r>
        <w:rPr>
          <w:highlight w:val="none"/>
        </w:rPr>
        <w:fldChar w:fldCharType="begin"/>
      </w:r>
      <w:r>
        <w:rPr>
          <w:highlight w:val="none"/>
        </w:rPr>
        <w:instrText xml:space="preserve"> PAGEREF _Toc26454 </w:instrText>
      </w:r>
      <w:r>
        <w:rPr>
          <w:highlight w:val="none"/>
        </w:rPr>
        <w:fldChar w:fldCharType="separate"/>
      </w:r>
      <w:r>
        <w:rPr>
          <w:highlight w:val="none"/>
        </w:rPr>
        <w:t>137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_Toc2616 </w:instrText>
      </w:r>
      <w:r>
        <w:rPr>
          <w:highlight w:val="none"/>
        </w:rPr>
        <w:fldChar w:fldCharType="separate"/>
      </w:r>
      <w:r>
        <w:rPr>
          <w:rFonts w:hint="eastAsia"/>
          <w:highlight w:val="none"/>
        </w:rPr>
        <w:t>3. 监理人</w:t>
      </w:r>
      <w:r>
        <w:rPr>
          <w:highlight w:val="none"/>
        </w:rPr>
        <w:tab/>
      </w:r>
      <w:r>
        <w:rPr>
          <w:highlight w:val="none"/>
        </w:rPr>
        <w:fldChar w:fldCharType="begin"/>
      </w:r>
      <w:r>
        <w:rPr>
          <w:highlight w:val="none"/>
        </w:rPr>
        <w:instrText xml:space="preserve"> PAGEREF _Toc2616 </w:instrText>
      </w:r>
      <w:r>
        <w:rPr>
          <w:highlight w:val="none"/>
        </w:rPr>
        <w:fldChar w:fldCharType="separate"/>
      </w:r>
      <w:r>
        <w:rPr>
          <w:highlight w:val="none"/>
        </w:rPr>
        <w:t>138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_Toc21413 </w:instrText>
      </w:r>
      <w:r>
        <w:rPr>
          <w:highlight w:val="none"/>
        </w:rPr>
        <w:fldChar w:fldCharType="separate"/>
      </w:r>
      <w:r>
        <w:rPr>
          <w:rFonts w:hint="eastAsia" w:ascii="黑体" w:hAnsi="宋体" w:cs="Arial"/>
          <w:highlight w:val="none"/>
        </w:rPr>
        <w:t>3.1 监理人的职责和权力</w:t>
      </w:r>
      <w:r>
        <w:rPr>
          <w:highlight w:val="none"/>
        </w:rPr>
        <w:tab/>
      </w:r>
      <w:r>
        <w:rPr>
          <w:highlight w:val="none"/>
        </w:rPr>
        <w:fldChar w:fldCharType="begin"/>
      </w:r>
      <w:r>
        <w:rPr>
          <w:highlight w:val="none"/>
        </w:rPr>
        <w:instrText xml:space="preserve"> PAGEREF _Toc21413 </w:instrText>
      </w:r>
      <w:r>
        <w:rPr>
          <w:highlight w:val="none"/>
        </w:rPr>
        <w:fldChar w:fldCharType="separate"/>
      </w:r>
      <w:r>
        <w:rPr>
          <w:highlight w:val="none"/>
        </w:rPr>
        <w:t>138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_Toc26587 </w:instrText>
      </w:r>
      <w:r>
        <w:rPr>
          <w:highlight w:val="none"/>
        </w:rPr>
        <w:fldChar w:fldCharType="separate"/>
      </w:r>
      <w:r>
        <w:rPr>
          <w:rFonts w:hint="eastAsia" w:ascii="黑体" w:hAnsi="宋体" w:cs="Arial"/>
          <w:highlight w:val="none"/>
        </w:rPr>
        <w:t>3.3 监理人员</w:t>
      </w:r>
      <w:r>
        <w:rPr>
          <w:highlight w:val="none"/>
        </w:rPr>
        <w:tab/>
      </w:r>
      <w:r>
        <w:rPr>
          <w:highlight w:val="none"/>
        </w:rPr>
        <w:fldChar w:fldCharType="begin"/>
      </w:r>
      <w:r>
        <w:rPr>
          <w:highlight w:val="none"/>
        </w:rPr>
        <w:instrText xml:space="preserve"> PAGEREF _Toc26587 </w:instrText>
      </w:r>
      <w:r>
        <w:rPr>
          <w:highlight w:val="none"/>
        </w:rPr>
        <w:fldChar w:fldCharType="separate"/>
      </w:r>
      <w:r>
        <w:rPr>
          <w:highlight w:val="none"/>
        </w:rPr>
        <w:t>138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_Toc25785 </w:instrText>
      </w:r>
      <w:r>
        <w:rPr>
          <w:highlight w:val="none"/>
        </w:rPr>
        <w:fldChar w:fldCharType="separate"/>
      </w:r>
      <w:r>
        <w:rPr>
          <w:rFonts w:hint="eastAsia" w:ascii="黑体" w:hAnsi="宋体" w:cs="Arial"/>
          <w:highlight w:val="none"/>
        </w:rPr>
        <w:t>3.4 监理人的指示</w:t>
      </w:r>
      <w:r>
        <w:rPr>
          <w:highlight w:val="none"/>
        </w:rPr>
        <w:tab/>
      </w:r>
      <w:r>
        <w:rPr>
          <w:highlight w:val="none"/>
        </w:rPr>
        <w:fldChar w:fldCharType="begin"/>
      </w:r>
      <w:r>
        <w:rPr>
          <w:highlight w:val="none"/>
        </w:rPr>
        <w:instrText xml:space="preserve"> PAGEREF _Toc25785 </w:instrText>
      </w:r>
      <w:r>
        <w:rPr>
          <w:highlight w:val="none"/>
        </w:rPr>
        <w:fldChar w:fldCharType="separate"/>
      </w:r>
      <w:r>
        <w:rPr>
          <w:highlight w:val="none"/>
        </w:rPr>
        <w:t>138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_Toc7976 </w:instrText>
      </w:r>
      <w:r>
        <w:rPr>
          <w:highlight w:val="none"/>
        </w:rPr>
        <w:fldChar w:fldCharType="separate"/>
      </w:r>
      <w:r>
        <w:rPr>
          <w:rFonts w:hint="eastAsia" w:ascii="黑体" w:hAnsi="宋体" w:cs="Arial"/>
          <w:highlight w:val="none"/>
        </w:rPr>
        <w:t>3.6 监理人的宽恕</w:t>
      </w:r>
      <w:r>
        <w:rPr>
          <w:highlight w:val="none"/>
        </w:rPr>
        <w:tab/>
      </w:r>
      <w:r>
        <w:rPr>
          <w:highlight w:val="none"/>
        </w:rPr>
        <w:fldChar w:fldCharType="begin"/>
      </w:r>
      <w:r>
        <w:rPr>
          <w:highlight w:val="none"/>
        </w:rPr>
        <w:instrText xml:space="preserve"> PAGEREF _Toc7976 </w:instrText>
      </w:r>
      <w:r>
        <w:rPr>
          <w:highlight w:val="none"/>
        </w:rPr>
        <w:fldChar w:fldCharType="separate"/>
      </w:r>
      <w:r>
        <w:rPr>
          <w:highlight w:val="none"/>
        </w:rPr>
        <w:t>139</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_Toc31283 </w:instrText>
      </w:r>
      <w:r>
        <w:rPr>
          <w:highlight w:val="none"/>
        </w:rPr>
        <w:fldChar w:fldCharType="separate"/>
      </w:r>
      <w:r>
        <w:rPr>
          <w:rFonts w:hint="eastAsia"/>
          <w:highlight w:val="none"/>
        </w:rPr>
        <w:t>4. 承包人</w:t>
      </w:r>
      <w:r>
        <w:rPr>
          <w:highlight w:val="none"/>
        </w:rPr>
        <w:tab/>
      </w:r>
      <w:r>
        <w:rPr>
          <w:highlight w:val="none"/>
        </w:rPr>
        <w:fldChar w:fldCharType="begin"/>
      </w:r>
      <w:r>
        <w:rPr>
          <w:highlight w:val="none"/>
        </w:rPr>
        <w:instrText xml:space="preserve"> PAGEREF _Toc31283 </w:instrText>
      </w:r>
      <w:r>
        <w:rPr>
          <w:highlight w:val="none"/>
        </w:rPr>
        <w:fldChar w:fldCharType="separate"/>
      </w:r>
      <w:r>
        <w:rPr>
          <w:highlight w:val="none"/>
        </w:rPr>
        <w:t>139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_Toc12735 </w:instrText>
      </w:r>
      <w:r>
        <w:rPr>
          <w:highlight w:val="none"/>
        </w:rPr>
        <w:fldChar w:fldCharType="separate"/>
      </w:r>
      <w:r>
        <w:rPr>
          <w:rFonts w:hint="eastAsia" w:ascii="黑体" w:hAnsi="宋体" w:cs="Arial"/>
          <w:highlight w:val="none"/>
        </w:rPr>
        <w:t>4.1 承包人的一般义务</w:t>
      </w:r>
      <w:r>
        <w:rPr>
          <w:highlight w:val="none"/>
        </w:rPr>
        <w:tab/>
      </w:r>
      <w:r>
        <w:rPr>
          <w:highlight w:val="none"/>
        </w:rPr>
        <w:fldChar w:fldCharType="begin"/>
      </w:r>
      <w:r>
        <w:rPr>
          <w:highlight w:val="none"/>
        </w:rPr>
        <w:instrText xml:space="preserve"> PAGEREF _Toc12735 </w:instrText>
      </w:r>
      <w:r>
        <w:rPr>
          <w:highlight w:val="none"/>
        </w:rPr>
        <w:fldChar w:fldCharType="separate"/>
      </w:r>
      <w:r>
        <w:rPr>
          <w:highlight w:val="none"/>
        </w:rPr>
        <w:t>139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_Toc14849 </w:instrText>
      </w:r>
      <w:r>
        <w:rPr>
          <w:highlight w:val="none"/>
        </w:rPr>
        <w:fldChar w:fldCharType="separate"/>
      </w:r>
      <w:r>
        <w:rPr>
          <w:rFonts w:hint="eastAsia" w:cs="Arial"/>
          <w:highlight w:val="none"/>
        </w:rPr>
        <w:t>17)</w:t>
      </w:r>
      <w:r>
        <w:rPr>
          <w:rFonts w:hint="eastAsia"/>
          <w:highlight w:val="none"/>
        </w:rPr>
        <w:t xml:space="preserve"> </w:t>
      </w:r>
      <w:r>
        <w:rPr>
          <w:rFonts w:hint="eastAsia" w:cs="Arial"/>
          <w:highlight w:val="none"/>
        </w:rPr>
        <w:t>承包人需要为独立供应商提供相应的管理、协调、配合、服务工作。具体要求如下：</w:t>
      </w:r>
      <w:r>
        <w:rPr>
          <w:highlight w:val="none"/>
        </w:rPr>
        <w:tab/>
      </w:r>
      <w:r>
        <w:rPr>
          <w:highlight w:val="none"/>
        </w:rPr>
        <w:fldChar w:fldCharType="begin"/>
      </w:r>
      <w:r>
        <w:rPr>
          <w:highlight w:val="none"/>
        </w:rPr>
        <w:instrText xml:space="preserve"> PAGEREF _Toc14849 </w:instrText>
      </w:r>
      <w:r>
        <w:rPr>
          <w:highlight w:val="none"/>
        </w:rPr>
        <w:fldChar w:fldCharType="separate"/>
      </w:r>
      <w:r>
        <w:rPr>
          <w:highlight w:val="none"/>
        </w:rPr>
        <w:t>143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_Toc14773 </w:instrText>
      </w:r>
      <w:r>
        <w:rPr>
          <w:highlight w:val="none"/>
        </w:rPr>
        <w:fldChar w:fldCharType="separate"/>
      </w:r>
      <w:r>
        <w:rPr>
          <w:rFonts w:hint="eastAsia" w:cs="Arial"/>
          <w:highlight w:val="none"/>
        </w:rPr>
        <w:t>1)</w:t>
      </w:r>
      <w:r>
        <w:rPr>
          <w:rFonts w:hint="eastAsia"/>
          <w:highlight w:val="none"/>
        </w:rPr>
        <w:t xml:space="preserve"> </w:t>
      </w:r>
      <w:r>
        <w:rPr>
          <w:rFonts w:hint="eastAsia" w:cs="Arial"/>
          <w:highlight w:val="none"/>
        </w:rPr>
        <w:t>承包人需要为独立供应商提供相应的管理、协调、配合、服务工作，具体要求如下：</w:t>
      </w:r>
      <w:r>
        <w:rPr>
          <w:highlight w:val="none"/>
        </w:rPr>
        <w:tab/>
      </w:r>
      <w:r>
        <w:rPr>
          <w:highlight w:val="none"/>
        </w:rPr>
        <w:fldChar w:fldCharType="begin"/>
      </w:r>
      <w:r>
        <w:rPr>
          <w:highlight w:val="none"/>
        </w:rPr>
        <w:instrText xml:space="preserve"> PAGEREF _Toc14773 </w:instrText>
      </w:r>
      <w:r>
        <w:rPr>
          <w:highlight w:val="none"/>
        </w:rPr>
        <w:fldChar w:fldCharType="separate"/>
      </w:r>
      <w:r>
        <w:rPr>
          <w:highlight w:val="none"/>
        </w:rPr>
        <w:t>143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_Toc16797 </w:instrText>
      </w:r>
      <w:r>
        <w:rPr>
          <w:highlight w:val="none"/>
        </w:rPr>
        <w:fldChar w:fldCharType="separate"/>
      </w:r>
      <w:r>
        <w:rPr>
          <w:rFonts w:hint="eastAsia" w:ascii="黑体" w:hAnsi="宋体" w:cs="Arial"/>
          <w:highlight w:val="none"/>
        </w:rPr>
        <w:t>4.2 履约担保</w:t>
      </w:r>
      <w:r>
        <w:rPr>
          <w:highlight w:val="none"/>
        </w:rPr>
        <w:tab/>
      </w:r>
      <w:r>
        <w:rPr>
          <w:highlight w:val="none"/>
        </w:rPr>
        <w:fldChar w:fldCharType="begin"/>
      </w:r>
      <w:r>
        <w:rPr>
          <w:highlight w:val="none"/>
        </w:rPr>
        <w:instrText xml:space="preserve"> PAGEREF _Toc16797 </w:instrText>
      </w:r>
      <w:r>
        <w:rPr>
          <w:highlight w:val="none"/>
        </w:rPr>
        <w:fldChar w:fldCharType="separate"/>
      </w:r>
      <w:r>
        <w:rPr>
          <w:highlight w:val="none"/>
        </w:rPr>
        <w:t>148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_Toc25483 </w:instrText>
      </w:r>
      <w:r>
        <w:rPr>
          <w:highlight w:val="none"/>
        </w:rPr>
        <w:fldChar w:fldCharType="separate"/>
      </w:r>
      <w:r>
        <w:rPr>
          <w:rFonts w:hint="eastAsia" w:ascii="黑体" w:hAnsi="宋体" w:cs="Arial"/>
          <w:highlight w:val="none"/>
        </w:rPr>
        <w:t>4.3 分包</w:t>
      </w:r>
      <w:r>
        <w:rPr>
          <w:highlight w:val="none"/>
        </w:rPr>
        <w:tab/>
      </w:r>
      <w:r>
        <w:rPr>
          <w:highlight w:val="none"/>
        </w:rPr>
        <w:fldChar w:fldCharType="begin"/>
      </w:r>
      <w:r>
        <w:rPr>
          <w:highlight w:val="none"/>
        </w:rPr>
        <w:instrText xml:space="preserve"> PAGEREF _Toc25483 </w:instrText>
      </w:r>
      <w:r>
        <w:rPr>
          <w:highlight w:val="none"/>
        </w:rPr>
        <w:fldChar w:fldCharType="separate"/>
      </w:r>
      <w:r>
        <w:rPr>
          <w:highlight w:val="none"/>
        </w:rPr>
        <w:t>148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_Toc9411 </w:instrText>
      </w:r>
      <w:r>
        <w:rPr>
          <w:highlight w:val="none"/>
        </w:rPr>
        <w:fldChar w:fldCharType="separate"/>
      </w:r>
      <w:r>
        <w:rPr>
          <w:rFonts w:hint="eastAsia" w:ascii="黑体" w:hAnsi="宋体" w:cs="Arial"/>
          <w:highlight w:val="none"/>
        </w:rPr>
        <w:t>4.5 承包人项目经理</w:t>
      </w:r>
      <w:r>
        <w:rPr>
          <w:highlight w:val="none"/>
        </w:rPr>
        <w:tab/>
      </w:r>
      <w:r>
        <w:rPr>
          <w:highlight w:val="none"/>
        </w:rPr>
        <w:fldChar w:fldCharType="begin"/>
      </w:r>
      <w:r>
        <w:rPr>
          <w:highlight w:val="none"/>
        </w:rPr>
        <w:instrText xml:space="preserve"> PAGEREF _Toc9411 </w:instrText>
      </w:r>
      <w:r>
        <w:rPr>
          <w:highlight w:val="none"/>
        </w:rPr>
        <w:fldChar w:fldCharType="separate"/>
      </w:r>
      <w:r>
        <w:rPr>
          <w:highlight w:val="none"/>
        </w:rPr>
        <w:t>149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_Toc12353 </w:instrText>
      </w:r>
      <w:r>
        <w:rPr>
          <w:highlight w:val="none"/>
        </w:rPr>
        <w:fldChar w:fldCharType="separate"/>
      </w:r>
      <w:r>
        <w:rPr>
          <w:rFonts w:hint="eastAsia" w:ascii="黑体" w:hAnsi="宋体" w:cs="Arial"/>
          <w:highlight w:val="none"/>
        </w:rPr>
        <w:t>4.11 不利物质条件</w:t>
      </w:r>
      <w:r>
        <w:rPr>
          <w:highlight w:val="none"/>
        </w:rPr>
        <w:tab/>
      </w:r>
      <w:r>
        <w:rPr>
          <w:highlight w:val="none"/>
        </w:rPr>
        <w:fldChar w:fldCharType="begin"/>
      </w:r>
      <w:r>
        <w:rPr>
          <w:highlight w:val="none"/>
        </w:rPr>
        <w:instrText xml:space="preserve"> PAGEREF _Toc12353 </w:instrText>
      </w:r>
      <w:r>
        <w:rPr>
          <w:highlight w:val="none"/>
        </w:rPr>
        <w:fldChar w:fldCharType="separate"/>
      </w:r>
      <w:r>
        <w:rPr>
          <w:highlight w:val="none"/>
        </w:rPr>
        <w:t>149</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_Toc5060 </w:instrText>
      </w:r>
      <w:r>
        <w:rPr>
          <w:highlight w:val="none"/>
        </w:rPr>
        <w:fldChar w:fldCharType="separate"/>
      </w:r>
      <w:r>
        <w:rPr>
          <w:rFonts w:hint="eastAsia"/>
          <w:highlight w:val="none"/>
        </w:rPr>
        <w:t>5. 材料和工程设备</w:t>
      </w:r>
      <w:r>
        <w:rPr>
          <w:highlight w:val="none"/>
        </w:rPr>
        <w:tab/>
      </w:r>
      <w:r>
        <w:rPr>
          <w:highlight w:val="none"/>
        </w:rPr>
        <w:fldChar w:fldCharType="begin"/>
      </w:r>
      <w:r>
        <w:rPr>
          <w:highlight w:val="none"/>
        </w:rPr>
        <w:instrText xml:space="preserve"> PAGEREF _Toc5060 </w:instrText>
      </w:r>
      <w:r>
        <w:rPr>
          <w:highlight w:val="none"/>
        </w:rPr>
        <w:fldChar w:fldCharType="separate"/>
      </w:r>
      <w:r>
        <w:rPr>
          <w:highlight w:val="none"/>
        </w:rPr>
        <w:t>149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_Toc15602 </w:instrText>
      </w:r>
      <w:r>
        <w:rPr>
          <w:highlight w:val="none"/>
        </w:rPr>
        <w:fldChar w:fldCharType="separate"/>
      </w:r>
      <w:r>
        <w:rPr>
          <w:rFonts w:hint="eastAsia" w:ascii="黑体" w:hAnsi="宋体" w:cs="Arial"/>
          <w:highlight w:val="none"/>
        </w:rPr>
        <w:t>5.1 承包人提供的材料和工程设备</w:t>
      </w:r>
      <w:r>
        <w:rPr>
          <w:highlight w:val="none"/>
        </w:rPr>
        <w:tab/>
      </w:r>
      <w:r>
        <w:rPr>
          <w:highlight w:val="none"/>
        </w:rPr>
        <w:fldChar w:fldCharType="begin"/>
      </w:r>
      <w:r>
        <w:rPr>
          <w:highlight w:val="none"/>
        </w:rPr>
        <w:instrText xml:space="preserve"> PAGEREF _Toc15602 </w:instrText>
      </w:r>
      <w:r>
        <w:rPr>
          <w:highlight w:val="none"/>
        </w:rPr>
        <w:fldChar w:fldCharType="separate"/>
      </w:r>
      <w:r>
        <w:rPr>
          <w:highlight w:val="none"/>
        </w:rPr>
        <w:t>149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_Toc21812 </w:instrText>
      </w:r>
      <w:r>
        <w:rPr>
          <w:highlight w:val="none"/>
        </w:rPr>
        <w:fldChar w:fldCharType="separate"/>
      </w:r>
      <w:r>
        <w:rPr>
          <w:rFonts w:hint="eastAsia" w:ascii="黑体" w:hAnsi="宋体" w:cs="Arial"/>
          <w:highlight w:val="none"/>
        </w:rPr>
        <w:t>5.2 发包人提供的材料和工程设备</w:t>
      </w:r>
      <w:r>
        <w:rPr>
          <w:highlight w:val="none"/>
        </w:rPr>
        <w:tab/>
      </w:r>
      <w:r>
        <w:rPr>
          <w:highlight w:val="none"/>
        </w:rPr>
        <w:fldChar w:fldCharType="begin"/>
      </w:r>
      <w:r>
        <w:rPr>
          <w:highlight w:val="none"/>
        </w:rPr>
        <w:instrText xml:space="preserve"> PAGEREF _Toc21812 </w:instrText>
      </w:r>
      <w:r>
        <w:rPr>
          <w:highlight w:val="none"/>
        </w:rPr>
        <w:fldChar w:fldCharType="separate"/>
      </w:r>
      <w:r>
        <w:rPr>
          <w:highlight w:val="none"/>
        </w:rPr>
        <w:t>150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_Toc25660 </w:instrText>
      </w:r>
      <w:r>
        <w:rPr>
          <w:highlight w:val="none"/>
        </w:rPr>
        <w:fldChar w:fldCharType="separate"/>
      </w:r>
      <w:r>
        <w:rPr>
          <w:rFonts w:hint="eastAsia"/>
          <w:highlight w:val="none"/>
        </w:rPr>
        <w:t>6. 施工设备和临时设施</w:t>
      </w:r>
      <w:r>
        <w:rPr>
          <w:highlight w:val="none"/>
        </w:rPr>
        <w:tab/>
      </w:r>
      <w:r>
        <w:rPr>
          <w:highlight w:val="none"/>
        </w:rPr>
        <w:fldChar w:fldCharType="begin"/>
      </w:r>
      <w:r>
        <w:rPr>
          <w:highlight w:val="none"/>
        </w:rPr>
        <w:instrText xml:space="preserve"> PAGEREF _Toc25660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_Toc13865 </w:instrText>
      </w:r>
      <w:r>
        <w:rPr>
          <w:highlight w:val="none"/>
        </w:rPr>
        <w:fldChar w:fldCharType="separate"/>
      </w:r>
      <w:r>
        <w:rPr>
          <w:rFonts w:hint="eastAsia" w:ascii="黑体" w:hAnsi="宋体" w:cs="Arial"/>
          <w:highlight w:val="none"/>
        </w:rPr>
        <w:t>6.1 承包人提供的施工设备和临时设施</w:t>
      </w:r>
      <w:r>
        <w:rPr>
          <w:highlight w:val="none"/>
        </w:rPr>
        <w:tab/>
      </w:r>
      <w:r>
        <w:rPr>
          <w:highlight w:val="none"/>
        </w:rPr>
        <w:fldChar w:fldCharType="begin"/>
      </w:r>
      <w:r>
        <w:rPr>
          <w:highlight w:val="none"/>
        </w:rPr>
        <w:instrText xml:space="preserve"> PAGEREF _Toc13865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_Toc28678 </w:instrText>
      </w:r>
      <w:r>
        <w:rPr>
          <w:highlight w:val="none"/>
        </w:rPr>
        <w:fldChar w:fldCharType="separate"/>
      </w:r>
      <w:r>
        <w:rPr>
          <w:rFonts w:hint="eastAsia" w:ascii="黑体" w:hAnsi="宋体" w:cs="Arial"/>
          <w:highlight w:val="none"/>
        </w:rPr>
        <w:t>6.2 发包人提供的施工设备和临时设施</w:t>
      </w:r>
      <w:r>
        <w:rPr>
          <w:highlight w:val="none"/>
        </w:rPr>
        <w:tab/>
      </w:r>
      <w:r>
        <w:rPr>
          <w:highlight w:val="none"/>
        </w:rPr>
        <w:fldChar w:fldCharType="begin"/>
      </w:r>
      <w:r>
        <w:rPr>
          <w:highlight w:val="none"/>
        </w:rPr>
        <w:instrText xml:space="preserve"> PAGEREF _Toc28678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_Toc28016 </w:instrText>
      </w:r>
      <w:r>
        <w:rPr>
          <w:highlight w:val="none"/>
        </w:rPr>
        <w:fldChar w:fldCharType="separate"/>
      </w:r>
      <w:r>
        <w:rPr>
          <w:rFonts w:hint="eastAsia" w:ascii="黑体" w:hAnsi="宋体" w:cs="Arial"/>
          <w:highlight w:val="none"/>
        </w:rPr>
        <w:t>6.4 施工设备和临时设施专用于合同工程</w:t>
      </w:r>
      <w:r>
        <w:rPr>
          <w:highlight w:val="none"/>
        </w:rPr>
        <w:tab/>
      </w:r>
      <w:r>
        <w:rPr>
          <w:highlight w:val="none"/>
        </w:rPr>
        <w:fldChar w:fldCharType="begin"/>
      </w:r>
      <w:r>
        <w:rPr>
          <w:highlight w:val="none"/>
        </w:rPr>
        <w:instrText xml:space="preserve"> PAGEREF _Toc28016 </w:instrText>
      </w:r>
      <w:r>
        <w:rPr>
          <w:highlight w:val="none"/>
        </w:rPr>
        <w:fldChar w:fldCharType="separate"/>
      </w:r>
      <w:r>
        <w:rPr>
          <w:highlight w:val="none"/>
        </w:rPr>
        <w:t>150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_Toc1637 </w:instrText>
      </w:r>
      <w:r>
        <w:rPr>
          <w:highlight w:val="none"/>
        </w:rPr>
        <w:fldChar w:fldCharType="separate"/>
      </w:r>
      <w:r>
        <w:rPr>
          <w:rFonts w:hint="eastAsia"/>
          <w:highlight w:val="none"/>
        </w:rPr>
        <w:t>7. 交通运输</w:t>
      </w:r>
      <w:r>
        <w:rPr>
          <w:highlight w:val="none"/>
        </w:rPr>
        <w:tab/>
      </w:r>
      <w:r>
        <w:rPr>
          <w:highlight w:val="none"/>
        </w:rPr>
        <w:fldChar w:fldCharType="begin"/>
      </w:r>
      <w:r>
        <w:rPr>
          <w:highlight w:val="none"/>
        </w:rPr>
        <w:instrText xml:space="preserve"> PAGEREF _Toc1637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_Toc4443 </w:instrText>
      </w:r>
      <w:r>
        <w:rPr>
          <w:highlight w:val="none"/>
        </w:rPr>
        <w:fldChar w:fldCharType="separate"/>
      </w:r>
      <w:r>
        <w:rPr>
          <w:rFonts w:hint="eastAsia" w:ascii="黑体" w:hAnsi="宋体" w:cs="Arial"/>
          <w:highlight w:val="none"/>
        </w:rPr>
        <w:t>7.1 道路通行权和场外设施</w:t>
      </w:r>
      <w:r>
        <w:rPr>
          <w:highlight w:val="none"/>
        </w:rPr>
        <w:tab/>
      </w:r>
      <w:r>
        <w:rPr>
          <w:highlight w:val="none"/>
        </w:rPr>
        <w:fldChar w:fldCharType="begin"/>
      </w:r>
      <w:r>
        <w:rPr>
          <w:highlight w:val="none"/>
        </w:rPr>
        <w:instrText xml:space="preserve"> PAGEREF _Toc4443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_Toc4779 </w:instrText>
      </w:r>
      <w:r>
        <w:rPr>
          <w:highlight w:val="none"/>
        </w:rPr>
        <w:fldChar w:fldCharType="separate"/>
      </w:r>
      <w:r>
        <w:rPr>
          <w:rFonts w:hint="eastAsia" w:ascii="黑体" w:hAnsi="宋体" w:cs="Arial"/>
          <w:highlight w:val="none"/>
        </w:rPr>
        <w:t>7.2 场内施工道路</w:t>
      </w:r>
      <w:r>
        <w:rPr>
          <w:highlight w:val="none"/>
        </w:rPr>
        <w:tab/>
      </w:r>
      <w:r>
        <w:rPr>
          <w:highlight w:val="none"/>
        </w:rPr>
        <w:fldChar w:fldCharType="begin"/>
      </w:r>
      <w:r>
        <w:rPr>
          <w:highlight w:val="none"/>
        </w:rPr>
        <w:instrText xml:space="preserve"> PAGEREF _Toc4779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_Toc32025 </w:instrText>
      </w:r>
      <w:r>
        <w:rPr>
          <w:highlight w:val="none"/>
        </w:rPr>
        <w:fldChar w:fldCharType="separate"/>
      </w:r>
      <w:r>
        <w:rPr>
          <w:rFonts w:hint="eastAsia" w:ascii="黑体" w:hAnsi="宋体" w:cs="Arial"/>
          <w:highlight w:val="none"/>
        </w:rPr>
        <w:t>7.4 超大件和超重件的运输</w:t>
      </w:r>
      <w:r>
        <w:rPr>
          <w:highlight w:val="none"/>
        </w:rPr>
        <w:tab/>
      </w:r>
      <w:r>
        <w:rPr>
          <w:highlight w:val="none"/>
        </w:rPr>
        <w:fldChar w:fldCharType="begin"/>
      </w:r>
      <w:r>
        <w:rPr>
          <w:highlight w:val="none"/>
        </w:rPr>
        <w:instrText xml:space="preserve"> PAGEREF _Toc32025 </w:instrText>
      </w:r>
      <w:r>
        <w:rPr>
          <w:highlight w:val="none"/>
        </w:rPr>
        <w:fldChar w:fldCharType="separate"/>
      </w:r>
      <w:r>
        <w:rPr>
          <w:highlight w:val="none"/>
        </w:rPr>
        <w:t>150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_Toc13282 </w:instrText>
      </w:r>
      <w:r>
        <w:rPr>
          <w:highlight w:val="none"/>
        </w:rPr>
        <w:fldChar w:fldCharType="separate"/>
      </w:r>
      <w:r>
        <w:rPr>
          <w:rFonts w:hint="eastAsia"/>
          <w:highlight w:val="none"/>
        </w:rPr>
        <w:t>8. 测量放线</w:t>
      </w:r>
      <w:r>
        <w:rPr>
          <w:highlight w:val="none"/>
        </w:rPr>
        <w:tab/>
      </w:r>
      <w:r>
        <w:rPr>
          <w:highlight w:val="none"/>
        </w:rPr>
        <w:fldChar w:fldCharType="begin"/>
      </w:r>
      <w:r>
        <w:rPr>
          <w:highlight w:val="none"/>
        </w:rPr>
        <w:instrText xml:space="preserve"> PAGEREF _Toc13282 </w:instrText>
      </w:r>
      <w:r>
        <w:rPr>
          <w:highlight w:val="none"/>
        </w:rPr>
        <w:fldChar w:fldCharType="separate"/>
      </w:r>
      <w:r>
        <w:rPr>
          <w:highlight w:val="none"/>
        </w:rPr>
        <w:t>150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_Toc10681 </w:instrText>
      </w:r>
      <w:r>
        <w:rPr>
          <w:highlight w:val="none"/>
        </w:rPr>
        <w:fldChar w:fldCharType="separate"/>
      </w:r>
      <w:r>
        <w:rPr>
          <w:rFonts w:hint="eastAsia" w:ascii="黑体" w:hAnsi="宋体" w:cs="Arial"/>
          <w:highlight w:val="none"/>
        </w:rPr>
        <w:t>8.1 施工控制网</w:t>
      </w:r>
      <w:r>
        <w:rPr>
          <w:highlight w:val="none"/>
        </w:rPr>
        <w:tab/>
      </w:r>
      <w:r>
        <w:rPr>
          <w:highlight w:val="none"/>
        </w:rPr>
        <w:fldChar w:fldCharType="begin"/>
      </w:r>
      <w:r>
        <w:rPr>
          <w:highlight w:val="none"/>
        </w:rPr>
        <w:instrText xml:space="preserve"> PAGEREF _Toc10681 </w:instrText>
      </w:r>
      <w:r>
        <w:rPr>
          <w:highlight w:val="none"/>
        </w:rPr>
        <w:fldChar w:fldCharType="separate"/>
      </w:r>
      <w:r>
        <w:rPr>
          <w:highlight w:val="none"/>
        </w:rPr>
        <w:t>150</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_Toc17483 </w:instrText>
      </w:r>
      <w:r>
        <w:rPr>
          <w:highlight w:val="none"/>
        </w:rPr>
        <w:fldChar w:fldCharType="separate"/>
      </w:r>
      <w:r>
        <w:rPr>
          <w:rFonts w:hint="eastAsia"/>
          <w:highlight w:val="none"/>
        </w:rPr>
        <w:t>9. 施工安全、治安保卫和环境保护</w:t>
      </w:r>
      <w:r>
        <w:rPr>
          <w:highlight w:val="none"/>
        </w:rPr>
        <w:tab/>
      </w:r>
      <w:r>
        <w:rPr>
          <w:highlight w:val="none"/>
        </w:rPr>
        <w:fldChar w:fldCharType="begin"/>
      </w:r>
      <w:r>
        <w:rPr>
          <w:highlight w:val="none"/>
        </w:rPr>
        <w:instrText xml:space="preserve"> PAGEREF _Toc17483 </w:instrText>
      </w:r>
      <w:r>
        <w:rPr>
          <w:highlight w:val="none"/>
        </w:rPr>
        <w:fldChar w:fldCharType="separate"/>
      </w:r>
      <w:r>
        <w:rPr>
          <w:highlight w:val="none"/>
        </w:rPr>
        <w:t>151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_Toc24641 </w:instrText>
      </w:r>
      <w:r>
        <w:rPr>
          <w:highlight w:val="none"/>
        </w:rPr>
        <w:fldChar w:fldCharType="separate"/>
      </w:r>
      <w:r>
        <w:rPr>
          <w:rFonts w:hint="eastAsia" w:ascii="黑体" w:hAnsi="宋体" w:cs="Arial"/>
          <w:highlight w:val="none"/>
        </w:rPr>
        <w:t>9.2 承包人的施工安全责任</w:t>
      </w:r>
      <w:r>
        <w:rPr>
          <w:highlight w:val="none"/>
        </w:rPr>
        <w:tab/>
      </w:r>
      <w:r>
        <w:rPr>
          <w:highlight w:val="none"/>
        </w:rPr>
        <w:fldChar w:fldCharType="begin"/>
      </w:r>
      <w:r>
        <w:rPr>
          <w:highlight w:val="none"/>
        </w:rPr>
        <w:instrText xml:space="preserve"> PAGEREF _Toc24641 </w:instrText>
      </w:r>
      <w:r>
        <w:rPr>
          <w:highlight w:val="none"/>
        </w:rPr>
        <w:fldChar w:fldCharType="separate"/>
      </w:r>
      <w:r>
        <w:rPr>
          <w:highlight w:val="none"/>
        </w:rPr>
        <w:t>151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_Toc27024 </w:instrText>
      </w:r>
      <w:r>
        <w:rPr>
          <w:highlight w:val="none"/>
        </w:rPr>
        <w:fldChar w:fldCharType="separate"/>
      </w:r>
      <w:r>
        <w:rPr>
          <w:rFonts w:hint="eastAsia" w:ascii="黑体" w:hAnsi="宋体" w:cs="Arial"/>
          <w:highlight w:val="none"/>
        </w:rPr>
        <w:t>9.3 治安保卫</w:t>
      </w:r>
      <w:r>
        <w:rPr>
          <w:highlight w:val="none"/>
        </w:rPr>
        <w:tab/>
      </w:r>
      <w:r>
        <w:rPr>
          <w:highlight w:val="none"/>
        </w:rPr>
        <w:fldChar w:fldCharType="begin"/>
      </w:r>
      <w:r>
        <w:rPr>
          <w:highlight w:val="none"/>
        </w:rPr>
        <w:instrText xml:space="preserve"> PAGEREF _Toc27024 </w:instrText>
      </w:r>
      <w:r>
        <w:rPr>
          <w:highlight w:val="none"/>
        </w:rPr>
        <w:fldChar w:fldCharType="separate"/>
      </w:r>
      <w:r>
        <w:rPr>
          <w:highlight w:val="none"/>
        </w:rPr>
        <w:t>151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_Toc5503 </w:instrText>
      </w:r>
      <w:r>
        <w:rPr>
          <w:highlight w:val="none"/>
        </w:rPr>
        <w:fldChar w:fldCharType="separate"/>
      </w:r>
      <w:r>
        <w:rPr>
          <w:rFonts w:hint="eastAsia" w:ascii="黑体" w:hAnsi="宋体" w:cs="Arial"/>
          <w:highlight w:val="none"/>
        </w:rPr>
        <w:t>9.4 环境保护</w:t>
      </w:r>
      <w:r>
        <w:rPr>
          <w:highlight w:val="none"/>
        </w:rPr>
        <w:tab/>
      </w:r>
      <w:r>
        <w:rPr>
          <w:highlight w:val="none"/>
        </w:rPr>
        <w:fldChar w:fldCharType="begin"/>
      </w:r>
      <w:r>
        <w:rPr>
          <w:highlight w:val="none"/>
        </w:rPr>
        <w:instrText xml:space="preserve"> PAGEREF _Toc5503 </w:instrText>
      </w:r>
      <w:r>
        <w:rPr>
          <w:highlight w:val="none"/>
        </w:rPr>
        <w:fldChar w:fldCharType="separate"/>
      </w:r>
      <w:r>
        <w:rPr>
          <w:highlight w:val="none"/>
        </w:rPr>
        <w:t>151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_Toc23499 </w:instrText>
      </w:r>
      <w:r>
        <w:rPr>
          <w:highlight w:val="none"/>
        </w:rPr>
        <w:fldChar w:fldCharType="separate"/>
      </w:r>
      <w:r>
        <w:rPr>
          <w:rFonts w:hint="eastAsia"/>
          <w:highlight w:val="none"/>
        </w:rPr>
        <w:t>10. 进度计划</w:t>
      </w:r>
      <w:r>
        <w:rPr>
          <w:highlight w:val="none"/>
        </w:rPr>
        <w:tab/>
      </w:r>
      <w:r>
        <w:rPr>
          <w:highlight w:val="none"/>
        </w:rPr>
        <w:fldChar w:fldCharType="begin"/>
      </w:r>
      <w:r>
        <w:rPr>
          <w:highlight w:val="none"/>
        </w:rPr>
        <w:instrText xml:space="preserve"> PAGEREF _Toc23499 </w:instrText>
      </w:r>
      <w:r>
        <w:rPr>
          <w:highlight w:val="none"/>
        </w:rPr>
        <w:fldChar w:fldCharType="separate"/>
      </w:r>
      <w:r>
        <w:rPr>
          <w:highlight w:val="none"/>
        </w:rPr>
        <w:t>151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_Toc1418 </w:instrText>
      </w:r>
      <w:r>
        <w:rPr>
          <w:highlight w:val="none"/>
        </w:rPr>
        <w:fldChar w:fldCharType="separate"/>
      </w:r>
      <w:r>
        <w:rPr>
          <w:rFonts w:hint="eastAsia" w:ascii="黑体" w:hAnsi="宋体" w:cs="Arial"/>
          <w:highlight w:val="none"/>
        </w:rPr>
        <w:t>10.1 合同进度计划</w:t>
      </w:r>
      <w:r>
        <w:rPr>
          <w:highlight w:val="none"/>
        </w:rPr>
        <w:tab/>
      </w:r>
      <w:r>
        <w:rPr>
          <w:highlight w:val="none"/>
        </w:rPr>
        <w:fldChar w:fldCharType="begin"/>
      </w:r>
      <w:r>
        <w:rPr>
          <w:highlight w:val="none"/>
        </w:rPr>
        <w:instrText xml:space="preserve"> PAGEREF _Toc1418 </w:instrText>
      </w:r>
      <w:r>
        <w:rPr>
          <w:highlight w:val="none"/>
        </w:rPr>
        <w:fldChar w:fldCharType="separate"/>
      </w:r>
      <w:r>
        <w:rPr>
          <w:highlight w:val="none"/>
        </w:rPr>
        <w:t>151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_Toc16792 </w:instrText>
      </w:r>
      <w:r>
        <w:rPr>
          <w:highlight w:val="none"/>
        </w:rPr>
        <w:fldChar w:fldCharType="separate"/>
      </w:r>
      <w:r>
        <w:rPr>
          <w:rFonts w:hint="eastAsia" w:ascii="黑体" w:hAnsi="宋体" w:cs="Arial"/>
          <w:highlight w:val="none"/>
        </w:rPr>
        <w:t>10.2 合同进度计划的修订</w:t>
      </w:r>
      <w:r>
        <w:rPr>
          <w:highlight w:val="none"/>
        </w:rPr>
        <w:tab/>
      </w:r>
      <w:r>
        <w:rPr>
          <w:highlight w:val="none"/>
        </w:rPr>
        <w:fldChar w:fldCharType="begin"/>
      </w:r>
      <w:r>
        <w:rPr>
          <w:highlight w:val="none"/>
        </w:rPr>
        <w:instrText xml:space="preserve"> PAGEREF _Toc16792 </w:instrText>
      </w:r>
      <w:r>
        <w:rPr>
          <w:highlight w:val="none"/>
        </w:rPr>
        <w:fldChar w:fldCharType="separate"/>
      </w:r>
      <w:r>
        <w:rPr>
          <w:highlight w:val="none"/>
        </w:rPr>
        <w:t>152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_Toc5121 </w:instrText>
      </w:r>
      <w:r>
        <w:rPr>
          <w:highlight w:val="none"/>
        </w:rPr>
        <w:fldChar w:fldCharType="separate"/>
      </w:r>
      <w:r>
        <w:rPr>
          <w:rFonts w:hint="eastAsia"/>
          <w:highlight w:val="none"/>
        </w:rPr>
        <w:t>11. 开工和竣工</w:t>
      </w:r>
      <w:r>
        <w:rPr>
          <w:highlight w:val="none"/>
        </w:rPr>
        <w:tab/>
      </w:r>
      <w:r>
        <w:rPr>
          <w:highlight w:val="none"/>
        </w:rPr>
        <w:fldChar w:fldCharType="begin"/>
      </w:r>
      <w:r>
        <w:rPr>
          <w:highlight w:val="none"/>
        </w:rPr>
        <w:instrText xml:space="preserve"> PAGEREF _Toc5121 </w:instrText>
      </w:r>
      <w:r>
        <w:rPr>
          <w:highlight w:val="none"/>
        </w:rPr>
        <w:fldChar w:fldCharType="separate"/>
      </w:r>
      <w:r>
        <w:rPr>
          <w:highlight w:val="none"/>
        </w:rPr>
        <w:t>152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_Toc12734 </w:instrText>
      </w:r>
      <w:r>
        <w:rPr>
          <w:highlight w:val="none"/>
        </w:rPr>
        <w:fldChar w:fldCharType="separate"/>
      </w:r>
      <w:r>
        <w:rPr>
          <w:rFonts w:hint="eastAsia" w:ascii="黑体" w:hAnsi="宋体" w:cs="Arial"/>
          <w:highlight w:val="none"/>
        </w:rPr>
        <w:t>11.3 发包人的工期延误</w:t>
      </w:r>
      <w:r>
        <w:rPr>
          <w:highlight w:val="none"/>
        </w:rPr>
        <w:tab/>
      </w:r>
      <w:r>
        <w:rPr>
          <w:highlight w:val="none"/>
        </w:rPr>
        <w:fldChar w:fldCharType="begin"/>
      </w:r>
      <w:r>
        <w:rPr>
          <w:highlight w:val="none"/>
        </w:rPr>
        <w:instrText xml:space="preserve"> PAGEREF _Toc12734 </w:instrText>
      </w:r>
      <w:r>
        <w:rPr>
          <w:highlight w:val="none"/>
        </w:rPr>
        <w:fldChar w:fldCharType="separate"/>
      </w:r>
      <w:r>
        <w:rPr>
          <w:highlight w:val="none"/>
        </w:rPr>
        <w:t>152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_Toc24459 </w:instrText>
      </w:r>
      <w:r>
        <w:rPr>
          <w:highlight w:val="none"/>
        </w:rPr>
        <w:fldChar w:fldCharType="separate"/>
      </w:r>
      <w:r>
        <w:rPr>
          <w:rFonts w:hint="eastAsia" w:ascii="黑体" w:hAnsi="宋体" w:cs="Arial"/>
          <w:highlight w:val="none"/>
        </w:rPr>
        <w:t>11.4 异常恶劣的气候条件</w:t>
      </w:r>
      <w:r>
        <w:rPr>
          <w:highlight w:val="none"/>
        </w:rPr>
        <w:tab/>
      </w:r>
      <w:r>
        <w:rPr>
          <w:highlight w:val="none"/>
        </w:rPr>
        <w:fldChar w:fldCharType="begin"/>
      </w:r>
      <w:r>
        <w:rPr>
          <w:highlight w:val="none"/>
        </w:rPr>
        <w:instrText xml:space="preserve"> PAGEREF _Toc24459 </w:instrText>
      </w:r>
      <w:r>
        <w:rPr>
          <w:highlight w:val="none"/>
        </w:rPr>
        <w:fldChar w:fldCharType="separate"/>
      </w:r>
      <w:r>
        <w:rPr>
          <w:highlight w:val="none"/>
        </w:rPr>
        <w:t>152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_Toc12099 </w:instrText>
      </w:r>
      <w:r>
        <w:rPr>
          <w:highlight w:val="none"/>
        </w:rPr>
        <w:fldChar w:fldCharType="separate"/>
      </w:r>
      <w:r>
        <w:rPr>
          <w:rFonts w:hint="eastAsia" w:ascii="黑体" w:hAnsi="宋体" w:cs="Arial"/>
          <w:highlight w:val="none"/>
        </w:rPr>
        <w:t>11.5 承包人的工期延误</w:t>
      </w:r>
      <w:r>
        <w:rPr>
          <w:highlight w:val="none"/>
        </w:rPr>
        <w:tab/>
      </w:r>
      <w:r>
        <w:rPr>
          <w:highlight w:val="none"/>
        </w:rPr>
        <w:fldChar w:fldCharType="begin"/>
      </w:r>
      <w:r>
        <w:rPr>
          <w:highlight w:val="none"/>
        </w:rPr>
        <w:instrText xml:space="preserve"> PAGEREF _Toc12099 </w:instrText>
      </w:r>
      <w:r>
        <w:rPr>
          <w:highlight w:val="none"/>
        </w:rPr>
        <w:fldChar w:fldCharType="separate"/>
      </w:r>
      <w:r>
        <w:rPr>
          <w:highlight w:val="none"/>
        </w:rPr>
        <w:t>152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_Toc10801 </w:instrText>
      </w:r>
      <w:r>
        <w:rPr>
          <w:highlight w:val="none"/>
        </w:rPr>
        <w:fldChar w:fldCharType="separate"/>
      </w:r>
      <w:r>
        <w:rPr>
          <w:rFonts w:hint="eastAsia" w:ascii="黑体" w:hAnsi="宋体" w:cs="Arial"/>
          <w:highlight w:val="none"/>
        </w:rPr>
        <w:t>11.6 工期提前</w:t>
      </w:r>
      <w:r>
        <w:rPr>
          <w:highlight w:val="none"/>
        </w:rPr>
        <w:tab/>
      </w:r>
      <w:r>
        <w:rPr>
          <w:highlight w:val="none"/>
        </w:rPr>
        <w:fldChar w:fldCharType="begin"/>
      </w:r>
      <w:r>
        <w:rPr>
          <w:highlight w:val="none"/>
        </w:rPr>
        <w:instrText xml:space="preserve"> PAGEREF _Toc10801 </w:instrText>
      </w:r>
      <w:r>
        <w:rPr>
          <w:highlight w:val="none"/>
        </w:rPr>
        <w:fldChar w:fldCharType="separate"/>
      </w:r>
      <w:r>
        <w:rPr>
          <w:highlight w:val="none"/>
        </w:rPr>
        <w:t>153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_Toc23257 </w:instrText>
      </w:r>
      <w:r>
        <w:rPr>
          <w:highlight w:val="none"/>
        </w:rPr>
        <w:fldChar w:fldCharType="separate"/>
      </w:r>
      <w:r>
        <w:rPr>
          <w:rFonts w:hint="eastAsia"/>
          <w:highlight w:val="none"/>
        </w:rPr>
        <w:t>12. 暂停施工</w:t>
      </w:r>
      <w:r>
        <w:rPr>
          <w:highlight w:val="none"/>
        </w:rPr>
        <w:tab/>
      </w:r>
      <w:r>
        <w:rPr>
          <w:highlight w:val="none"/>
        </w:rPr>
        <w:fldChar w:fldCharType="begin"/>
      </w:r>
      <w:r>
        <w:rPr>
          <w:highlight w:val="none"/>
        </w:rPr>
        <w:instrText xml:space="preserve"> PAGEREF _Toc23257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_Toc1398 </w:instrText>
      </w:r>
      <w:r>
        <w:rPr>
          <w:highlight w:val="none"/>
        </w:rPr>
        <w:fldChar w:fldCharType="separate"/>
      </w:r>
      <w:r>
        <w:rPr>
          <w:rFonts w:hint="eastAsia" w:ascii="黑体" w:hAnsi="宋体" w:cs="Arial"/>
          <w:highlight w:val="none"/>
        </w:rPr>
        <w:t>12.1 承包人暂停施工的责任</w:t>
      </w:r>
      <w:r>
        <w:rPr>
          <w:highlight w:val="none"/>
        </w:rPr>
        <w:tab/>
      </w:r>
      <w:r>
        <w:rPr>
          <w:highlight w:val="none"/>
        </w:rPr>
        <w:fldChar w:fldCharType="begin"/>
      </w:r>
      <w:r>
        <w:rPr>
          <w:highlight w:val="none"/>
        </w:rPr>
        <w:instrText xml:space="preserve"> PAGEREF _Toc1398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_Toc11535 </w:instrText>
      </w:r>
      <w:r>
        <w:rPr>
          <w:highlight w:val="none"/>
        </w:rPr>
        <w:fldChar w:fldCharType="separate"/>
      </w:r>
      <w:r>
        <w:rPr>
          <w:rFonts w:hint="eastAsia" w:ascii="黑体" w:hAnsi="宋体" w:cs="Arial"/>
          <w:highlight w:val="none"/>
        </w:rPr>
        <w:t>12.4 暂停施工后的复工</w:t>
      </w:r>
      <w:r>
        <w:rPr>
          <w:highlight w:val="none"/>
        </w:rPr>
        <w:tab/>
      </w:r>
      <w:r>
        <w:rPr>
          <w:highlight w:val="none"/>
        </w:rPr>
        <w:fldChar w:fldCharType="begin"/>
      </w:r>
      <w:r>
        <w:rPr>
          <w:highlight w:val="none"/>
        </w:rPr>
        <w:instrText xml:space="preserve"> PAGEREF _Toc11535 </w:instrText>
      </w:r>
      <w:r>
        <w:rPr>
          <w:highlight w:val="none"/>
        </w:rPr>
        <w:fldChar w:fldCharType="separate"/>
      </w:r>
      <w:r>
        <w:rPr>
          <w:highlight w:val="none"/>
        </w:rPr>
        <w:t>153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_Toc26727 </w:instrText>
      </w:r>
      <w:r>
        <w:rPr>
          <w:highlight w:val="none"/>
        </w:rPr>
        <w:fldChar w:fldCharType="separate"/>
      </w:r>
      <w:r>
        <w:rPr>
          <w:rFonts w:hint="eastAsia"/>
          <w:highlight w:val="none"/>
        </w:rPr>
        <w:t>13. 工程质量</w:t>
      </w:r>
      <w:r>
        <w:rPr>
          <w:highlight w:val="none"/>
        </w:rPr>
        <w:tab/>
      </w:r>
      <w:r>
        <w:rPr>
          <w:highlight w:val="none"/>
        </w:rPr>
        <w:fldChar w:fldCharType="begin"/>
      </w:r>
      <w:r>
        <w:rPr>
          <w:highlight w:val="none"/>
        </w:rPr>
        <w:instrText xml:space="preserve"> PAGEREF _Toc26727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_Toc26279 </w:instrText>
      </w:r>
      <w:r>
        <w:rPr>
          <w:highlight w:val="none"/>
        </w:rPr>
        <w:fldChar w:fldCharType="separate"/>
      </w:r>
      <w:r>
        <w:rPr>
          <w:rFonts w:hint="eastAsia" w:ascii="黑体" w:hAnsi="宋体" w:cs="Arial"/>
          <w:highlight w:val="none"/>
        </w:rPr>
        <w:t>13.2 承包人的质量管理</w:t>
      </w:r>
      <w:r>
        <w:rPr>
          <w:highlight w:val="none"/>
        </w:rPr>
        <w:tab/>
      </w:r>
      <w:r>
        <w:rPr>
          <w:highlight w:val="none"/>
        </w:rPr>
        <w:fldChar w:fldCharType="begin"/>
      </w:r>
      <w:r>
        <w:rPr>
          <w:highlight w:val="none"/>
        </w:rPr>
        <w:instrText xml:space="preserve"> PAGEREF _Toc26279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_Toc18168 </w:instrText>
      </w:r>
      <w:r>
        <w:rPr>
          <w:highlight w:val="none"/>
        </w:rPr>
        <w:fldChar w:fldCharType="separate"/>
      </w:r>
      <w:r>
        <w:rPr>
          <w:rFonts w:hint="eastAsia" w:ascii="黑体" w:hAnsi="宋体" w:cs="Arial"/>
          <w:highlight w:val="none"/>
        </w:rPr>
        <w:t>13.3 承包人的质量检查</w:t>
      </w:r>
      <w:r>
        <w:rPr>
          <w:highlight w:val="none"/>
        </w:rPr>
        <w:tab/>
      </w:r>
      <w:r>
        <w:rPr>
          <w:highlight w:val="none"/>
        </w:rPr>
        <w:fldChar w:fldCharType="begin"/>
      </w:r>
      <w:r>
        <w:rPr>
          <w:highlight w:val="none"/>
        </w:rPr>
        <w:instrText xml:space="preserve"> PAGEREF _Toc18168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_Toc4354 </w:instrText>
      </w:r>
      <w:r>
        <w:rPr>
          <w:highlight w:val="none"/>
        </w:rPr>
        <w:fldChar w:fldCharType="separate"/>
      </w:r>
      <w:r>
        <w:rPr>
          <w:rFonts w:hint="eastAsia" w:ascii="黑体" w:hAnsi="宋体" w:cs="Arial"/>
          <w:highlight w:val="none"/>
        </w:rPr>
        <w:t>13.4 监理人的质量检查</w:t>
      </w:r>
      <w:r>
        <w:rPr>
          <w:highlight w:val="none"/>
        </w:rPr>
        <w:tab/>
      </w:r>
      <w:r>
        <w:rPr>
          <w:highlight w:val="none"/>
        </w:rPr>
        <w:fldChar w:fldCharType="begin"/>
      </w:r>
      <w:r>
        <w:rPr>
          <w:highlight w:val="none"/>
        </w:rPr>
        <w:instrText xml:space="preserve"> PAGEREF _Toc4354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_Toc15714 </w:instrText>
      </w:r>
      <w:r>
        <w:rPr>
          <w:highlight w:val="none"/>
        </w:rPr>
        <w:fldChar w:fldCharType="separate"/>
      </w:r>
      <w:r>
        <w:rPr>
          <w:rFonts w:hint="eastAsia" w:ascii="黑体" w:hAnsi="宋体" w:cs="Arial"/>
          <w:highlight w:val="none"/>
        </w:rPr>
        <w:t>13.5 工程隐蔽部位覆盖前的检查</w:t>
      </w:r>
      <w:r>
        <w:rPr>
          <w:highlight w:val="none"/>
        </w:rPr>
        <w:tab/>
      </w:r>
      <w:r>
        <w:rPr>
          <w:highlight w:val="none"/>
        </w:rPr>
        <w:fldChar w:fldCharType="begin"/>
      </w:r>
      <w:r>
        <w:rPr>
          <w:highlight w:val="none"/>
        </w:rPr>
        <w:instrText xml:space="preserve"> PAGEREF _Toc15714 </w:instrText>
      </w:r>
      <w:r>
        <w:rPr>
          <w:highlight w:val="none"/>
        </w:rPr>
        <w:fldChar w:fldCharType="separate"/>
      </w:r>
      <w:r>
        <w:rPr>
          <w:highlight w:val="none"/>
        </w:rPr>
        <w:t>153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_Toc30334 </w:instrText>
      </w:r>
      <w:r>
        <w:rPr>
          <w:highlight w:val="none"/>
        </w:rPr>
        <w:fldChar w:fldCharType="separate"/>
      </w:r>
      <w:r>
        <w:rPr>
          <w:rFonts w:hint="eastAsia" w:ascii="黑体" w:hAnsi="宋体" w:cs="Arial"/>
          <w:highlight w:val="none"/>
        </w:rPr>
        <w:t>13.7 质量争议</w:t>
      </w:r>
      <w:r>
        <w:rPr>
          <w:highlight w:val="none"/>
        </w:rPr>
        <w:tab/>
      </w:r>
      <w:r>
        <w:rPr>
          <w:highlight w:val="none"/>
        </w:rPr>
        <w:fldChar w:fldCharType="begin"/>
      </w:r>
      <w:r>
        <w:rPr>
          <w:highlight w:val="none"/>
        </w:rPr>
        <w:instrText xml:space="preserve"> PAGEREF _Toc30334 </w:instrText>
      </w:r>
      <w:r>
        <w:rPr>
          <w:highlight w:val="none"/>
        </w:rPr>
        <w:fldChar w:fldCharType="separate"/>
      </w:r>
      <w:r>
        <w:rPr>
          <w:highlight w:val="none"/>
        </w:rPr>
        <w:t>153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_Toc14177 </w:instrText>
      </w:r>
      <w:r>
        <w:rPr>
          <w:highlight w:val="none"/>
        </w:rPr>
        <w:fldChar w:fldCharType="separate"/>
      </w:r>
      <w:r>
        <w:rPr>
          <w:rFonts w:hint="eastAsia"/>
          <w:highlight w:val="none"/>
        </w:rPr>
        <w:t>15. 变更</w:t>
      </w:r>
      <w:r>
        <w:rPr>
          <w:highlight w:val="none"/>
        </w:rPr>
        <w:tab/>
      </w:r>
      <w:r>
        <w:rPr>
          <w:highlight w:val="none"/>
        </w:rPr>
        <w:fldChar w:fldCharType="begin"/>
      </w:r>
      <w:r>
        <w:rPr>
          <w:highlight w:val="none"/>
        </w:rPr>
        <w:instrText xml:space="preserve"> PAGEREF _Toc14177 </w:instrText>
      </w:r>
      <w:r>
        <w:rPr>
          <w:highlight w:val="none"/>
        </w:rPr>
        <w:fldChar w:fldCharType="separate"/>
      </w:r>
      <w:r>
        <w:rPr>
          <w:highlight w:val="none"/>
        </w:rPr>
        <w:t>154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_Toc31550 </w:instrText>
      </w:r>
      <w:r>
        <w:rPr>
          <w:highlight w:val="none"/>
        </w:rPr>
        <w:fldChar w:fldCharType="separate"/>
      </w:r>
      <w:r>
        <w:rPr>
          <w:rFonts w:hint="eastAsia" w:ascii="黑体" w:hAnsi="宋体" w:cs="Arial"/>
          <w:highlight w:val="none"/>
        </w:rPr>
        <w:t>15.1 变更的范围和内容</w:t>
      </w:r>
      <w:r>
        <w:rPr>
          <w:highlight w:val="none"/>
        </w:rPr>
        <w:tab/>
      </w:r>
      <w:r>
        <w:rPr>
          <w:highlight w:val="none"/>
        </w:rPr>
        <w:fldChar w:fldCharType="begin"/>
      </w:r>
      <w:r>
        <w:rPr>
          <w:highlight w:val="none"/>
        </w:rPr>
        <w:instrText xml:space="preserve"> PAGEREF _Toc31550 </w:instrText>
      </w:r>
      <w:r>
        <w:rPr>
          <w:highlight w:val="none"/>
        </w:rPr>
        <w:fldChar w:fldCharType="separate"/>
      </w:r>
      <w:r>
        <w:rPr>
          <w:highlight w:val="none"/>
        </w:rPr>
        <w:t>154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_Toc31370 </w:instrText>
      </w:r>
      <w:r>
        <w:rPr>
          <w:highlight w:val="none"/>
        </w:rPr>
        <w:fldChar w:fldCharType="separate"/>
      </w:r>
      <w:r>
        <w:rPr>
          <w:rFonts w:hint="eastAsia" w:ascii="黑体" w:hAnsi="宋体" w:cs="Arial"/>
          <w:highlight w:val="none"/>
        </w:rPr>
        <w:t>15.3 变更程序</w:t>
      </w:r>
      <w:r>
        <w:rPr>
          <w:highlight w:val="none"/>
        </w:rPr>
        <w:tab/>
      </w:r>
      <w:r>
        <w:rPr>
          <w:highlight w:val="none"/>
        </w:rPr>
        <w:fldChar w:fldCharType="begin"/>
      </w:r>
      <w:r>
        <w:rPr>
          <w:highlight w:val="none"/>
        </w:rPr>
        <w:instrText xml:space="preserve"> PAGEREF _Toc31370 </w:instrText>
      </w:r>
      <w:r>
        <w:rPr>
          <w:highlight w:val="none"/>
        </w:rPr>
        <w:fldChar w:fldCharType="separate"/>
      </w:r>
      <w:r>
        <w:rPr>
          <w:highlight w:val="none"/>
        </w:rPr>
        <w:t>154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_Toc16562 </w:instrText>
      </w:r>
      <w:r>
        <w:rPr>
          <w:highlight w:val="none"/>
        </w:rPr>
        <w:fldChar w:fldCharType="separate"/>
      </w:r>
      <w:r>
        <w:rPr>
          <w:rFonts w:hint="eastAsia" w:ascii="黑体" w:hAnsi="宋体" w:cs="Arial"/>
          <w:highlight w:val="none"/>
        </w:rPr>
        <w:t>15.4 变更的估价原则</w:t>
      </w:r>
      <w:r>
        <w:rPr>
          <w:highlight w:val="none"/>
        </w:rPr>
        <w:tab/>
      </w:r>
      <w:r>
        <w:rPr>
          <w:highlight w:val="none"/>
        </w:rPr>
        <w:fldChar w:fldCharType="begin"/>
      </w:r>
      <w:r>
        <w:rPr>
          <w:highlight w:val="none"/>
        </w:rPr>
        <w:instrText xml:space="preserve"> PAGEREF _Toc16562 </w:instrText>
      </w:r>
      <w:r>
        <w:rPr>
          <w:highlight w:val="none"/>
        </w:rPr>
        <w:fldChar w:fldCharType="separate"/>
      </w:r>
      <w:r>
        <w:rPr>
          <w:highlight w:val="none"/>
        </w:rPr>
        <w:t>154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_Toc4822 </w:instrText>
      </w:r>
      <w:r>
        <w:rPr>
          <w:highlight w:val="none"/>
        </w:rPr>
        <w:fldChar w:fldCharType="separate"/>
      </w:r>
      <w:r>
        <w:rPr>
          <w:rFonts w:hint="eastAsia" w:ascii="黑体" w:hAnsi="宋体" w:cs="Arial"/>
          <w:highlight w:val="none"/>
        </w:rPr>
        <w:t>15.5 承包人的合理化建议</w:t>
      </w:r>
      <w:r>
        <w:rPr>
          <w:highlight w:val="none"/>
        </w:rPr>
        <w:tab/>
      </w:r>
      <w:r>
        <w:rPr>
          <w:highlight w:val="none"/>
        </w:rPr>
        <w:fldChar w:fldCharType="begin"/>
      </w:r>
      <w:r>
        <w:rPr>
          <w:highlight w:val="none"/>
        </w:rPr>
        <w:instrText xml:space="preserve"> PAGEREF _Toc4822 </w:instrText>
      </w:r>
      <w:r>
        <w:rPr>
          <w:highlight w:val="none"/>
        </w:rPr>
        <w:fldChar w:fldCharType="separate"/>
      </w:r>
      <w:r>
        <w:rPr>
          <w:highlight w:val="none"/>
        </w:rPr>
        <w:t>155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_Toc28023 </w:instrText>
      </w:r>
      <w:r>
        <w:rPr>
          <w:highlight w:val="none"/>
        </w:rPr>
        <w:fldChar w:fldCharType="separate"/>
      </w:r>
      <w:r>
        <w:rPr>
          <w:rFonts w:hint="eastAsia" w:ascii="黑体" w:hAnsi="宋体" w:cs="Arial"/>
          <w:highlight w:val="none"/>
        </w:rPr>
        <w:t>15.8 暂估价</w:t>
      </w:r>
      <w:r>
        <w:rPr>
          <w:highlight w:val="none"/>
        </w:rPr>
        <w:tab/>
      </w:r>
      <w:r>
        <w:rPr>
          <w:highlight w:val="none"/>
        </w:rPr>
        <w:fldChar w:fldCharType="begin"/>
      </w:r>
      <w:r>
        <w:rPr>
          <w:highlight w:val="none"/>
        </w:rPr>
        <w:instrText xml:space="preserve"> PAGEREF _Toc28023 </w:instrText>
      </w:r>
      <w:r>
        <w:rPr>
          <w:highlight w:val="none"/>
        </w:rPr>
        <w:fldChar w:fldCharType="separate"/>
      </w:r>
      <w:r>
        <w:rPr>
          <w:highlight w:val="none"/>
        </w:rPr>
        <w:t>155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_Toc21512 </w:instrText>
      </w:r>
      <w:r>
        <w:rPr>
          <w:highlight w:val="none"/>
        </w:rPr>
        <w:fldChar w:fldCharType="separate"/>
      </w:r>
      <w:r>
        <w:rPr>
          <w:rFonts w:hint="eastAsia"/>
          <w:highlight w:val="none"/>
        </w:rPr>
        <w:t>16. 价格调整</w:t>
      </w:r>
      <w:r>
        <w:rPr>
          <w:highlight w:val="none"/>
        </w:rPr>
        <w:tab/>
      </w:r>
      <w:r>
        <w:rPr>
          <w:highlight w:val="none"/>
        </w:rPr>
        <w:fldChar w:fldCharType="begin"/>
      </w:r>
      <w:r>
        <w:rPr>
          <w:highlight w:val="none"/>
        </w:rPr>
        <w:instrText xml:space="preserve"> PAGEREF _Toc21512 </w:instrText>
      </w:r>
      <w:r>
        <w:rPr>
          <w:highlight w:val="none"/>
        </w:rPr>
        <w:fldChar w:fldCharType="separate"/>
      </w:r>
      <w:r>
        <w:rPr>
          <w:highlight w:val="none"/>
        </w:rPr>
        <w:t>156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_Toc10722 </w:instrText>
      </w:r>
      <w:r>
        <w:rPr>
          <w:highlight w:val="none"/>
        </w:rPr>
        <w:fldChar w:fldCharType="separate"/>
      </w:r>
      <w:r>
        <w:rPr>
          <w:rFonts w:hint="eastAsia" w:ascii="黑体" w:hAnsi="宋体" w:cs="Arial"/>
          <w:highlight w:val="none"/>
        </w:rPr>
        <w:t>16.1 物价波动引起的价格调整</w:t>
      </w:r>
      <w:r>
        <w:rPr>
          <w:highlight w:val="none"/>
        </w:rPr>
        <w:tab/>
      </w:r>
      <w:r>
        <w:rPr>
          <w:highlight w:val="none"/>
        </w:rPr>
        <w:fldChar w:fldCharType="begin"/>
      </w:r>
      <w:r>
        <w:rPr>
          <w:highlight w:val="none"/>
        </w:rPr>
        <w:instrText xml:space="preserve"> PAGEREF _Toc10722 </w:instrText>
      </w:r>
      <w:r>
        <w:rPr>
          <w:highlight w:val="none"/>
        </w:rPr>
        <w:fldChar w:fldCharType="separate"/>
      </w:r>
      <w:r>
        <w:rPr>
          <w:highlight w:val="none"/>
        </w:rPr>
        <w:t>156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_Toc1248 </w:instrText>
      </w:r>
      <w:r>
        <w:rPr>
          <w:highlight w:val="none"/>
        </w:rPr>
        <w:fldChar w:fldCharType="separate"/>
      </w:r>
      <w:r>
        <w:rPr>
          <w:rFonts w:hint="eastAsia"/>
          <w:szCs w:val="21"/>
          <w:highlight w:val="none"/>
        </w:rPr>
        <w:t>（一）市场价格变化幅度确定的原则及调整方法如下：</w:t>
      </w:r>
      <w:r>
        <w:rPr>
          <w:highlight w:val="none"/>
        </w:rPr>
        <w:tab/>
      </w:r>
      <w:r>
        <w:rPr>
          <w:highlight w:val="none"/>
        </w:rPr>
        <w:fldChar w:fldCharType="begin"/>
      </w:r>
      <w:r>
        <w:rPr>
          <w:highlight w:val="none"/>
        </w:rPr>
        <w:instrText xml:space="preserve"> PAGEREF _Toc1248 </w:instrText>
      </w:r>
      <w:r>
        <w:rPr>
          <w:highlight w:val="none"/>
        </w:rPr>
        <w:fldChar w:fldCharType="separate"/>
      </w:r>
      <w:r>
        <w:rPr>
          <w:highlight w:val="none"/>
        </w:rPr>
        <w:t>156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_Toc12983 </w:instrText>
      </w:r>
      <w:r>
        <w:rPr>
          <w:highlight w:val="none"/>
        </w:rPr>
        <w:fldChar w:fldCharType="separate"/>
      </w:r>
      <w:r>
        <w:rPr>
          <w:rFonts w:hint="eastAsia"/>
          <w:szCs w:val="21"/>
          <w:highlight w:val="none"/>
        </w:rPr>
        <w:t>（二）超过风险幅度的调整原则</w:t>
      </w:r>
      <w:r>
        <w:rPr>
          <w:highlight w:val="none"/>
        </w:rPr>
        <w:tab/>
      </w:r>
      <w:r>
        <w:rPr>
          <w:highlight w:val="none"/>
        </w:rPr>
        <w:fldChar w:fldCharType="begin"/>
      </w:r>
      <w:r>
        <w:rPr>
          <w:highlight w:val="none"/>
        </w:rPr>
        <w:instrText xml:space="preserve"> PAGEREF _Toc12983 </w:instrText>
      </w:r>
      <w:r>
        <w:rPr>
          <w:highlight w:val="none"/>
        </w:rPr>
        <w:fldChar w:fldCharType="separate"/>
      </w:r>
      <w:r>
        <w:rPr>
          <w:highlight w:val="none"/>
        </w:rPr>
        <w:t>157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_Toc12142 </w:instrText>
      </w:r>
      <w:r>
        <w:rPr>
          <w:highlight w:val="none"/>
        </w:rPr>
        <w:fldChar w:fldCharType="separate"/>
      </w:r>
      <w:r>
        <w:rPr>
          <w:rFonts w:hint="eastAsia"/>
          <w:highlight w:val="none"/>
        </w:rPr>
        <w:t>17. 计量与支付</w:t>
      </w:r>
      <w:r>
        <w:rPr>
          <w:highlight w:val="none"/>
        </w:rPr>
        <w:tab/>
      </w:r>
      <w:r>
        <w:rPr>
          <w:highlight w:val="none"/>
        </w:rPr>
        <w:fldChar w:fldCharType="begin"/>
      </w:r>
      <w:r>
        <w:rPr>
          <w:highlight w:val="none"/>
        </w:rPr>
        <w:instrText xml:space="preserve"> PAGEREF _Toc12142 </w:instrText>
      </w:r>
      <w:r>
        <w:rPr>
          <w:highlight w:val="none"/>
        </w:rPr>
        <w:fldChar w:fldCharType="separate"/>
      </w:r>
      <w:r>
        <w:rPr>
          <w:highlight w:val="none"/>
        </w:rPr>
        <w:t>157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_Toc7811 </w:instrText>
      </w:r>
      <w:r>
        <w:rPr>
          <w:highlight w:val="none"/>
        </w:rPr>
        <w:fldChar w:fldCharType="separate"/>
      </w:r>
      <w:r>
        <w:rPr>
          <w:rFonts w:hint="eastAsia" w:ascii="黑体" w:hAnsi="宋体" w:cs="Arial"/>
          <w:highlight w:val="none"/>
        </w:rPr>
        <w:t>17.1 计量</w:t>
      </w:r>
      <w:r>
        <w:rPr>
          <w:highlight w:val="none"/>
        </w:rPr>
        <w:tab/>
      </w:r>
      <w:r>
        <w:rPr>
          <w:highlight w:val="none"/>
        </w:rPr>
        <w:fldChar w:fldCharType="begin"/>
      </w:r>
      <w:r>
        <w:rPr>
          <w:highlight w:val="none"/>
        </w:rPr>
        <w:instrText xml:space="preserve"> PAGEREF _Toc7811 </w:instrText>
      </w:r>
      <w:r>
        <w:rPr>
          <w:highlight w:val="none"/>
        </w:rPr>
        <w:fldChar w:fldCharType="separate"/>
      </w:r>
      <w:r>
        <w:rPr>
          <w:highlight w:val="none"/>
        </w:rPr>
        <w:t>157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_Toc31179 </w:instrText>
      </w:r>
      <w:r>
        <w:rPr>
          <w:highlight w:val="none"/>
        </w:rPr>
        <w:fldChar w:fldCharType="separate"/>
      </w:r>
      <w:r>
        <w:rPr>
          <w:rFonts w:hint="eastAsia" w:ascii="黑体" w:hAnsi="宋体" w:cs="Arial"/>
          <w:highlight w:val="none"/>
        </w:rPr>
        <w:t>17.2 预付款</w:t>
      </w:r>
      <w:r>
        <w:rPr>
          <w:highlight w:val="none"/>
        </w:rPr>
        <w:tab/>
      </w:r>
      <w:r>
        <w:rPr>
          <w:highlight w:val="none"/>
        </w:rPr>
        <w:fldChar w:fldCharType="begin"/>
      </w:r>
      <w:r>
        <w:rPr>
          <w:highlight w:val="none"/>
        </w:rPr>
        <w:instrText xml:space="preserve"> PAGEREF _Toc31179 </w:instrText>
      </w:r>
      <w:r>
        <w:rPr>
          <w:highlight w:val="none"/>
        </w:rPr>
        <w:fldChar w:fldCharType="separate"/>
      </w:r>
      <w:r>
        <w:rPr>
          <w:highlight w:val="none"/>
        </w:rPr>
        <w:t>158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_Toc9676 </w:instrText>
      </w:r>
      <w:r>
        <w:rPr>
          <w:highlight w:val="none"/>
        </w:rPr>
        <w:fldChar w:fldCharType="separate"/>
      </w:r>
      <w:r>
        <w:rPr>
          <w:rFonts w:hint="eastAsia" w:ascii="黑体" w:hAnsi="宋体" w:cs="Arial"/>
          <w:highlight w:val="none"/>
        </w:rPr>
        <w:t>17.3 工程进度付款</w:t>
      </w:r>
      <w:r>
        <w:rPr>
          <w:highlight w:val="none"/>
        </w:rPr>
        <w:tab/>
      </w:r>
      <w:r>
        <w:rPr>
          <w:highlight w:val="none"/>
        </w:rPr>
        <w:fldChar w:fldCharType="begin"/>
      </w:r>
      <w:r>
        <w:rPr>
          <w:highlight w:val="none"/>
        </w:rPr>
        <w:instrText xml:space="preserve"> PAGEREF _Toc9676 </w:instrText>
      </w:r>
      <w:r>
        <w:rPr>
          <w:highlight w:val="none"/>
        </w:rPr>
        <w:fldChar w:fldCharType="separate"/>
      </w:r>
      <w:r>
        <w:rPr>
          <w:highlight w:val="none"/>
        </w:rPr>
        <w:t>159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_Toc489 </w:instrText>
      </w:r>
      <w:r>
        <w:rPr>
          <w:highlight w:val="none"/>
        </w:rPr>
        <w:fldChar w:fldCharType="separate"/>
      </w:r>
      <w:r>
        <w:rPr>
          <w:rFonts w:hint="eastAsia" w:ascii="黑体" w:hAnsi="宋体" w:cs="Arial"/>
          <w:highlight w:val="none"/>
        </w:rPr>
        <w:t>17.4 质量保证金</w:t>
      </w:r>
      <w:r>
        <w:rPr>
          <w:highlight w:val="none"/>
        </w:rPr>
        <w:tab/>
      </w:r>
      <w:r>
        <w:rPr>
          <w:highlight w:val="none"/>
        </w:rPr>
        <w:fldChar w:fldCharType="begin"/>
      </w:r>
      <w:r>
        <w:rPr>
          <w:highlight w:val="none"/>
        </w:rPr>
        <w:instrText xml:space="preserve"> PAGEREF _Toc489 </w:instrText>
      </w:r>
      <w:r>
        <w:rPr>
          <w:highlight w:val="none"/>
        </w:rPr>
        <w:fldChar w:fldCharType="separate"/>
      </w:r>
      <w:r>
        <w:rPr>
          <w:highlight w:val="none"/>
        </w:rPr>
        <w:t>160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_Toc16420 </w:instrText>
      </w:r>
      <w:r>
        <w:rPr>
          <w:highlight w:val="none"/>
        </w:rPr>
        <w:fldChar w:fldCharType="separate"/>
      </w:r>
      <w:r>
        <w:rPr>
          <w:rFonts w:hint="eastAsia" w:ascii="黑体" w:hAnsi="宋体" w:cs="Arial"/>
          <w:highlight w:val="none"/>
        </w:rPr>
        <w:t>17.5 竣工结算</w:t>
      </w:r>
      <w:r>
        <w:rPr>
          <w:highlight w:val="none"/>
        </w:rPr>
        <w:tab/>
      </w:r>
      <w:r>
        <w:rPr>
          <w:highlight w:val="none"/>
        </w:rPr>
        <w:fldChar w:fldCharType="begin"/>
      </w:r>
      <w:r>
        <w:rPr>
          <w:highlight w:val="none"/>
        </w:rPr>
        <w:instrText xml:space="preserve"> PAGEREF _Toc16420 </w:instrText>
      </w:r>
      <w:r>
        <w:rPr>
          <w:highlight w:val="none"/>
        </w:rPr>
        <w:fldChar w:fldCharType="separate"/>
      </w:r>
      <w:r>
        <w:rPr>
          <w:highlight w:val="none"/>
        </w:rPr>
        <w:t>160</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_Toc29939 </w:instrText>
      </w:r>
      <w:r>
        <w:rPr>
          <w:highlight w:val="none"/>
        </w:rPr>
        <w:fldChar w:fldCharType="separate"/>
      </w:r>
      <w:r>
        <w:rPr>
          <w:rFonts w:hint="eastAsia" w:ascii="黑体" w:hAnsi="宋体" w:cs="Arial"/>
          <w:highlight w:val="none"/>
        </w:rPr>
        <w:t>17.6 最终结清</w:t>
      </w:r>
      <w:r>
        <w:rPr>
          <w:highlight w:val="none"/>
        </w:rPr>
        <w:tab/>
      </w:r>
      <w:r>
        <w:rPr>
          <w:highlight w:val="none"/>
        </w:rPr>
        <w:fldChar w:fldCharType="begin"/>
      </w:r>
      <w:r>
        <w:rPr>
          <w:highlight w:val="none"/>
        </w:rPr>
        <w:instrText xml:space="preserve"> PAGEREF _Toc29939 </w:instrText>
      </w:r>
      <w:r>
        <w:rPr>
          <w:highlight w:val="none"/>
        </w:rPr>
        <w:fldChar w:fldCharType="separate"/>
      </w:r>
      <w:r>
        <w:rPr>
          <w:highlight w:val="none"/>
        </w:rPr>
        <w:t>161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_Toc4725 </w:instrText>
      </w:r>
      <w:r>
        <w:rPr>
          <w:highlight w:val="none"/>
        </w:rPr>
        <w:fldChar w:fldCharType="separate"/>
      </w:r>
      <w:r>
        <w:rPr>
          <w:rFonts w:hint="eastAsia"/>
          <w:highlight w:val="none"/>
        </w:rPr>
        <w:t>18. 竣工验收</w:t>
      </w:r>
      <w:r>
        <w:rPr>
          <w:highlight w:val="none"/>
        </w:rPr>
        <w:tab/>
      </w:r>
      <w:r>
        <w:rPr>
          <w:highlight w:val="none"/>
        </w:rPr>
        <w:fldChar w:fldCharType="begin"/>
      </w:r>
      <w:r>
        <w:rPr>
          <w:highlight w:val="none"/>
        </w:rPr>
        <w:instrText xml:space="preserve"> PAGEREF _Toc4725 </w:instrText>
      </w:r>
      <w:r>
        <w:rPr>
          <w:highlight w:val="none"/>
        </w:rPr>
        <w:fldChar w:fldCharType="separate"/>
      </w:r>
      <w:r>
        <w:rPr>
          <w:highlight w:val="none"/>
        </w:rPr>
        <w:t>161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_Toc9934 </w:instrText>
      </w:r>
      <w:r>
        <w:rPr>
          <w:highlight w:val="none"/>
        </w:rPr>
        <w:fldChar w:fldCharType="separate"/>
      </w:r>
      <w:r>
        <w:rPr>
          <w:rFonts w:hint="eastAsia" w:ascii="黑体" w:hAnsi="宋体" w:cs="Arial"/>
          <w:highlight w:val="none"/>
        </w:rPr>
        <w:t>18.2 竣工验收申请报告</w:t>
      </w:r>
      <w:r>
        <w:rPr>
          <w:highlight w:val="none"/>
        </w:rPr>
        <w:tab/>
      </w:r>
      <w:r>
        <w:rPr>
          <w:highlight w:val="none"/>
        </w:rPr>
        <w:fldChar w:fldCharType="begin"/>
      </w:r>
      <w:r>
        <w:rPr>
          <w:highlight w:val="none"/>
        </w:rPr>
        <w:instrText xml:space="preserve"> PAGEREF _Toc9934 </w:instrText>
      </w:r>
      <w:r>
        <w:rPr>
          <w:highlight w:val="none"/>
        </w:rPr>
        <w:fldChar w:fldCharType="separate"/>
      </w:r>
      <w:r>
        <w:rPr>
          <w:highlight w:val="none"/>
        </w:rPr>
        <w:t>161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_Toc278 </w:instrText>
      </w:r>
      <w:r>
        <w:rPr>
          <w:highlight w:val="none"/>
        </w:rPr>
        <w:fldChar w:fldCharType="separate"/>
      </w:r>
      <w:r>
        <w:rPr>
          <w:rFonts w:hint="eastAsia" w:ascii="黑体" w:hAnsi="宋体" w:cs="Arial"/>
          <w:highlight w:val="none"/>
        </w:rPr>
        <w:t>18.3 验 收</w:t>
      </w:r>
      <w:r>
        <w:rPr>
          <w:highlight w:val="none"/>
        </w:rPr>
        <w:tab/>
      </w:r>
      <w:r>
        <w:rPr>
          <w:highlight w:val="none"/>
        </w:rPr>
        <w:fldChar w:fldCharType="begin"/>
      </w:r>
      <w:r>
        <w:rPr>
          <w:highlight w:val="none"/>
        </w:rPr>
        <w:instrText xml:space="preserve"> PAGEREF _Toc278 </w:instrText>
      </w:r>
      <w:r>
        <w:rPr>
          <w:highlight w:val="none"/>
        </w:rPr>
        <w:fldChar w:fldCharType="separate"/>
      </w:r>
      <w:r>
        <w:rPr>
          <w:highlight w:val="none"/>
        </w:rPr>
        <w:t>161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_Toc21107 </w:instrText>
      </w:r>
      <w:r>
        <w:rPr>
          <w:highlight w:val="none"/>
        </w:rPr>
        <w:fldChar w:fldCharType="separate"/>
      </w:r>
      <w:r>
        <w:rPr>
          <w:rFonts w:hint="eastAsia" w:ascii="黑体" w:hAnsi="宋体" w:cs="Arial"/>
          <w:highlight w:val="none"/>
        </w:rPr>
        <w:t>18.5 施工期运行</w:t>
      </w:r>
      <w:r>
        <w:rPr>
          <w:highlight w:val="none"/>
        </w:rPr>
        <w:tab/>
      </w:r>
      <w:r>
        <w:rPr>
          <w:highlight w:val="none"/>
        </w:rPr>
        <w:fldChar w:fldCharType="begin"/>
      </w:r>
      <w:r>
        <w:rPr>
          <w:highlight w:val="none"/>
        </w:rPr>
        <w:instrText xml:space="preserve"> PAGEREF _Toc21107 </w:instrText>
      </w:r>
      <w:r>
        <w:rPr>
          <w:highlight w:val="none"/>
        </w:rPr>
        <w:fldChar w:fldCharType="separate"/>
      </w:r>
      <w:r>
        <w:rPr>
          <w:highlight w:val="none"/>
        </w:rPr>
        <w:t>161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_Toc2863 </w:instrText>
      </w:r>
      <w:r>
        <w:rPr>
          <w:highlight w:val="none"/>
        </w:rPr>
        <w:fldChar w:fldCharType="separate"/>
      </w:r>
      <w:r>
        <w:rPr>
          <w:rFonts w:hint="eastAsia" w:ascii="黑体" w:hAnsi="宋体" w:cs="Arial"/>
          <w:highlight w:val="none"/>
        </w:rPr>
        <w:t>18.6 试运行</w:t>
      </w:r>
      <w:r>
        <w:rPr>
          <w:highlight w:val="none"/>
        </w:rPr>
        <w:tab/>
      </w:r>
      <w:r>
        <w:rPr>
          <w:highlight w:val="none"/>
        </w:rPr>
        <w:fldChar w:fldCharType="begin"/>
      </w:r>
      <w:r>
        <w:rPr>
          <w:highlight w:val="none"/>
        </w:rPr>
        <w:instrText xml:space="preserve"> PAGEREF _Toc2863 </w:instrText>
      </w:r>
      <w:r>
        <w:rPr>
          <w:highlight w:val="none"/>
        </w:rPr>
        <w:fldChar w:fldCharType="separate"/>
      </w:r>
      <w:r>
        <w:rPr>
          <w:highlight w:val="none"/>
        </w:rPr>
        <w:t>162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_Toc12853 </w:instrText>
      </w:r>
      <w:r>
        <w:rPr>
          <w:highlight w:val="none"/>
        </w:rPr>
        <w:fldChar w:fldCharType="separate"/>
      </w:r>
      <w:r>
        <w:rPr>
          <w:rFonts w:hint="eastAsia" w:ascii="黑体" w:hAnsi="宋体" w:cs="Arial"/>
          <w:highlight w:val="none"/>
        </w:rPr>
        <w:t>18.7 竣工清场</w:t>
      </w:r>
      <w:r>
        <w:rPr>
          <w:highlight w:val="none"/>
        </w:rPr>
        <w:tab/>
      </w:r>
      <w:r>
        <w:rPr>
          <w:highlight w:val="none"/>
        </w:rPr>
        <w:fldChar w:fldCharType="begin"/>
      </w:r>
      <w:r>
        <w:rPr>
          <w:highlight w:val="none"/>
        </w:rPr>
        <w:instrText xml:space="preserve"> PAGEREF _Toc12853 </w:instrText>
      </w:r>
      <w:r>
        <w:rPr>
          <w:highlight w:val="none"/>
        </w:rPr>
        <w:fldChar w:fldCharType="separate"/>
      </w:r>
      <w:r>
        <w:rPr>
          <w:highlight w:val="none"/>
        </w:rPr>
        <w:t>162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_Toc613 </w:instrText>
      </w:r>
      <w:r>
        <w:rPr>
          <w:highlight w:val="none"/>
        </w:rPr>
        <w:fldChar w:fldCharType="separate"/>
      </w:r>
      <w:r>
        <w:rPr>
          <w:rFonts w:hint="eastAsia" w:ascii="黑体" w:hAnsi="宋体" w:cs="Arial"/>
          <w:highlight w:val="none"/>
        </w:rPr>
        <w:t>18.8 施工队伍的撤离</w:t>
      </w:r>
      <w:r>
        <w:rPr>
          <w:highlight w:val="none"/>
        </w:rPr>
        <w:tab/>
      </w:r>
      <w:r>
        <w:rPr>
          <w:highlight w:val="none"/>
        </w:rPr>
        <w:fldChar w:fldCharType="begin"/>
      </w:r>
      <w:r>
        <w:rPr>
          <w:highlight w:val="none"/>
        </w:rPr>
        <w:instrText xml:space="preserve"> PAGEREF _Toc613 </w:instrText>
      </w:r>
      <w:r>
        <w:rPr>
          <w:highlight w:val="none"/>
        </w:rPr>
        <w:fldChar w:fldCharType="separate"/>
      </w:r>
      <w:r>
        <w:rPr>
          <w:highlight w:val="none"/>
        </w:rPr>
        <w:t>162</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_Toc22330 </w:instrText>
      </w:r>
      <w:r>
        <w:rPr>
          <w:highlight w:val="none"/>
        </w:rPr>
        <w:fldChar w:fldCharType="separate"/>
      </w:r>
      <w:r>
        <w:rPr>
          <w:rFonts w:hint="eastAsia" w:ascii="黑体" w:hAnsi="宋体" w:cs="Arial"/>
          <w:highlight w:val="none"/>
        </w:rPr>
        <w:t>18.9 中间验收</w:t>
      </w:r>
      <w:r>
        <w:rPr>
          <w:highlight w:val="none"/>
        </w:rPr>
        <w:tab/>
      </w:r>
      <w:r>
        <w:rPr>
          <w:highlight w:val="none"/>
        </w:rPr>
        <w:fldChar w:fldCharType="begin"/>
      </w:r>
      <w:r>
        <w:rPr>
          <w:highlight w:val="none"/>
        </w:rPr>
        <w:instrText xml:space="preserve"> PAGEREF _Toc22330 </w:instrText>
      </w:r>
      <w:r>
        <w:rPr>
          <w:highlight w:val="none"/>
        </w:rPr>
        <w:fldChar w:fldCharType="separate"/>
      </w:r>
      <w:r>
        <w:rPr>
          <w:highlight w:val="none"/>
        </w:rPr>
        <w:t>162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_Toc2298 </w:instrText>
      </w:r>
      <w:r>
        <w:rPr>
          <w:highlight w:val="none"/>
        </w:rPr>
        <w:fldChar w:fldCharType="separate"/>
      </w:r>
      <w:r>
        <w:rPr>
          <w:rFonts w:hint="eastAsia"/>
          <w:highlight w:val="none"/>
        </w:rPr>
        <w:t>19. 缺陷责任与保修责任</w:t>
      </w:r>
      <w:r>
        <w:rPr>
          <w:highlight w:val="none"/>
        </w:rPr>
        <w:tab/>
      </w:r>
      <w:r>
        <w:rPr>
          <w:highlight w:val="none"/>
        </w:rPr>
        <w:fldChar w:fldCharType="begin"/>
      </w:r>
      <w:r>
        <w:rPr>
          <w:highlight w:val="none"/>
        </w:rPr>
        <w:instrText xml:space="preserve"> PAGEREF _Toc2298 </w:instrText>
      </w:r>
      <w:r>
        <w:rPr>
          <w:highlight w:val="none"/>
        </w:rPr>
        <w:fldChar w:fldCharType="separate"/>
      </w:r>
      <w:r>
        <w:rPr>
          <w:highlight w:val="none"/>
        </w:rPr>
        <w:t>163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_Toc8619 </w:instrText>
      </w:r>
      <w:r>
        <w:rPr>
          <w:highlight w:val="none"/>
        </w:rPr>
        <w:fldChar w:fldCharType="separate"/>
      </w:r>
      <w:r>
        <w:rPr>
          <w:rFonts w:hint="eastAsia" w:ascii="黑体" w:hAnsi="宋体" w:cs="Arial"/>
          <w:highlight w:val="none"/>
        </w:rPr>
        <w:t>19.7 保修责任</w:t>
      </w:r>
      <w:r>
        <w:rPr>
          <w:highlight w:val="none"/>
        </w:rPr>
        <w:tab/>
      </w:r>
      <w:r>
        <w:rPr>
          <w:highlight w:val="none"/>
        </w:rPr>
        <w:fldChar w:fldCharType="begin"/>
      </w:r>
      <w:r>
        <w:rPr>
          <w:highlight w:val="none"/>
        </w:rPr>
        <w:instrText xml:space="preserve"> PAGEREF _Toc8619 </w:instrText>
      </w:r>
      <w:r>
        <w:rPr>
          <w:highlight w:val="none"/>
        </w:rPr>
        <w:fldChar w:fldCharType="separate"/>
      </w:r>
      <w:r>
        <w:rPr>
          <w:highlight w:val="none"/>
        </w:rPr>
        <w:t>163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_Toc20921 </w:instrText>
      </w:r>
      <w:r>
        <w:rPr>
          <w:highlight w:val="none"/>
        </w:rPr>
        <w:fldChar w:fldCharType="separate"/>
      </w:r>
      <w:r>
        <w:rPr>
          <w:rFonts w:hint="eastAsia"/>
          <w:highlight w:val="none"/>
        </w:rPr>
        <w:t>20. 保险</w:t>
      </w:r>
      <w:r>
        <w:rPr>
          <w:highlight w:val="none"/>
        </w:rPr>
        <w:tab/>
      </w:r>
      <w:r>
        <w:rPr>
          <w:highlight w:val="none"/>
        </w:rPr>
        <w:fldChar w:fldCharType="begin"/>
      </w:r>
      <w:r>
        <w:rPr>
          <w:highlight w:val="none"/>
        </w:rPr>
        <w:instrText xml:space="preserve"> PAGEREF _Toc20921 </w:instrText>
      </w:r>
      <w:r>
        <w:rPr>
          <w:highlight w:val="none"/>
        </w:rPr>
        <w:fldChar w:fldCharType="separate"/>
      </w:r>
      <w:r>
        <w:rPr>
          <w:highlight w:val="none"/>
        </w:rPr>
        <w:t>163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_Toc1890 </w:instrText>
      </w:r>
      <w:r>
        <w:rPr>
          <w:highlight w:val="none"/>
        </w:rPr>
        <w:fldChar w:fldCharType="separate"/>
      </w:r>
      <w:r>
        <w:rPr>
          <w:rFonts w:hint="eastAsia" w:ascii="黑体" w:hAnsi="宋体" w:cs="Arial"/>
          <w:highlight w:val="none"/>
        </w:rPr>
        <w:t>20.1 工程保险</w:t>
      </w:r>
      <w:r>
        <w:rPr>
          <w:highlight w:val="none"/>
        </w:rPr>
        <w:tab/>
      </w:r>
      <w:r>
        <w:rPr>
          <w:highlight w:val="none"/>
        </w:rPr>
        <w:fldChar w:fldCharType="begin"/>
      </w:r>
      <w:r>
        <w:rPr>
          <w:highlight w:val="none"/>
        </w:rPr>
        <w:instrText xml:space="preserve"> PAGEREF _Toc1890 </w:instrText>
      </w:r>
      <w:r>
        <w:rPr>
          <w:highlight w:val="none"/>
        </w:rPr>
        <w:fldChar w:fldCharType="separate"/>
      </w:r>
      <w:r>
        <w:rPr>
          <w:highlight w:val="none"/>
        </w:rPr>
        <w:t>163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_Toc14432 </w:instrText>
      </w:r>
      <w:r>
        <w:rPr>
          <w:highlight w:val="none"/>
        </w:rPr>
        <w:fldChar w:fldCharType="separate"/>
      </w:r>
      <w:r>
        <w:rPr>
          <w:rFonts w:hint="eastAsia" w:ascii="黑体" w:hAnsi="宋体" w:cs="Arial"/>
          <w:highlight w:val="none"/>
        </w:rPr>
        <w:t>20.4 第三者责任险</w:t>
      </w:r>
      <w:r>
        <w:rPr>
          <w:highlight w:val="none"/>
        </w:rPr>
        <w:tab/>
      </w:r>
      <w:r>
        <w:rPr>
          <w:highlight w:val="none"/>
        </w:rPr>
        <w:fldChar w:fldCharType="begin"/>
      </w:r>
      <w:r>
        <w:rPr>
          <w:highlight w:val="none"/>
        </w:rPr>
        <w:instrText xml:space="preserve"> PAGEREF _Toc14432 </w:instrText>
      </w:r>
      <w:r>
        <w:rPr>
          <w:highlight w:val="none"/>
        </w:rPr>
        <w:fldChar w:fldCharType="separate"/>
      </w:r>
      <w:r>
        <w:rPr>
          <w:highlight w:val="none"/>
        </w:rPr>
        <w:t>163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_Toc1319 </w:instrText>
      </w:r>
      <w:r>
        <w:rPr>
          <w:highlight w:val="none"/>
        </w:rPr>
        <w:fldChar w:fldCharType="separate"/>
      </w:r>
      <w:r>
        <w:rPr>
          <w:rFonts w:hint="eastAsia" w:ascii="黑体" w:hAnsi="宋体" w:cs="Arial"/>
          <w:highlight w:val="none"/>
        </w:rPr>
        <w:t>20.5 其他保险</w:t>
      </w:r>
      <w:r>
        <w:rPr>
          <w:highlight w:val="none"/>
        </w:rPr>
        <w:tab/>
      </w:r>
      <w:r>
        <w:rPr>
          <w:highlight w:val="none"/>
        </w:rPr>
        <w:fldChar w:fldCharType="begin"/>
      </w:r>
      <w:r>
        <w:rPr>
          <w:highlight w:val="none"/>
        </w:rPr>
        <w:instrText xml:space="preserve"> PAGEREF _Toc1319 </w:instrText>
      </w:r>
      <w:r>
        <w:rPr>
          <w:highlight w:val="none"/>
        </w:rPr>
        <w:fldChar w:fldCharType="separate"/>
      </w:r>
      <w:r>
        <w:rPr>
          <w:highlight w:val="none"/>
        </w:rPr>
        <w:t>163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_Toc15994 </w:instrText>
      </w:r>
      <w:r>
        <w:rPr>
          <w:highlight w:val="none"/>
        </w:rPr>
        <w:fldChar w:fldCharType="separate"/>
      </w:r>
      <w:r>
        <w:rPr>
          <w:rFonts w:hint="eastAsia" w:ascii="黑体" w:hAnsi="宋体" w:cs="Arial"/>
          <w:highlight w:val="none"/>
        </w:rPr>
        <w:t>20.6 对各项保险的一般要求</w:t>
      </w:r>
      <w:r>
        <w:rPr>
          <w:highlight w:val="none"/>
        </w:rPr>
        <w:tab/>
      </w:r>
      <w:r>
        <w:rPr>
          <w:highlight w:val="none"/>
        </w:rPr>
        <w:fldChar w:fldCharType="begin"/>
      </w:r>
      <w:r>
        <w:rPr>
          <w:highlight w:val="none"/>
        </w:rPr>
        <w:instrText xml:space="preserve"> PAGEREF _Toc15994 </w:instrText>
      </w:r>
      <w:r>
        <w:rPr>
          <w:highlight w:val="none"/>
        </w:rPr>
        <w:fldChar w:fldCharType="separate"/>
      </w:r>
      <w:r>
        <w:rPr>
          <w:highlight w:val="none"/>
        </w:rPr>
        <w:t>163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_Toc14013 </w:instrText>
      </w:r>
      <w:r>
        <w:rPr>
          <w:highlight w:val="none"/>
        </w:rPr>
        <w:fldChar w:fldCharType="separate"/>
      </w:r>
      <w:r>
        <w:rPr>
          <w:rFonts w:hint="eastAsia" w:ascii="黑体" w:eastAsia="黑体"/>
          <w:szCs w:val="21"/>
          <w:highlight w:val="none"/>
        </w:rPr>
        <w:t>20.6.4保险金不足的补偿</w:t>
      </w:r>
      <w:r>
        <w:rPr>
          <w:highlight w:val="none"/>
        </w:rPr>
        <w:tab/>
      </w:r>
      <w:r>
        <w:rPr>
          <w:highlight w:val="none"/>
        </w:rPr>
        <w:fldChar w:fldCharType="begin"/>
      </w:r>
      <w:r>
        <w:rPr>
          <w:highlight w:val="none"/>
        </w:rPr>
        <w:instrText xml:space="preserve"> PAGEREF _Toc14013 </w:instrText>
      </w:r>
      <w:r>
        <w:rPr>
          <w:highlight w:val="none"/>
        </w:rPr>
        <w:fldChar w:fldCharType="separate"/>
      </w:r>
      <w:r>
        <w:rPr>
          <w:highlight w:val="none"/>
        </w:rPr>
        <w:t>164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_Toc6068 </w:instrText>
      </w:r>
      <w:r>
        <w:rPr>
          <w:highlight w:val="none"/>
        </w:rPr>
        <w:fldChar w:fldCharType="separate"/>
      </w:r>
      <w:r>
        <w:rPr>
          <w:rFonts w:hint="eastAsia"/>
          <w:highlight w:val="none"/>
        </w:rPr>
        <w:t>21. 不可抗力</w:t>
      </w:r>
      <w:r>
        <w:rPr>
          <w:highlight w:val="none"/>
        </w:rPr>
        <w:tab/>
      </w:r>
      <w:r>
        <w:rPr>
          <w:highlight w:val="none"/>
        </w:rPr>
        <w:fldChar w:fldCharType="begin"/>
      </w:r>
      <w:r>
        <w:rPr>
          <w:highlight w:val="none"/>
        </w:rPr>
        <w:instrText xml:space="preserve"> PAGEREF _Toc6068 </w:instrText>
      </w:r>
      <w:r>
        <w:rPr>
          <w:highlight w:val="none"/>
        </w:rPr>
        <w:fldChar w:fldCharType="separate"/>
      </w:r>
      <w:r>
        <w:rPr>
          <w:highlight w:val="none"/>
        </w:rPr>
        <w:t>164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_Toc13376 </w:instrText>
      </w:r>
      <w:r>
        <w:rPr>
          <w:highlight w:val="none"/>
        </w:rPr>
        <w:fldChar w:fldCharType="separate"/>
      </w:r>
      <w:r>
        <w:rPr>
          <w:rFonts w:hint="eastAsia" w:ascii="黑体" w:hAnsi="宋体" w:cs="Arial"/>
          <w:highlight w:val="none"/>
        </w:rPr>
        <w:t>21.1 不可抗力的确认</w:t>
      </w:r>
      <w:r>
        <w:rPr>
          <w:highlight w:val="none"/>
        </w:rPr>
        <w:tab/>
      </w:r>
      <w:r>
        <w:rPr>
          <w:highlight w:val="none"/>
        </w:rPr>
        <w:fldChar w:fldCharType="begin"/>
      </w:r>
      <w:r>
        <w:rPr>
          <w:highlight w:val="none"/>
        </w:rPr>
        <w:instrText xml:space="preserve"> PAGEREF _Toc13376 </w:instrText>
      </w:r>
      <w:r>
        <w:rPr>
          <w:highlight w:val="none"/>
        </w:rPr>
        <w:fldChar w:fldCharType="separate"/>
      </w:r>
      <w:r>
        <w:rPr>
          <w:highlight w:val="none"/>
        </w:rPr>
        <w:t>164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_Toc2615 </w:instrText>
      </w:r>
      <w:r>
        <w:rPr>
          <w:highlight w:val="none"/>
        </w:rPr>
        <w:fldChar w:fldCharType="separate"/>
      </w:r>
      <w:r>
        <w:rPr>
          <w:rFonts w:hint="eastAsia" w:ascii="黑体" w:hAnsi="宋体" w:cs="Arial"/>
          <w:highlight w:val="none"/>
        </w:rPr>
        <w:t>21.3 不可抗力后果及其处理</w:t>
      </w:r>
      <w:r>
        <w:rPr>
          <w:highlight w:val="none"/>
        </w:rPr>
        <w:tab/>
      </w:r>
      <w:r>
        <w:rPr>
          <w:highlight w:val="none"/>
        </w:rPr>
        <w:fldChar w:fldCharType="begin"/>
      </w:r>
      <w:r>
        <w:rPr>
          <w:highlight w:val="none"/>
        </w:rPr>
        <w:instrText xml:space="preserve"> PAGEREF _Toc2615 </w:instrText>
      </w:r>
      <w:r>
        <w:rPr>
          <w:highlight w:val="none"/>
        </w:rPr>
        <w:fldChar w:fldCharType="separate"/>
      </w:r>
      <w:r>
        <w:rPr>
          <w:highlight w:val="none"/>
        </w:rPr>
        <w:t>164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_Toc1968 </w:instrText>
      </w:r>
      <w:r>
        <w:rPr>
          <w:highlight w:val="none"/>
        </w:rPr>
        <w:fldChar w:fldCharType="separate"/>
      </w:r>
      <w:r>
        <w:rPr>
          <w:rFonts w:hint="eastAsia"/>
          <w:highlight w:val="none"/>
        </w:rPr>
        <w:t>24. 争议的解决</w:t>
      </w:r>
      <w:r>
        <w:rPr>
          <w:highlight w:val="none"/>
        </w:rPr>
        <w:tab/>
      </w:r>
      <w:r>
        <w:rPr>
          <w:highlight w:val="none"/>
        </w:rPr>
        <w:fldChar w:fldCharType="begin"/>
      </w:r>
      <w:r>
        <w:rPr>
          <w:highlight w:val="none"/>
        </w:rPr>
        <w:instrText xml:space="preserve"> PAGEREF _Toc1968 </w:instrText>
      </w:r>
      <w:r>
        <w:rPr>
          <w:highlight w:val="none"/>
        </w:rPr>
        <w:fldChar w:fldCharType="separate"/>
      </w:r>
      <w:r>
        <w:rPr>
          <w:highlight w:val="none"/>
        </w:rPr>
        <w:t>164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_Toc19096 </w:instrText>
      </w:r>
      <w:r>
        <w:rPr>
          <w:highlight w:val="none"/>
        </w:rPr>
        <w:fldChar w:fldCharType="separate"/>
      </w:r>
      <w:r>
        <w:rPr>
          <w:rFonts w:hint="eastAsia" w:ascii="黑体" w:hAnsi="宋体" w:cs="Arial"/>
          <w:highlight w:val="none"/>
        </w:rPr>
        <w:t>24.1 争议的解决方式</w:t>
      </w:r>
      <w:r>
        <w:rPr>
          <w:highlight w:val="none"/>
        </w:rPr>
        <w:tab/>
      </w:r>
      <w:r>
        <w:rPr>
          <w:highlight w:val="none"/>
        </w:rPr>
        <w:fldChar w:fldCharType="begin"/>
      </w:r>
      <w:r>
        <w:rPr>
          <w:highlight w:val="none"/>
        </w:rPr>
        <w:instrText xml:space="preserve"> PAGEREF _Toc19096 </w:instrText>
      </w:r>
      <w:r>
        <w:rPr>
          <w:highlight w:val="none"/>
        </w:rPr>
        <w:fldChar w:fldCharType="separate"/>
      </w:r>
      <w:r>
        <w:rPr>
          <w:highlight w:val="none"/>
        </w:rPr>
        <w:t>164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_Toc25500 </w:instrText>
      </w:r>
      <w:r>
        <w:rPr>
          <w:highlight w:val="none"/>
        </w:rPr>
        <w:fldChar w:fldCharType="separate"/>
      </w:r>
      <w:r>
        <w:rPr>
          <w:rFonts w:hint="eastAsia" w:ascii="黑体" w:hAnsi="宋体" w:cs="Arial"/>
          <w:highlight w:val="none"/>
        </w:rPr>
        <w:t>24.3 争议评审</w:t>
      </w:r>
      <w:r>
        <w:rPr>
          <w:highlight w:val="none"/>
        </w:rPr>
        <w:tab/>
      </w:r>
      <w:r>
        <w:rPr>
          <w:highlight w:val="none"/>
        </w:rPr>
        <w:fldChar w:fldCharType="begin"/>
      </w:r>
      <w:r>
        <w:rPr>
          <w:highlight w:val="none"/>
        </w:rPr>
        <w:instrText xml:space="preserve"> PAGEREF _Toc25500 </w:instrText>
      </w:r>
      <w:r>
        <w:rPr>
          <w:highlight w:val="none"/>
        </w:rPr>
        <w:fldChar w:fldCharType="separate"/>
      </w:r>
      <w:r>
        <w:rPr>
          <w:highlight w:val="none"/>
        </w:rPr>
        <w:t>164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_Toc30793 </w:instrText>
      </w:r>
      <w:r>
        <w:rPr>
          <w:highlight w:val="none"/>
        </w:rPr>
        <w:fldChar w:fldCharType="separate"/>
      </w:r>
      <w:r>
        <w:rPr>
          <w:rFonts w:hint="eastAsia" w:ascii="黑体" w:hAnsi="宋体" w:cs="Arial"/>
          <w:highlight w:val="none"/>
        </w:rPr>
        <w:t>25.补充条款</w:t>
      </w:r>
      <w:r>
        <w:rPr>
          <w:highlight w:val="none"/>
        </w:rPr>
        <w:tab/>
      </w:r>
      <w:r>
        <w:rPr>
          <w:highlight w:val="none"/>
        </w:rPr>
        <w:fldChar w:fldCharType="begin"/>
      </w:r>
      <w:r>
        <w:rPr>
          <w:highlight w:val="none"/>
        </w:rPr>
        <w:instrText xml:space="preserve"> PAGEREF _Toc30793 </w:instrText>
      </w:r>
      <w:r>
        <w:rPr>
          <w:highlight w:val="none"/>
        </w:rPr>
        <w:fldChar w:fldCharType="separate"/>
      </w:r>
      <w:r>
        <w:rPr>
          <w:highlight w:val="none"/>
        </w:rPr>
        <w:t>164</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_Toc19524 </w:instrText>
      </w:r>
      <w:r>
        <w:rPr>
          <w:highlight w:val="none"/>
        </w:rPr>
        <w:fldChar w:fldCharType="separate"/>
      </w:r>
      <w:r>
        <w:rPr>
          <w:rFonts w:hint="eastAsia" w:ascii="黑体" w:hAnsi="宋体" w:cs="Arial"/>
          <w:highlight w:val="none"/>
        </w:rPr>
        <w:t>25.1 现场条件</w:t>
      </w:r>
      <w:r>
        <w:rPr>
          <w:highlight w:val="none"/>
        </w:rPr>
        <w:tab/>
      </w:r>
      <w:r>
        <w:rPr>
          <w:highlight w:val="none"/>
        </w:rPr>
        <w:fldChar w:fldCharType="begin"/>
      </w:r>
      <w:r>
        <w:rPr>
          <w:highlight w:val="none"/>
        </w:rPr>
        <w:instrText xml:space="preserve"> PAGEREF _Toc19524 </w:instrText>
      </w:r>
      <w:r>
        <w:rPr>
          <w:highlight w:val="none"/>
        </w:rPr>
        <w:fldChar w:fldCharType="separate"/>
      </w:r>
      <w:r>
        <w:rPr>
          <w:highlight w:val="none"/>
        </w:rPr>
        <w:t>165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_Toc18113 </w:instrText>
      </w:r>
      <w:r>
        <w:rPr>
          <w:highlight w:val="none"/>
        </w:rPr>
        <w:fldChar w:fldCharType="separate"/>
      </w:r>
      <w:r>
        <w:rPr>
          <w:rFonts w:hint="eastAsia" w:ascii="黑体" w:hAnsi="宋体" w:cs="Arial"/>
          <w:highlight w:val="none"/>
        </w:rPr>
        <w:t>25.2承包人项目经理（包括执行经理、技术负责人等，下同）</w:t>
      </w:r>
      <w:r>
        <w:rPr>
          <w:highlight w:val="none"/>
        </w:rPr>
        <w:tab/>
      </w:r>
      <w:r>
        <w:rPr>
          <w:highlight w:val="none"/>
        </w:rPr>
        <w:fldChar w:fldCharType="begin"/>
      </w:r>
      <w:r>
        <w:rPr>
          <w:highlight w:val="none"/>
        </w:rPr>
        <w:instrText xml:space="preserve"> PAGEREF _Toc18113 </w:instrText>
      </w:r>
      <w:r>
        <w:rPr>
          <w:highlight w:val="none"/>
        </w:rPr>
        <w:fldChar w:fldCharType="separate"/>
      </w:r>
      <w:r>
        <w:rPr>
          <w:highlight w:val="none"/>
        </w:rPr>
        <w:t>165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_Toc11948 </w:instrText>
      </w:r>
      <w:r>
        <w:rPr>
          <w:highlight w:val="none"/>
        </w:rPr>
        <w:fldChar w:fldCharType="separate"/>
      </w:r>
      <w:r>
        <w:rPr>
          <w:rFonts w:hint="eastAsia" w:ascii="黑体" w:hAnsi="宋体" w:cs="Arial"/>
          <w:highlight w:val="none"/>
        </w:rPr>
        <w:t>25.3现场管理</w:t>
      </w:r>
      <w:r>
        <w:rPr>
          <w:highlight w:val="none"/>
        </w:rPr>
        <w:tab/>
      </w:r>
      <w:r>
        <w:rPr>
          <w:highlight w:val="none"/>
        </w:rPr>
        <w:fldChar w:fldCharType="begin"/>
      </w:r>
      <w:r>
        <w:rPr>
          <w:highlight w:val="none"/>
        </w:rPr>
        <w:instrText xml:space="preserve"> PAGEREF _Toc11948 </w:instrText>
      </w:r>
      <w:r>
        <w:rPr>
          <w:highlight w:val="none"/>
        </w:rPr>
        <w:fldChar w:fldCharType="separate"/>
      </w:r>
      <w:r>
        <w:rPr>
          <w:highlight w:val="none"/>
        </w:rPr>
        <w:t>165</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_Toc179 </w:instrText>
      </w:r>
      <w:r>
        <w:rPr>
          <w:highlight w:val="none"/>
        </w:rPr>
        <w:fldChar w:fldCharType="separate"/>
      </w:r>
      <w:r>
        <w:rPr>
          <w:rFonts w:hint="eastAsia" w:ascii="黑体" w:hAnsi="宋体" w:cs="Arial"/>
          <w:highlight w:val="none"/>
        </w:rPr>
        <w:t>25.4进度报告</w:t>
      </w:r>
      <w:r>
        <w:rPr>
          <w:highlight w:val="none"/>
        </w:rPr>
        <w:tab/>
      </w:r>
      <w:r>
        <w:rPr>
          <w:highlight w:val="none"/>
        </w:rPr>
        <w:fldChar w:fldCharType="begin"/>
      </w:r>
      <w:r>
        <w:rPr>
          <w:highlight w:val="none"/>
        </w:rPr>
        <w:instrText xml:space="preserve"> PAGEREF _Toc179 </w:instrText>
      </w:r>
      <w:r>
        <w:rPr>
          <w:highlight w:val="none"/>
        </w:rPr>
        <w:fldChar w:fldCharType="separate"/>
      </w:r>
      <w:r>
        <w:rPr>
          <w:highlight w:val="none"/>
        </w:rPr>
        <w:t>166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_Toc32122 </w:instrText>
      </w:r>
      <w:r>
        <w:rPr>
          <w:highlight w:val="none"/>
        </w:rPr>
        <w:fldChar w:fldCharType="separate"/>
      </w:r>
      <w:r>
        <w:rPr>
          <w:rFonts w:hint="eastAsia" w:ascii="黑体" w:hAnsi="宋体" w:cs="Arial"/>
          <w:highlight w:val="none"/>
        </w:rPr>
        <w:t>25.5工程质量</w:t>
      </w:r>
      <w:r>
        <w:rPr>
          <w:highlight w:val="none"/>
        </w:rPr>
        <w:tab/>
      </w:r>
      <w:r>
        <w:rPr>
          <w:highlight w:val="none"/>
        </w:rPr>
        <w:fldChar w:fldCharType="begin"/>
      </w:r>
      <w:r>
        <w:rPr>
          <w:highlight w:val="none"/>
        </w:rPr>
        <w:instrText xml:space="preserve"> PAGEREF _Toc32122 </w:instrText>
      </w:r>
      <w:r>
        <w:rPr>
          <w:highlight w:val="none"/>
        </w:rPr>
        <w:fldChar w:fldCharType="separate"/>
      </w:r>
      <w:r>
        <w:rPr>
          <w:highlight w:val="none"/>
        </w:rPr>
        <w:t>166</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_Toc27030 </w:instrText>
      </w:r>
      <w:r>
        <w:rPr>
          <w:highlight w:val="none"/>
        </w:rPr>
        <w:fldChar w:fldCharType="separate"/>
      </w:r>
      <w:r>
        <w:rPr>
          <w:rFonts w:hint="eastAsia" w:ascii="黑体" w:hAnsi="宋体" w:cs="Arial"/>
          <w:highlight w:val="none"/>
        </w:rPr>
        <w:t>25.</w:t>
      </w:r>
      <w:r>
        <w:rPr>
          <w:rFonts w:hint="eastAsia" w:hAnsi="宋体" w:cs="Arial"/>
          <w:highlight w:val="none"/>
          <w:lang w:val="en-US" w:eastAsia="zh-CN"/>
        </w:rPr>
        <w:t>6</w:t>
      </w:r>
      <w:r>
        <w:rPr>
          <w:rFonts w:hint="eastAsia" w:ascii="黑体" w:hAnsi="宋体" w:cs="Arial"/>
          <w:highlight w:val="none"/>
        </w:rPr>
        <w:t>安全防护和文明施工</w:t>
      </w:r>
      <w:r>
        <w:rPr>
          <w:highlight w:val="none"/>
        </w:rPr>
        <w:tab/>
      </w:r>
      <w:r>
        <w:rPr>
          <w:highlight w:val="none"/>
        </w:rPr>
        <w:fldChar w:fldCharType="begin"/>
      </w:r>
      <w:r>
        <w:rPr>
          <w:highlight w:val="none"/>
        </w:rPr>
        <w:instrText xml:space="preserve"> PAGEREF _Toc27030 </w:instrText>
      </w:r>
      <w:r>
        <w:rPr>
          <w:highlight w:val="none"/>
        </w:rPr>
        <w:fldChar w:fldCharType="separate"/>
      </w:r>
      <w:r>
        <w:rPr>
          <w:highlight w:val="none"/>
        </w:rPr>
        <w:t>167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_Toc10829 </w:instrText>
      </w:r>
      <w:r>
        <w:rPr>
          <w:highlight w:val="none"/>
        </w:rPr>
        <w:fldChar w:fldCharType="separate"/>
      </w:r>
      <w:r>
        <w:rPr>
          <w:rFonts w:hint="eastAsia" w:ascii="黑体" w:hAnsi="宋体" w:cs="Arial"/>
          <w:highlight w:val="none"/>
        </w:rPr>
        <w:t>25.</w:t>
      </w:r>
      <w:r>
        <w:rPr>
          <w:rFonts w:hint="eastAsia" w:hAnsi="宋体" w:cs="Arial"/>
          <w:highlight w:val="none"/>
          <w:lang w:val="en-US" w:eastAsia="zh-CN"/>
        </w:rPr>
        <w:t>7</w:t>
      </w:r>
      <w:r>
        <w:rPr>
          <w:rFonts w:hint="eastAsia" w:ascii="黑体" w:hAnsi="宋体" w:cs="Arial"/>
          <w:highlight w:val="none"/>
        </w:rPr>
        <w:t>合同价款的调整</w:t>
      </w:r>
      <w:r>
        <w:rPr>
          <w:highlight w:val="none"/>
        </w:rPr>
        <w:tab/>
      </w:r>
      <w:r>
        <w:rPr>
          <w:highlight w:val="none"/>
        </w:rPr>
        <w:fldChar w:fldCharType="begin"/>
      </w:r>
      <w:r>
        <w:rPr>
          <w:highlight w:val="none"/>
        </w:rPr>
        <w:instrText xml:space="preserve"> PAGEREF _Toc10829 </w:instrText>
      </w:r>
      <w:r>
        <w:rPr>
          <w:highlight w:val="none"/>
        </w:rPr>
        <w:fldChar w:fldCharType="separate"/>
      </w:r>
      <w:r>
        <w:rPr>
          <w:highlight w:val="none"/>
        </w:rPr>
        <w:t>167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_Toc15583 </w:instrText>
      </w:r>
      <w:r>
        <w:rPr>
          <w:highlight w:val="none"/>
        </w:rPr>
        <w:fldChar w:fldCharType="separate"/>
      </w:r>
      <w:r>
        <w:rPr>
          <w:rFonts w:hint="eastAsia" w:ascii="黑体" w:hAnsi="宋体" w:cs="Arial"/>
          <w:highlight w:val="none"/>
        </w:rPr>
        <w:t>25.</w:t>
      </w:r>
      <w:r>
        <w:rPr>
          <w:rFonts w:hint="eastAsia" w:hAnsi="宋体" w:cs="Arial"/>
          <w:highlight w:val="none"/>
          <w:lang w:val="en-US" w:eastAsia="zh-CN"/>
        </w:rPr>
        <w:t>8</w:t>
      </w:r>
      <w:r>
        <w:rPr>
          <w:rFonts w:hint="eastAsia" w:ascii="黑体" w:hAnsi="宋体" w:cs="Arial"/>
          <w:highlight w:val="none"/>
        </w:rPr>
        <w:t>变更</w:t>
      </w:r>
      <w:r>
        <w:rPr>
          <w:highlight w:val="none"/>
        </w:rPr>
        <w:tab/>
      </w:r>
      <w:r>
        <w:rPr>
          <w:highlight w:val="none"/>
        </w:rPr>
        <w:fldChar w:fldCharType="begin"/>
      </w:r>
      <w:r>
        <w:rPr>
          <w:highlight w:val="none"/>
        </w:rPr>
        <w:instrText xml:space="preserve"> PAGEREF _Toc15583 </w:instrText>
      </w:r>
      <w:r>
        <w:rPr>
          <w:highlight w:val="none"/>
        </w:rPr>
        <w:fldChar w:fldCharType="separate"/>
      </w:r>
      <w:r>
        <w:rPr>
          <w:highlight w:val="none"/>
        </w:rPr>
        <w:t>167</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_Toc26999 </w:instrText>
      </w:r>
      <w:r>
        <w:rPr>
          <w:highlight w:val="none"/>
        </w:rPr>
        <w:fldChar w:fldCharType="separate"/>
      </w:r>
      <w:r>
        <w:rPr>
          <w:rFonts w:hint="eastAsia" w:ascii="黑体" w:hAnsi="宋体" w:cs="Arial"/>
          <w:highlight w:val="none"/>
        </w:rPr>
        <w:t>25.</w:t>
      </w:r>
      <w:r>
        <w:rPr>
          <w:rFonts w:hint="eastAsia" w:hAnsi="宋体" w:cs="Arial"/>
          <w:highlight w:val="none"/>
          <w:lang w:val="en-US" w:eastAsia="zh-CN"/>
        </w:rPr>
        <w:t>9</w:t>
      </w:r>
      <w:r>
        <w:rPr>
          <w:rFonts w:hint="eastAsia" w:ascii="黑体" w:hAnsi="宋体" w:cs="Arial"/>
          <w:highlight w:val="none"/>
        </w:rPr>
        <w:t>变更计价</w:t>
      </w:r>
      <w:r>
        <w:rPr>
          <w:highlight w:val="none"/>
        </w:rPr>
        <w:tab/>
      </w:r>
      <w:r>
        <w:rPr>
          <w:highlight w:val="none"/>
        </w:rPr>
        <w:fldChar w:fldCharType="begin"/>
      </w:r>
      <w:r>
        <w:rPr>
          <w:highlight w:val="none"/>
        </w:rPr>
        <w:instrText xml:space="preserve"> PAGEREF _Toc26999 </w:instrText>
      </w:r>
      <w:r>
        <w:rPr>
          <w:highlight w:val="none"/>
        </w:rPr>
        <w:fldChar w:fldCharType="separate"/>
      </w:r>
      <w:r>
        <w:rPr>
          <w:highlight w:val="none"/>
        </w:rPr>
        <w:t>168</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_Toc20339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0</w:t>
      </w:r>
      <w:r>
        <w:rPr>
          <w:rFonts w:hint="eastAsia" w:ascii="黑体" w:hAnsi="宋体" w:cs="Arial"/>
          <w:highlight w:val="none"/>
        </w:rPr>
        <w:t>进度款支付</w:t>
      </w:r>
      <w:r>
        <w:rPr>
          <w:highlight w:val="none"/>
        </w:rPr>
        <w:tab/>
      </w:r>
      <w:r>
        <w:rPr>
          <w:highlight w:val="none"/>
        </w:rPr>
        <w:fldChar w:fldCharType="begin"/>
      </w:r>
      <w:r>
        <w:rPr>
          <w:highlight w:val="none"/>
        </w:rPr>
        <w:instrText xml:space="preserve"> PAGEREF _Toc20339 </w:instrText>
      </w:r>
      <w:r>
        <w:rPr>
          <w:highlight w:val="none"/>
        </w:rPr>
        <w:fldChar w:fldCharType="separate"/>
      </w:r>
      <w:r>
        <w:rPr>
          <w:highlight w:val="none"/>
        </w:rPr>
        <w:t>168</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_Toc20514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1</w:t>
      </w:r>
      <w:r>
        <w:rPr>
          <w:rFonts w:hint="eastAsia" w:ascii="黑体" w:hAnsi="宋体" w:cs="Arial"/>
          <w:highlight w:val="none"/>
        </w:rPr>
        <w:t>竣工资料</w:t>
      </w:r>
      <w:r>
        <w:rPr>
          <w:highlight w:val="none"/>
        </w:rPr>
        <w:tab/>
      </w:r>
      <w:r>
        <w:rPr>
          <w:highlight w:val="none"/>
        </w:rPr>
        <w:fldChar w:fldCharType="begin"/>
      </w:r>
      <w:r>
        <w:rPr>
          <w:highlight w:val="none"/>
        </w:rPr>
        <w:instrText xml:space="preserve"> PAGEREF _Toc20514 </w:instrText>
      </w:r>
      <w:r>
        <w:rPr>
          <w:highlight w:val="none"/>
        </w:rPr>
        <w:fldChar w:fldCharType="separate"/>
      </w:r>
      <w:r>
        <w:rPr>
          <w:highlight w:val="none"/>
        </w:rPr>
        <w:t>169</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_Toc5217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2</w:t>
      </w:r>
      <w:r>
        <w:rPr>
          <w:rFonts w:ascii="黑体" w:hAnsi="宋体" w:cs="Arial"/>
          <w:highlight w:val="none"/>
        </w:rPr>
        <w:t>竣工清理</w:t>
      </w:r>
      <w:r>
        <w:rPr>
          <w:highlight w:val="none"/>
        </w:rPr>
        <w:tab/>
      </w:r>
      <w:r>
        <w:rPr>
          <w:highlight w:val="none"/>
        </w:rPr>
        <w:fldChar w:fldCharType="begin"/>
      </w:r>
      <w:r>
        <w:rPr>
          <w:highlight w:val="none"/>
        </w:rPr>
        <w:instrText xml:space="preserve"> PAGEREF _Toc5217 </w:instrText>
      </w:r>
      <w:r>
        <w:rPr>
          <w:highlight w:val="none"/>
        </w:rPr>
        <w:fldChar w:fldCharType="separate"/>
      </w:r>
      <w:r>
        <w:rPr>
          <w:highlight w:val="none"/>
        </w:rPr>
        <w:t>170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_Toc6707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3</w:t>
      </w:r>
      <w:r>
        <w:rPr>
          <w:rFonts w:hint="eastAsia" w:ascii="黑体" w:hAnsi="宋体" w:cs="Arial"/>
          <w:highlight w:val="none"/>
        </w:rPr>
        <w:t>工程移交</w:t>
      </w:r>
      <w:r>
        <w:rPr>
          <w:highlight w:val="none"/>
        </w:rPr>
        <w:tab/>
      </w:r>
      <w:r>
        <w:rPr>
          <w:highlight w:val="none"/>
        </w:rPr>
        <w:fldChar w:fldCharType="begin"/>
      </w:r>
      <w:r>
        <w:rPr>
          <w:highlight w:val="none"/>
        </w:rPr>
        <w:instrText xml:space="preserve"> PAGEREF _Toc6707 </w:instrText>
      </w:r>
      <w:r>
        <w:rPr>
          <w:highlight w:val="none"/>
        </w:rPr>
        <w:fldChar w:fldCharType="separate"/>
      </w:r>
      <w:r>
        <w:rPr>
          <w:highlight w:val="none"/>
        </w:rPr>
        <w:t>170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_Toc24763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4</w:t>
      </w:r>
      <w:r>
        <w:rPr>
          <w:rFonts w:hint="eastAsia" w:ascii="黑体" w:hAnsi="宋体" w:cs="Arial"/>
          <w:highlight w:val="none"/>
        </w:rPr>
        <w:t>竣工结算</w:t>
      </w:r>
      <w:r>
        <w:rPr>
          <w:highlight w:val="none"/>
        </w:rPr>
        <w:tab/>
      </w:r>
      <w:r>
        <w:rPr>
          <w:highlight w:val="none"/>
        </w:rPr>
        <w:fldChar w:fldCharType="begin"/>
      </w:r>
      <w:r>
        <w:rPr>
          <w:highlight w:val="none"/>
        </w:rPr>
        <w:instrText xml:space="preserve"> PAGEREF _Toc24763 </w:instrText>
      </w:r>
      <w:r>
        <w:rPr>
          <w:highlight w:val="none"/>
        </w:rPr>
        <w:fldChar w:fldCharType="separate"/>
      </w:r>
      <w:r>
        <w:rPr>
          <w:highlight w:val="none"/>
        </w:rPr>
        <w:t>170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_Toc22038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5</w:t>
      </w:r>
      <w:r>
        <w:rPr>
          <w:rFonts w:hint="eastAsia" w:ascii="黑体" w:hAnsi="宋体" w:cs="Arial"/>
          <w:highlight w:val="none"/>
        </w:rPr>
        <w:t>质量保证金</w:t>
      </w:r>
      <w:r>
        <w:rPr>
          <w:highlight w:val="none"/>
        </w:rPr>
        <w:tab/>
      </w:r>
      <w:r>
        <w:rPr>
          <w:highlight w:val="none"/>
        </w:rPr>
        <w:fldChar w:fldCharType="begin"/>
      </w:r>
      <w:r>
        <w:rPr>
          <w:highlight w:val="none"/>
        </w:rPr>
        <w:instrText xml:space="preserve"> PAGEREF _Toc22038 </w:instrText>
      </w:r>
      <w:r>
        <w:rPr>
          <w:highlight w:val="none"/>
        </w:rPr>
        <w:fldChar w:fldCharType="separate"/>
      </w:r>
      <w:r>
        <w:rPr>
          <w:highlight w:val="none"/>
        </w:rPr>
        <w:t>170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_Toc26721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6</w:t>
      </w:r>
      <w:r>
        <w:rPr>
          <w:rFonts w:hint="eastAsia" w:ascii="黑体" w:hAnsi="宋体" w:cs="Arial"/>
          <w:highlight w:val="none"/>
        </w:rPr>
        <w:t>违约</w:t>
      </w:r>
      <w:r>
        <w:rPr>
          <w:highlight w:val="none"/>
        </w:rPr>
        <w:tab/>
      </w:r>
      <w:r>
        <w:rPr>
          <w:highlight w:val="none"/>
        </w:rPr>
        <w:fldChar w:fldCharType="begin"/>
      </w:r>
      <w:r>
        <w:rPr>
          <w:highlight w:val="none"/>
        </w:rPr>
        <w:instrText xml:space="preserve"> PAGEREF _Toc26721 </w:instrText>
      </w:r>
      <w:r>
        <w:rPr>
          <w:highlight w:val="none"/>
        </w:rPr>
        <w:fldChar w:fldCharType="separate"/>
      </w:r>
      <w:r>
        <w:rPr>
          <w:highlight w:val="none"/>
        </w:rPr>
        <w:t>170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_Toc13022 </w:instrText>
      </w:r>
      <w:r>
        <w:rPr>
          <w:highlight w:val="none"/>
        </w:rPr>
        <w:fldChar w:fldCharType="separate"/>
      </w:r>
      <w:r>
        <w:rPr>
          <w:rFonts w:hint="eastAsia" w:ascii="黑体" w:hAnsi="宋体" w:cs="Arial"/>
          <w:highlight w:val="none"/>
        </w:rPr>
        <w:t>25.1</w:t>
      </w:r>
      <w:r>
        <w:rPr>
          <w:rFonts w:hint="eastAsia" w:hAnsi="宋体" w:cs="Arial"/>
          <w:highlight w:val="none"/>
          <w:lang w:val="en-US" w:eastAsia="zh-CN"/>
        </w:rPr>
        <w:t>7</w:t>
      </w:r>
      <w:r>
        <w:rPr>
          <w:rFonts w:hint="eastAsia" w:ascii="黑体" w:hAnsi="宋体" w:cs="Arial"/>
          <w:highlight w:val="none"/>
        </w:rPr>
        <w:t>其他</w:t>
      </w:r>
      <w:r>
        <w:rPr>
          <w:highlight w:val="none"/>
        </w:rPr>
        <w:tab/>
      </w:r>
      <w:r>
        <w:rPr>
          <w:highlight w:val="none"/>
        </w:rPr>
        <w:fldChar w:fldCharType="begin"/>
      </w:r>
      <w:r>
        <w:rPr>
          <w:highlight w:val="none"/>
        </w:rPr>
        <w:instrText xml:space="preserve"> PAGEREF _Toc13022 </w:instrText>
      </w:r>
      <w:r>
        <w:rPr>
          <w:highlight w:val="none"/>
        </w:rPr>
        <w:fldChar w:fldCharType="separate"/>
      </w:r>
      <w:r>
        <w:rPr>
          <w:highlight w:val="none"/>
        </w:rPr>
        <w:t>171</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_Toc1533 </w:instrText>
      </w:r>
      <w:r>
        <w:rPr>
          <w:highlight w:val="none"/>
        </w:rPr>
        <w:fldChar w:fldCharType="separate"/>
      </w:r>
      <w:r>
        <w:rPr>
          <w:highlight w:val="none"/>
        </w:rPr>
        <w:t>第</w:t>
      </w:r>
      <w:r>
        <w:rPr>
          <w:rFonts w:hint="eastAsia"/>
          <w:highlight w:val="none"/>
        </w:rPr>
        <w:t>三</w:t>
      </w:r>
      <w:r>
        <w:rPr>
          <w:highlight w:val="none"/>
        </w:rPr>
        <w:t xml:space="preserve">节 </w:t>
      </w:r>
      <w:r>
        <w:rPr>
          <w:rFonts w:ascii="Arial" w:hAnsi="Arial" w:cs="Arial"/>
          <w:highlight w:val="none"/>
        </w:rPr>
        <w:t>合同附件格式</w:t>
      </w:r>
      <w:r>
        <w:rPr>
          <w:highlight w:val="none"/>
        </w:rPr>
        <w:tab/>
      </w:r>
      <w:r>
        <w:rPr>
          <w:highlight w:val="none"/>
        </w:rPr>
        <w:fldChar w:fldCharType="begin"/>
      </w:r>
      <w:r>
        <w:rPr>
          <w:highlight w:val="none"/>
        </w:rPr>
        <w:instrText xml:space="preserve"> PAGEREF _Toc1533 </w:instrText>
      </w:r>
      <w:r>
        <w:rPr>
          <w:highlight w:val="none"/>
        </w:rPr>
        <w:fldChar w:fldCharType="separate"/>
      </w:r>
      <w:r>
        <w:rPr>
          <w:highlight w:val="none"/>
        </w:rPr>
        <w:t>173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_Toc4300 </w:instrText>
      </w:r>
      <w:r>
        <w:rPr>
          <w:highlight w:val="none"/>
        </w:rPr>
        <w:fldChar w:fldCharType="separate"/>
      </w:r>
      <w:r>
        <w:rPr>
          <w:rFonts w:hint="eastAsia"/>
          <w:highlight w:val="none"/>
        </w:rPr>
        <w:t>附件一：合同协议书</w:t>
      </w:r>
      <w:r>
        <w:rPr>
          <w:highlight w:val="none"/>
        </w:rPr>
        <w:tab/>
      </w:r>
      <w:r>
        <w:rPr>
          <w:highlight w:val="none"/>
        </w:rPr>
        <w:fldChar w:fldCharType="begin"/>
      </w:r>
      <w:r>
        <w:rPr>
          <w:highlight w:val="none"/>
        </w:rPr>
        <w:instrText xml:space="preserve"> PAGEREF _Toc4300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_Toc20489 </w:instrText>
      </w:r>
      <w:r>
        <w:rPr>
          <w:highlight w:val="none"/>
        </w:rPr>
        <w:fldChar w:fldCharType="separate"/>
      </w:r>
      <w:r>
        <w:rPr>
          <w:rFonts w:hint="eastAsia" w:ascii="黑体" w:eastAsia="黑体"/>
          <w:highlight w:val="none"/>
        </w:rPr>
        <w:t>一、工程概况</w:t>
      </w:r>
      <w:r>
        <w:rPr>
          <w:highlight w:val="none"/>
        </w:rPr>
        <w:tab/>
      </w:r>
      <w:r>
        <w:rPr>
          <w:highlight w:val="none"/>
        </w:rPr>
        <w:fldChar w:fldCharType="begin"/>
      </w:r>
      <w:r>
        <w:rPr>
          <w:highlight w:val="none"/>
        </w:rPr>
        <w:instrText xml:space="preserve"> PAGEREF _Toc20489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_Toc28360 </w:instrText>
      </w:r>
      <w:r>
        <w:rPr>
          <w:highlight w:val="none"/>
        </w:rPr>
        <w:fldChar w:fldCharType="separate"/>
      </w:r>
      <w:r>
        <w:rPr>
          <w:rFonts w:hint="eastAsia" w:ascii="黑体" w:eastAsia="黑体"/>
          <w:highlight w:val="none"/>
        </w:rPr>
        <w:t>二、工程承包范围</w:t>
      </w:r>
      <w:r>
        <w:rPr>
          <w:highlight w:val="none"/>
        </w:rPr>
        <w:tab/>
      </w:r>
      <w:r>
        <w:rPr>
          <w:highlight w:val="none"/>
        </w:rPr>
        <w:fldChar w:fldCharType="begin"/>
      </w:r>
      <w:r>
        <w:rPr>
          <w:highlight w:val="none"/>
        </w:rPr>
        <w:instrText xml:space="preserve"> PAGEREF _Toc28360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_Toc19156 </w:instrText>
      </w:r>
      <w:r>
        <w:rPr>
          <w:highlight w:val="none"/>
        </w:rPr>
        <w:fldChar w:fldCharType="separate"/>
      </w:r>
      <w:r>
        <w:rPr>
          <w:rFonts w:hint="eastAsia" w:ascii="黑体" w:eastAsia="黑体"/>
          <w:highlight w:val="none"/>
        </w:rPr>
        <w:t>三、合同工期</w:t>
      </w:r>
      <w:r>
        <w:rPr>
          <w:highlight w:val="none"/>
        </w:rPr>
        <w:tab/>
      </w:r>
      <w:r>
        <w:rPr>
          <w:highlight w:val="none"/>
        </w:rPr>
        <w:fldChar w:fldCharType="begin"/>
      </w:r>
      <w:r>
        <w:rPr>
          <w:highlight w:val="none"/>
        </w:rPr>
        <w:instrText xml:space="preserve"> PAGEREF _Toc19156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_Toc25798 </w:instrText>
      </w:r>
      <w:r>
        <w:rPr>
          <w:highlight w:val="none"/>
        </w:rPr>
        <w:fldChar w:fldCharType="separate"/>
      </w:r>
      <w:r>
        <w:rPr>
          <w:rFonts w:hint="eastAsia" w:ascii="黑体" w:eastAsia="黑体"/>
          <w:highlight w:val="none"/>
        </w:rPr>
        <w:t>四、质量标准</w:t>
      </w:r>
      <w:r>
        <w:rPr>
          <w:highlight w:val="none"/>
        </w:rPr>
        <w:tab/>
      </w:r>
      <w:r>
        <w:rPr>
          <w:highlight w:val="none"/>
        </w:rPr>
        <w:fldChar w:fldCharType="begin"/>
      </w:r>
      <w:r>
        <w:rPr>
          <w:highlight w:val="none"/>
        </w:rPr>
        <w:instrText xml:space="preserve"> PAGEREF _Toc25798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_Toc18400 </w:instrText>
      </w:r>
      <w:r>
        <w:rPr>
          <w:highlight w:val="none"/>
        </w:rPr>
        <w:fldChar w:fldCharType="separate"/>
      </w:r>
      <w:r>
        <w:rPr>
          <w:rFonts w:hint="eastAsia" w:ascii="黑体" w:eastAsia="黑体"/>
          <w:highlight w:val="none"/>
        </w:rPr>
        <w:t>五、合同形式</w:t>
      </w:r>
      <w:r>
        <w:rPr>
          <w:highlight w:val="none"/>
        </w:rPr>
        <w:tab/>
      </w:r>
      <w:r>
        <w:rPr>
          <w:highlight w:val="none"/>
        </w:rPr>
        <w:fldChar w:fldCharType="begin"/>
      </w:r>
      <w:r>
        <w:rPr>
          <w:highlight w:val="none"/>
        </w:rPr>
        <w:instrText xml:space="preserve"> PAGEREF _Toc18400 </w:instrText>
      </w:r>
      <w:r>
        <w:rPr>
          <w:highlight w:val="none"/>
        </w:rPr>
        <w:fldChar w:fldCharType="separate"/>
      </w:r>
      <w:r>
        <w:rPr>
          <w:highlight w:val="none"/>
        </w:rPr>
        <w:t>174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_Toc6705 </w:instrText>
      </w:r>
      <w:r>
        <w:rPr>
          <w:highlight w:val="none"/>
        </w:rPr>
        <w:fldChar w:fldCharType="separate"/>
      </w:r>
      <w:r>
        <w:rPr>
          <w:rFonts w:hint="eastAsia" w:ascii="黑体" w:eastAsia="黑体"/>
          <w:bCs/>
          <w:highlight w:val="none"/>
        </w:rPr>
        <w:t>六、签约合同价</w:t>
      </w:r>
      <w:r>
        <w:rPr>
          <w:highlight w:val="none"/>
        </w:rPr>
        <w:tab/>
      </w:r>
      <w:r>
        <w:rPr>
          <w:highlight w:val="none"/>
        </w:rPr>
        <w:fldChar w:fldCharType="begin"/>
      </w:r>
      <w:r>
        <w:rPr>
          <w:highlight w:val="none"/>
        </w:rPr>
        <w:instrText xml:space="preserve"> PAGEREF _Toc6705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_Toc17686 </w:instrText>
      </w:r>
      <w:r>
        <w:rPr>
          <w:highlight w:val="none"/>
        </w:rPr>
        <w:fldChar w:fldCharType="separate"/>
      </w:r>
      <w:r>
        <w:rPr>
          <w:rFonts w:hint="eastAsia" w:ascii="黑体" w:eastAsia="黑体"/>
          <w:bCs/>
          <w:highlight w:val="none"/>
        </w:rPr>
        <w:t>七、承包人项目经理：</w:t>
      </w:r>
      <w:r>
        <w:rPr>
          <w:highlight w:val="none"/>
        </w:rPr>
        <w:tab/>
      </w:r>
      <w:r>
        <w:rPr>
          <w:highlight w:val="none"/>
        </w:rPr>
        <w:fldChar w:fldCharType="begin"/>
      </w:r>
      <w:r>
        <w:rPr>
          <w:highlight w:val="none"/>
        </w:rPr>
        <w:instrText xml:space="preserve"> PAGEREF _Toc17686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_Toc24782 </w:instrText>
      </w:r>
      <w:r>
        <w:rPr>
          <w:highlight w:val="none"/>
        </w:rPr>
        <w:fldChar w:fldCharType="separate"/>
      </w:r>
      <w:r>
        <w:rPr>
          <w:rFonts w:hint="eastAsia" w:ascii="黑体" w:eastAsia="黑体"/>
          <w:highlight w:val="none"/>
        </w:rPr>
        <w:t>八、合同文件的组成</w:t>
      </w:r>
      <w:r>
        <w:rPr>
          <w:highlight w:val="none"/>
        </w:rPr>
        <w:tab/>
      </w:r>
      <w:r>
        <w:rPr>
          <w:highlight w:val="none"/>
        </w:rPr>
        <w:fldChar w:fldCharType="begin"/>
      </w:r>
      <w:r>
        <w:rPr>
          <w:highlight w:val="none"/>
        </w:rPr>
        <w:instrText xml:space="preserve"> PAGEREF _Toc24782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_Toc29339 </w:instrText>
      </w:r>
      <w:r>
        <w:rPr>
          <w:highlight w:val="none"/>
        </w:rPr>
        <w:fldChar w:fldCharType="separate"/>
      </w:r>
      <w:r>
        <w:rPr>
          <w:rFonts w:hint="eastAsia"/>
          <w:highlight w:val="none"/>
        </w:rPr>
        <w:t>九、本协议书中有关词语定义与合同条款中的定义相同。</w:t>
      </w:r>
      <w:r>
        <w:rPr>
          <w:highlight w:val="none"/>
        </w:rPr>
        <w:tab/>
      </w:r>
      <w:r>
        <w:rPr>
          <w:highlight w:val="none"/>
        </w:rPr>
        <w:fldChar w:fldCharType="begin"/>
      </w:r>
      <w:r>
        <w:rPr>
          <w:highlight w:val="none"/>
        </w:rPr>
        <w:instrText xml:space="preserve"> PAGEREF _Toc29339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_Toc8131 </w:instrText>
      </w:r>
      <w:r>
        <w:rPr>
          <w:highlight w:val="none"/>
        </w:rPr>
        <w:fldChar w:fldCharType="separate"/>
      </w:r>
      <w:r>
        <w:rPr>
          <w:rFonts w:hint="eastAsia"/>
          <w:highlight w:val="none"/>
        </w:rPr>
        <w:t>十、承包人承诺按照合同约定进行施工、竣工、交付并承担质量缺陷保修责任。</w:t>
      </w:r>
      <w:r>
        <w:rPr>
          <w:highlight w:val="none"/>
        </w:rPr>
        <w:tab/>
      </w:r>
      <w:r>
        <w:rPr>
          <w:highlight w:val="none"/>
        </w:rPr>
        <w:fldChar w:fldCharType="begin"/>
      </w:r>
      <w:r>
        <w:rPr>
          <w:highlight w:val="none"/>
        </w:rPr>
        <w:instrText xml:space="preserve"> PAGEREF _Toc8131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_Toc31822 </w:instrText>
      </w:r>
      <w:r>
        <w:rPr>
          <w:highlight w:val="none"/>
        </w:rPr>
        <w:fldChar w:fldCharType="separate"/>
      </w:r>
      <w:r>
        <w:rPr>
          <w:rFonts w:hint="eastAsia"/>
          <w:highlight w:val="none"/>
        </w:rPr>
        <w:t>十一、发包人承诺按照合同约定的条件、期限和方式向承包人支付合同价款。</w:t>
      </w:r>
      <w:r>
        <w:rPr>
          <w:highlight w:val="none"/>
        </w:rPr>
        <w:tab/>
      </w:r>
      <w:r>
        <w:rPr>
          <w:highlight w:val="none"/>
        </w:rPr>
        <w:fldChar w:fldCharType="begin"/>
      </w:r>
      <w:r>
        <w:rPr>
          <w:highlight w:val="none"/>
        </w:rPr>
        <w:instrText xml:space="preserve"> PAGEREF _Toc31822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_Toc22421 </w:instrText>
      </w:r>
      <w:r>
        <w:rPr>
          <w:highlight w:val="none"/>
        </w:rPr>
        <w:fldChar w:fldCharType="separate"/>
      </w:r>
      <w:r>
        <w:rPr>
          <w:rFonts w:hint="eastAsia"/>
          <w:highlight w:val="none"/>
        </w:rPr>
        <w:t>十二、本协议书连同其他合同文件正本一式两份，合同双方各执一份；副本一式</w:t>
      </w:r>
      <w:r>
        <w:rPr>
          <w:highlight w:val="none"/>
        </w:rPr>
        <w:tab/>
      </w:r>
      <w:r>
        <w:rPr>
          <w:highlight w:val="none"/>
        </w:rPr>
        <w:fldChar w:fldCharType="begin"/>
      </w:r>
      <w:r>
        <w:rPr>
          <w:highlight w:val="none"/>
        </w:rPr>
        <w:instrText xml:space="preserve"> PAGEREF _Toc22421 </w:instrText>
      </w:r>
      <w:r>
        <w:rPr>
          <w:highlight w:val="none"/>
        </w:rPr>
        <w:fldChar w:fldCharType="separate"/>
      </w:r>
      <w:r>
        <w:rPr>
          <w:highlight w:val="none"/>
        </w:rPr>
        <w:t>175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_Toc23607 </w:instrText>
      </w:r>
      <w:r>
        <w:rPr>
          <w:highlight w:val="none"/>
        </w:rPr>
        <w:fldChar w:fldCharType="separate"/>
      </w:r>
      <w:r>
        <w:rPr>
          <w:rFonts w:hint="eastAsia"/>
          <w:highlight w:val="none"/>
        </w:rPr>
        <w:t>十三、</w:t>
      </w:r>
      <w:r>
        <w:rPr>
          <w:highlight w:val="none"/>
        </w:rPr>
        <w:t>合同未尽事宜，双方另行签订补充协议</w:t>
      </w:r>
      <w:r>
        <w:rPr>
          <w:rFonts w:hint="eastAsia"/>
          <w:highlight w:val="none"/>
        </w:rPr>
        <w:t>，但不得背离本协议第八条所约定的合同文件的实质性内容</w:t>
      </w:r>
      <w:r>
        <w:rPr>
          <w:highlight w:val="none"/>
        </w:rPr>
        <w:t>。补充协议是合同</w:t>
      </w:r>
      <w:r>
        <w:rPr>
          <w:rFonts w:hint="eastAsia"/>
          <w:highlight w:val="none"/>
        </w:rPr>
        <w:t>文件</w:t>
      </w:r>
      <w:r>
        <w:rPr>
          <w:highlight w:val="none"/>
        </w:rPr>
        <w:t>的组成部分。</w:t>
      </w:r>
      <w:r>
        <w:rPr>
          <w:highlight w:val="none"/>
        </w:rPr>
        <w:tab/>
      </w:r>
      <w:r>
        <w:rPr>
          <w:highlight w:val="none"/>
        </w:rPr>
        <w:fldChar w:fldCharType="begin"/>
      </w:r>
      <w:r>
        <w:rPr>
          <w:highlight w:val="none"/>
        </w:rPr>
        <w:instrText xml:space="preserve"> PAGEREF _Toc23607 </w:instrText>
      </w:r>
      <w:r>
        <w:rPr>
          <w:highlight w:val="none"/>
        </w:rPr>
        <w:fldChar w:fldCharType="separate"/>
      </w:r>
      <w:r>
        <w:rPr>
          <w:highlight w:val="none"/>
        </w:rPr>
        <w:t>175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_Toc3936 </w:instrText>
      </w:r>
      <w:r>
        <w:rPr>
          <w:highlight w:val="none"/>
        </w:rPr>
        <w:fldChar w:fldCharType="separate"/>
      </w:r>
      <w:r>
        <w:rPr>
          <w:rFonts w:hint="eastAsia"/>
          <w:highlight w:val="none"/>
        </w:rPr>
        <w:t>附件二：承包人提供的材料和工程设备一览表</w:t>
      </w:r>
      <w:r>
        <w:rPr>
          <w:highlight w:val="none"/>
        </w:rPr>
        <w:tab/>
      </w:r>
      <w:r>
        <w:rPr>
          <w:highlight w:val="none"/>
        </w:rPr>
        <w:fldChar w:fldCharType="begin"/>
      </w:r>
      <w:r>
        <w:rPr>
          <w:highlight w:val="none"/>
        </w:rPr>
        <w:instrText xml:space="preserve"> PAGEREF _Toc3936 </w:instrText>
      </w:r>
      <w:r>
        <w:rPr>
          <w:highlight w:val="none"/>
        </w:rPr>
        <w:fldChar w:fldCharType="separate"/>
      </w:r>
      <w:r>
        <w:rPr>
          <w:highlight w:val="none"/>
        </w:rPr>
        <w:t>177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_Toc25965 </w:instrText>
      </w:r>
      <w:r>
        <w:rPr>
          <w:highlight w:val="none"/>
        </w:rPr>
        <w:fldChar w:fldCharType="separate"/>
      </w:r>
      <w:r>
        <w:rPr>
          <w:rFonts w:hint="eastAsia"/>
          <w:highlight w:val="none"/>
        </w:rPr>
        <w:t>附件三：发包人提供的材料和工程设备一览表</w:t>
      </w:r>
      <w:r>
        <w:rPr>
          <w:highlight w:val="none"/>
        </w:rPr>
        <w:tab/>
      </w:r>
      <w:r>
        <w:rPr>
          <w:highlight w:val="none"/>
        </w:rPr>
        <w:fldChar w:fldCharType="begin"/>
      </w:r>
      <w:r>
        <w:rPr>
          <w:highlight w:val="none"/>
        </w:rPr>
        <w:instrText xml:space="preserve"> PAGEREF _Toc25965 </w:instrText>
      </w:r>
      <w:r>
        <w:rPr>
          <w:highlight w:val="none"/>
        </w:rPr>
        <w:fldChar w:fldCharType="separate"/>
      </w:r>
      <w:r>
        <w:rPr>
          <w:highlight w:val="none"/>
        </w:rPr>
        <w:t>179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_Toc15515 </w:instrText>
      </w:r>
      <w:r>
        <w:rPr>
          <w:highlight w:val="none"/>
        </w:rPr>
        <w:fldChar w:fldCharType="separate"/>
      </w:r>
      <w:r>
        <w:rPr>
          <w:rFonts w:hint="eastAsia"/>
          <w:highlight w:val="none"/>
        </w:rPr>
        <w:t>附件四：预付款担保格式</w:t>
      </w:r>
      <w:r>
        <w:rPr>
          <w:highlight w:val="none"/>
        </w:rPr>
        <w:tab/>
      </w:r>
      <w:r>
        <w:rPr>
          <w:highlight w:val="none"/>
        </w:rPr>
        <w:fldChar w:fldCharType="begin"/>
      </w:r>
      <w:r>
        <w:rPr>
          <w:highlight w:val="none"/>
        </w:rPr>
        <w:instrText xml:space="preserve"> PAGEREF _Toc15515 </w:instrText>
      </w:r>
      <w:r>
        <w:rPr>
          <w:highlight w:val="none"/>
        </w:rPr>
        <w:fldChar w:fldCharType="separate"/>
      </w:r>
      <w:r>
        <w:rPr>
          <w:highlight w:val="none"/>
        </w:rPr>
        <w:t>181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_Toc29508 </w:instrText>
      </w:r>
      <w:r>
        <w:rPr>
          <w:highlight w:val="none"/>
        </w:rPr>
        <w:fldChar w:fldCharType="separate"/>
      </w:r>
      <w:r>
        <w:rPr>
          <w:rFonts w:hint="eastAsia"/>
          <w:highlight w:val="none"/>
        </w:rPr>
        <w:t>附件五：履约担保格式（本附件不适用于本合同）</w:t>
      </w:r>
      <w:r>
        <w:rPr>
          <w:highlight w:val="none"/>
        </w:rPr>
        <w:tab/>
      </w:r>
      <w:r>
        <w:rPr>
          <w:highlight w:val="none"/>
        </w:rPr>
        <w:fldChar w:fldCharType="begin"/>
      </w:r>
      <w:r>
        <w:rPr>
          <w:highlight w:val="none"/>
        </w:rPr>
        <w:instrText xml:space="preserve"> PAGEREF _Toc29508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_Toc542 </w:instrText>
      </w:r>
      <w:r>
        <w:rPr>
          <w:highlight w:val="none"/>
        </w:rPr>
        <w:fldChar w:fldCharType="separate"/>
      </w:r>
      <w:r>
        <w:rPr>
          <w:rFonts w:hint="eastAsia" w:ascii="黑体" w:eastAsia="黑体"/>
          <w:highlight w:val="none"/>
        </w:rPr>
        <w:t>一、保证的范围及保证金额</w:t>
      </w:r>
      <w:r>
        <w:rPr>
          <w:highlight w:val="none"/>
        </w:rPr>
        <w:tab/>
      </w:r>
      <w:r>
        <w:rPr>
          <w:highlight w:val="none"/>
        </w:rPr>
        <w:fldChar w:fldCharType="begin"/>
      </w:r>
      <w:r>
        <w:rPr>
          <w:highlight w:val="none"/>
        </w:rPr>
        <w:instrText xml:space="preserve"> PAGEREF _Toc542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_Toc18108 </w:instrText>
      </w:r>
      <w:r>
        <w:rPr>
          <w:highlight w:val="none"/>
        </w:rPr>
        <w:fldChar w:fldCharType="separate"/>
      </w:r>
      <w:r>
        <w:rPr>
          <w:rFonts w:hint="eastAsia" w:ascii="黑体" w:eastAsia="黑体"/>
          <w:highlight w:val="none"/>
        </w:rPr>
        <w:t>二、保证的方式及保证期间</w:t>
      </w:r>
      <w:r>
        <w:rPr>
          <w:highlight w:val="none"/>
        </w:rPr>
        <w:tab/>
      </w:r>
      <w:r>
        <w:rPr>
          <w:highlight w:val="none"/>
        </w:rPr>
        <w:fldChar w:fldCharType="begin"/>
      </w:r>
      <w:r>
        <w:rPr>
          <w:highlight w:val="none"/>
        </w:rPr>
        <w:instrText xml:space="preserve"> PAGEREF _Toc18108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_Toc18510 </w:instrText>
      </w:r>
      <w:r>
        <w:rPr>
          <w:highlight w:val="none"/>
        </w:rPr>
        <w:fldChar w:fldCharType="separate"/>
      </w:r>
      <w:r>
        <w:rPr>
          <w:rFonts w:hint="eastAsia" w:ascii="黑体" w:eastAsia="黑体"/>
          <w:highlight w:val="none"/>
        </w:rPr>
        <w:t>三、承担保证责任的形式</w:t>
      </w:r>
      <w:r>
        <w:rPr>
          <w:highlight w:val="none"/>
        </w:rPr>
        <w:tab/>
      </w:r>
      <w:r>
        <w:rPr>
          <w:highlight w:val="none"/>
        </w:rPr>
        <w:fldChar w:fldCharType="begin"/>
      </w:r>
      <w:r>
        <w:rPr>
          <w:highlight w:val="none"/>
        </w:rPr>
        <w:instrText xml:space="preserve"> PAGEREF _Toc18510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_Toc11396 </w:instrText>
      </w:r>
      <w:r>
        <w:rPr>
          <w:highlight w:val="none"/>
        </w:rPr>
        <w:fldChar w:fldCharType="separate"/>
      </w:r>
      <w:r>
        <w:rPr>
          <w:rFonts w:hint="eastAsia" w:ascii="黑体" w:eastAsia="黑体"/>
          <w:highlight w:val="none"/>
        </w:rPr>
        <w:t>四、代偿的安排</w:t>
      </w:r>
      <w:r>
        <w:rPr>
          <w:highlight w:val="none"/>
        </w:rPr>
        <w:tab/>
      </w:r>
      <w:r>
        <w:rPr>
          <w:highlight w:val="none"/>
        </w:rPr>
        <w:fldChar w:fldCharType="begin"/>
      </w:r>
      <w:r>
        <w:rPr>
          <w:highlight w:val="none"/>
        </w:rPr>
        <w:instrText xml:space="preserve"> PAGEREF _Toc11396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_Toc32656 </w:instrText>
      </w:r>
      <w:r>
        <w:rPr>
          <w:highlight w:val="none"/>
        </w:rPr>
        <w:fldChar w:fldCharType="separate"/>
      </w:r>
      <w:r>
        <w:rPr>
          <w:rFonts w:hint="eastAsia" w:ascii="黑体" w:eastAsia="黑体"/>
          <w:highlight w:val="none"/>
        </w:rPr>
        <w:t>五、保证责任的解除</w:t>
      </w:r>
      <w:r>
        <w:rPr>
          <w:highlight w:val="none"/>
        </w:rPr>
        <w:tab/>
      </w:r>
      <w:r>
        <w:rPr>
          <w:highlight w:val="none"/>
        </w:rPr>
        <w:fldChar w:fldCharType="begin"/>
      </w:r>
      <w:r>
        <w:rPr>
          <w:highlight w:val="none"/>
        </w:rPr>
        <w:instrText xml:space="preserve"> PAGEREF _Toc32656 </w:instrText>
      </w:r>
      <w:r>
        <w:rPr>
          <w:highlight w:val="none"/>
        </w:rPr>
        <w:fldChar w:fldCharType="separate"/>
      </w:r>
      <w:r>
        <w:rPr>
          <w:highlight w:val="none"/>
        </w:rPr>
        <w:t>182</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_Toc6165 </w:instrText>
      </w:r>
      <w:r>
        <w:rPr>
          <w:highlight w:val="none"/>
        </w:rPr>
        <w:fldChar w:fldCharType="separate"/>
      </w:r>
      <w:r>
        <w:rPr>
          <w:rFonts w:hint="eastAsia" w:ascii="黑体" w:eastAsia="黑体"/>
          <w:highlight w:val="none"/>
        </w:rPr>
        <w:t>六、免责条款</w:t>
      </w:r>
      <w:r>
        <w:rPr>
          <w:highlight w:val="none"/>
        </w:rPr>
        <w:tab/>
      </w:r>
      <w:r>
        <w:rPr>
          <w:highlight w:val="none"/>
        </w:rPr>
        <w:fldChar w:fldCharType="begin"/>
      </w:r>
      <w:r>
        <w:rPr>
          <w:highlight w:val="none"/>
        </w:rPr>
        <w:instrText xml:space="preserve"> PAGEREF _Toc6165 </w:instrText>
      </w:r>
      <w:r>
        <w:rPr>
          <w:highlight w:val="none"/>
        </w:rPr>
        <w:fldChar w:fldCharType="separate"/>
      </w:r>
      <w:r>
        <w:rPr>
          <w:highlight w:val="none"/>
        </w:rPr>
        <w:t>183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_Toc10102 </w:instrText>
      </w:r>
      <w:r>
        <w:rPr>
          <w:highlight w:val="none"/>
        </w:rPr>
        <w:fldChar w:fldCharType="separate"/>
      </w:r>
      <w:r>
        <w:rPr>
          <w:rFonts w:hint="eastAsia" w:ascii="黑体" w:eastAsia="黑体"/>
          <w:highlight w:val="none"/>
        </w:rPr>
        <w:t>七、争议的解决</w:t>
      </w:r>
      <w:r>
        <w:rPr>
          <w:highlight w:val="none"/>
        </w:rPr>
        <w:tab/>
      </w:r>
      <w:r>
        <w:rPr>
          <w:highlight w:val="none"/>
        </w:rPr>
        <w:fldChar w:fldCharType="begin"/>
      </w:r>
      <w:r>
        <w:rPr>
          <w:highlight w:val="none"/>
        </w:rPr>
        <w:instrText xml:space="preserve"> PAGEREF _Toc10102 </w:instrText>
      </w:r>
      <w:r>
        <w:rPr>
          <w:highlight w:val="none"/>
        </w:rPr>
        <w:fldChar w:fldCharType="separate"/>
      </w:r>
      <w:r>
        <w:rPr>
          <w:highlight w:val="none"/>
        </w:rPr>
        <w:t>183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_Toc1204 </w:instrText>
      </w:r>
      <w:r>
        <w:rPr>
          <w:highlight w:val="none"/>
        </w:rPr>
        <w:fldChar w:fldCharType="separate"/>
      </w:r>
      <w:r>
        <w:rPr>
          <w:rFonts w:hint="eastAsia" w:ascii="黑体" w:eastAsia="黑体"/>
          <w:highlight w:val="none"/>
        </w:rPr>
        <w:t>八、保函的生效</w:t>
      </w:r>
      <w:r>
        <w:rPr>
          <w:highlight w:val="none"/>
        </w:rPr>
        <w:tab/>
      </w:r>
      <w:r>
        <w:rPr>
          <w:highlight w:val="none"/>
        </w:rPr>
        <w:fldChar w:fldCharType="begin"/>
      </w:r>
      <w:r>
        <w:rPr>
          <w:highlight w:val="none"/>
        </w:rPr>
        <w:instrText xml:space="preserve"> PAGEREF _Toc1204 </w:instrText>
      </w:r>
      <w:r>
        <w:rPr>
          <w:highlight w:val="none"/>
        </w:rPr>
        <w:fldChar w:fldCharType="separate"/>
      </w:r>
      <w:r>
        <w:rPr>
          <w:highlight w:val="none"/>
        </w:rPr>
        <w:t>183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_Toc18504 </w:instrText>
      </w:r>
      <w:r>
        <w:rPr>
          <w:highlight w:val="none"/>
        </w:rPr>
        <w:fldChar w:fldCharType="separate"/>
      </w:r>
      <w:r>
        <w:rPr>
          <w:rFonts w:hint="eastAsia"/>
          <w:highlight w:val="none"/>
        </w:rPr>
        <w:t>附件六：支付担保格式（本附件不适用于本合同）</w:t>
      </w:r>
      <w:r>
        <w:rPr>
          <w:highlight w:val="none"/>
        </w:rPr>
        <w:tab/>
      </w:r>
      <w:r>
        <w:rPr>
          <w:highlight w:val="none"/>
        </w:rPr>
        <w:fldChar w:fldCharType="begin"/>
      </w:r>
      <w:r>
        <w:rPr>
          <w:highlight w:val="none"/>
        </w:rPr>
        <w:instrText xml:space="preserve"> PAGEREF _Toc18504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_Toc13139 </w:instrText>
      </w:r>
      <w:r>
        <w:rPr>
          <w:highlight w:val="none"/>
        </w:rPr>
        <w:fldChar w:fldCharType="separate"/>
      </w:r>
      <w:r>
        <w:rPr>
          <w:rFonts w:hint="eastAsia" w:ascii="黑体" w:eastAsia="黑体"/>
          <w:highlight w:val="none"/>
        </w:rPr>
        <w:t>一、保证的范围及保证金额</w:t>
      </w:r>
      <w:r>
        <w:rPr>
          <w:highlight w:val="none"/>
        </w:rPr>
        <w:tab/>
      </w:r>
      <w:r>
        <w:rPr>
          <w:highlight w:val="none"/>
        </w:rPr>
        <w:fldChar w:fldCharType="begin"/>
      </w:r>
      <w:r>
        <w:rPr>
          <w:highlight w:val="none"/>
        </w:rPr>
        <w:instrText xml:space="preserve"> PAGEREF _Toc13139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_Toc14800 </w:instrText>
      </w:r>
      <w:r>
        <w:rPr>
          <w:highlight w:val="none"/>
        </w:rPr>
        <w:fldChar w:fldCharType="separate"/>
      </w:r>
      <w:r>
        <w:rPr>
          <w:rFonts w:hint="eastAsia" w:ascii="黑体" w:eastAsia="黑体"/>
          <w:highlight w:val="none"/>
        </w:rPr>
        <w:t>二、保证的方式及保证期间</w:t>
      </w:r>
      <w:r>
        <w:rPr>
          <w:highlight w:val="none"/>
        </w:rPr>
        <w:tab/>
      </w:r>
      <w:r>
        <w:rPr>
          <w:highlight w:val="none"/>
        </w:rPr>
        <w:fldChar w:fldCharType="begin"/>
      </w:r>
      <w:r>
        <w:rPr>
          <w:highlight w:val="none"/>
        </w:rPr>
        <w:instrText xml:space="preserve"> PAGEREF _Toc14800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_Toc21674 </w:instrText>
      </w:r>
      <w:r>
        <w:rPr>
          <w:highlight w:val="none"/>
        </w:rPr>
        <w:fldChar w:fldCharType="separate"/>
      </w:r>
      <w:r>
        <w:rPr>
          <w:rFonts w:hint="eastAsia" w:ascii="黑体" w:eastAsia="黑体"/>
          <w:highlight w:val="none"/>
        </w:rPr>
        <w:t>三、承担保证责任的形式</w:t>
      </w:r>
      <w:r>
        <w:rPr>
          <w:highlight w:val="none"/>
        </w:rPr>
        <w:tab/>
      </w:r>
      <w:r>
        <w:rPr>
          <w:highlight w:val="none"/>
        </w:rPr>
        <w:fldChar w:fldCharType="begin"/>
      </w:r>
      <w:r>
        <w:rPr>
          <w:highlight w:val="none"/>
        </w:rPr>
        <w:instrText xml:space="preserve"> PAGEREF _Toc21674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_Toc10649 </w:instrText>
      </w:r>
      <w:r>
        <w:rPr>
          <w:highlight w:val="none"/>
        </w:rPr>
        <w:fldChar w:fldCharType="separate"/>
      </w:r>
      <w:r>
        <w:rPr>
          <w:rFonts w:hint="eastAsia" w:ascii="黑体" w:eastAsia="黑体"/>
          <w:highlight w:val="none"/>
        </w:rPr>
        <w:t>四、代偿的安排</w:t>
      </w:r>
      <w:r>
        <w:rPr>
          <w:highlight w:val="none"/>
        </w:rPr>
        <w:tab/>
      </w:r>
      <w:r>
        <w:rPr>
          <w:highlight w:val="none"/>
        </w:rPr>
        <w:fldChar w:fldCharType="begin"/>
      </w:r>
      <w:r>
        <w:rPr>
          <w:highlight w:val="none"/>
        </w:rPr>
        <w:instrText xml:space="preserve"> PAGEREF _Toc10649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_Toc26887 </w:instrText>
      </w:r>
      <w:r>
        <w:rPr>
          <w:highlight w:val="none"/>
        </w:rPr>
        <w:fldChar w:fldCharType="separate"/>
      </w:r>
      <w:r>
        <w:rPr>
          <w:rFonts w:hint="eastAsia" w:ascii="黑体" w:eastAsia="黑体"/>
          <w:highlight w:val="none"/>
        </w:rPr>
        <w:t>五、保证责任的解除</w:t>
      </w:r>
      <w:r>
        <w:rPr>
          <w:highlight w:val="none"/>
        </w:rPr>
        <w:tab/>
      </w:r>
      <w:r>
        <w:rPr>
          <w:highlight w:val="none"/>
        </w:rPr>
        <w:fldChar w:fldCharType="begin"/>
      </w:r>
      <w:r>
        <w:rPr>
          <w:highlight w:val="none"/>
        </w:rPr>
        <w:instrText xml:space="preserve"> PAGEREF _Toc26887 </w:instrText>
      </w:r>
      <w:r>
        <w:rPr>
          <w:highlight w:val="none"/>
        </w:rPr>
        <w:fldChar w:fldCharType="separate"/>
      </w:r>
      <w:r>
        <w:rPr>
          <w:highlight w:val="none"/>
        </w:rPr>
        <w:t>184</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_Toc9209 </w:instrText>
      </w:r>
      <w:r>
        <w:rPr>
          <w:highlight w:val="none"/>
        </w:rPr>
        <w:fldChar w:fldCharType="separate"/>
      </w:r>
      <w:r>
        <w:rPr>
          <w:rFonts w:hint="eastAsia" w:ascii="黑体" w:eastAsia="黑体"/>
          <w:highlight w:val="none"/>
        </w:rPr>
        <w:t>六、免责条款</w:t>
      </w:r>
      <w:r>
        <w:rPr>
          <w:highlight w:val="none"/>
        </w:rPr>
        <w:tab/>
      </w:r>
      <w:r>
        <w:rPr>
          <w:highlight w:val="none"/>
        </w:rPr>
        <w:fldChar w:fldCharType="begin"/>
      </w:r>
      <w:r>
        <w:rPr>
          <w:highlight w:val="none"/>
        </w:rPr>
        <w:instrText xml:space="preserve"> PAGEREF _Toc9209 </w:instrText>
      </w:r>
      <w:r>
        <w:rPr>
          <w:highlight w:val="none"/>
        </w:rPr>
        <w:fldChar w:fldCharType="separate"/>
      </w:r>
      <w:r>
        <w:rPr>
          <w:highlight w:val="none"/>
        </w:rPr>
        <w:t>185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_Toc11168 </w:instrText>
      </w:r>
      <w:r>
        <w:rPr>
          <w:highlight w:val="none"/>
        </w:rPr>
        <w:fldChar w:fldCharType="separate"/>
      </w:r>
      <w:r>
        <w:rPr>
          <w:rFonts w:hint="eastAsia" w:ascii="黑体" w:eastAsia="黑体"/>
          <w:highlight w:val="none"/>
        </w:rPr>
        <w:t>七、争议的解决</w:t>
      </w:r>
      <w:r>
        <w:rPr>
          <w:highlight w:val="none"/>
        </w:rPr>
        <w:tab/>
      </w:r>
      <w:r>
        <w:rPr>
          <w:highlight w:val="none"/>
        </w:rPr>
        <w:fldChar w:fldCharType="begin"/>
      </w:r>
      <w:r>
        <w:rPr>
          <w:highlight w:val="none"/>
        </w:rPr>
        <w:instrText xml:space="preserve"> PAGEREF _Toc11168 </w:instrText>
      </w:r>
      <w:r>
        <w:rPr>
          <w:highlight w:val="none"/>
        </w:rPr>
        <w:fldChar w:fldCharType="separate"/>
      </w:r>
      <w:r>
        <w:rPr>
          <w:highlight w:val="none"/>
        </w:rPr>
        <w:t>185</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_Toc16034 </w:instrText>
      </w:r>
      <w:r>
        <w:rPr>
          <w:highlight w:val="none"/>
        </w:rPr>
        <w:fldChar w:fldCharType="separate"/>
      </w:r>
      <w:r>
        <w:rPr>
          <w:rFonts w:hint="eastAsia" w:ascii="黑体" w:eastAsia="黑体"/>
          <w:highlight w:val="none"/>
        </w:rPr>
        <w:t>八、保函的生效</w:t>
      </w:r>
      <w:r>
        <w:rPr>
          <w:highlight w:val="none"/>
        </w:rPr>
        <w:tab/>
      </w:r>
      <w:r>
        <w:rPr>
          <w:highlight w:val="none"/>
        </w:rPr>
        <w:fldChar w:fldCharType="begin"/>
      </w:r>
      <w:r>
        <w:rPr>
          <w:highlight w:val="none"/>
        </w:rPr>
        <w:instrText xml:space="preserve"> PAGEREF _Toc16034 </w:instrText>
      </w:r>
      <w:r>
        <w:rPr>
          <w:highlight w:val="none"/>
        </w:rPr>
        <w:fldChar w:fldCharType="separate"/>
      </w:r>
      <w:r>
        <w:rPr>
          <w:highlight w:val="none"/>
        </w:rPr>
        <w:t>185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_Toc19821 </w:instrText>
      </w:r>
      <w:r>
        <w:rPr>
          <w:highlight w:val="none"/>
        </w:rPr>
        <w:fldChar w:fldCharType="separate"/>
      </w:r>
      <w:r>
        <w:rPr>
          <w:rFonts w:hint="eastAsia"/>
          <w:highlight w:val="none"/>
        </w:rPr>
        <w:t>附件七：质量保修书格式</w:t>
      </w:r>
      <w:r>
        <w:rPr>
          <w:highlight w:val="none"/>
        </w:rPr>
        <w:tab/>
      </w:r>
      <w:r>
        <w:rPr>
          <w:highlight w:val="none"/>
        </w:rPr>
        <w:fldChar w:fldCharType="begin"/>
      </w:r>
      <w:r>
        <w:rPr>
          <w:highlight w:val="none"/>
        </w:rPr>
        <w:instrText xml:space="preserve"> PAGEREF _Toc19821 </w:instrText>
      </w:r>
      <w:r>
        <w:rPr>
          <w:highlight w:val="none"/>
        </w:rPr>
        <w:fldChar w:fldCharType="separate"/>
      </w:r>
      <w:r>
        <w:rPr>
          <w:highlight w:val="none"/>
        </w:rPr>
        <w:t>186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_Toc14478 </w:instrText>
      </w:r>
      <w:r>
        <w:rPr>
          <w:highlight w:val="none"/>
        </w:rPr>
        <w:fldChar w:fldCharType="separate"/>
      </w:r>
      <w:r>
        <w:rPr>
          <w:rFonts w:hint="eastAsia" w:ascii="黑体" w:eastAsia="黑体"/>
          <w:highlight w:val="none"/>
        </w:rPr>
        <w:t>一、工程保修范围和内容</w:t>
      </w:r>
      <w:r>
        <w:rPr>
          <w:highlight w:val="none"/>
        </w:rPr>
        <w:tab/>
      </w:r>
      <w:r>
        <w:rPr>
          <w:highlight w:val="none"/>
        </w:rPr>
        <w:fldChar w:fldCharType="begin"/>
      </w:r>
      <w:r>
        <w:rPr>
          <w:highlight w:val="none"/>
        </w:rPr>
        <w:instrText xml:space="preserve"> PAGEREF _Toc14478 </w:instrText>
      </w:r>
      <w:r>
        <w:rPr>
          <w:highlight w:val="none"/>
        </w:rPr>
        <w:fldChar w:fldCharType="separate"/>
      </w:r>
      <w:r>
        <w:rPr>
          <w:highlight w:val="none"/>
        </w:rPr>
        <w:t>186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_Toc9168 </w:instrText>
      </w:r>
      <w:r>
        <w:rPr>
          <w:highlight w:val="none"/>
        </w:rPr>
        <w:fldChar w:fldCharType="separate"/>
      </w:r>
      <w:r>
        <w:rPr>
          <w:rFonts w:hint="eastAsia" w:ascii="黑体" w:eastAsia="黑体"/>
          <w:highlight w:val="none"/>
        </w:rPr>
        <w:t>二、保修期</w:t>
      </w:r>
      <w:r>
        <w:rPr>
          <w:highlight w:val="none"/>
        </w:rPr>
        <w:tab/>
      </w:r>
      <w:r>
        <w:rPr>
          <w:highlight w:val="none"/>
        </w:rPr>
        <w:fldChar w:fldCharType="begin"/>
      </w:r>
      <w:r>
        <w:rPr>
          <w:highlight w:val="none"/>
        </w:rPr>
        <w:instrText xml:space="preserve"> PAGEREF _Toc9168 </w:instrText>
      </w:r>
      <w:r>
        <w:rPr>
          <w:highlight w:val="none"/>
        </w:rPr>
        <w:fldChar w:fldCharType="separate"/>
      </w:r>
      <w:r>
        <w:rPr>
          <w:highlight w:val="none"/>
        </w:rPr>
        <w:t>186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_Toc17031 </w:instrText>
      </w:r>
      <w:r>
        <w:rPr>
          <w:highlight w:val="none"/>
        </w:rPr>
        <w:fldChar w:fldCharType="separate"/>
      </w:r>
      <w:r>
        <w:rPr>
          <w:rFonts w:hint="eastAsia" w:ascii="黑体" w:eastAsia="黑体"/>
          <w:highlight w:val="none"/>
        </w:rPr>
        <w:t>三、保修责任</w:t>
      </w:r>
      <w:r>
        <w:rPr>
          <w:highlight w:val="none"/>
        </w:rPr>
        <w:tab/>
      </w:r>
      <w:r>
        <w:rPr>
          <w:highlight w:val="none"/>
        </w:rPr>
        <w:fldChar w:fldCharType="begin"/>
      </w:r>
      <w:r>
        <w:rPr>
          <w:highlight w:val="none"/>
        </w:rPr>
        <w:instrText xml:space="preserve"> PAGEREF _Toc17031 </w:instrText>
      </w:r>
      <w:r>
        <w:rPr>
          <w:highlight w:val="none"/>
        </w:rPr>
        <w:fldChar w:fldCharType="separate"/>
      </w:r>
      <w:r>
        <w:rPr>
          <w:highlight w:val="none"/>
        </w:rPr>
        <w:t>186</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_Toc20894 </w:instrText>
      </w:r>
      <w:r>
        <w:rPr>
          <w:highlight w:val="none"/>
        </w:rPr>
        <w:fldChar w:fldCharType="separate"/>
      </w:r>
      <w:r>
        <w:rPr>
          <w:rFonts w:hint="eastAsia" w:ascii="黑体" w:eastAsia="黑体"/>
          <w:highlight w:val="none"/>
        </w:rPr>
        <w:t>四、保修费用</w:t>
      </w:r>
      <w:r>
        <w:rPr>
          <w:highlight w:val="none"/>
        </w:rPr>
        <w:tab/>
      </w:r>
      <w:r>
        <w:rPr>
          <w:highlight w:val="none"/>
        </w:rPr>
        <w:fldChar w:fldCharType="begin"/>
      </w:r>
      <w:r>
        <w:rPr>
          <w:highlight w:val="none"/>
        </w:rPr>
        <w:instrText xml:space="preserve"> PAGEREF _Toc20894 </w:instrText>
      </w:r>
      <w:r>
        <w:rPr>
          <w:highlight w:val="none"/>
        </w:rPr>
        <w:fldChar w:fldCharType="separate"/>
      </w:r>
      <w:r>
        <w:rPr>
          <w:highlight w:val="none"/>
        </w:rPr>
        <w:t>187</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_Toc31890 </w:instrText>
      </w:r>
      <w:r>
        <w:rPr>
          <w:highlight w:val="none"/>
        </w:rPr>
        <w:fldChar w:fldCharType="separate"/>
      </w:r>
      <w:r>
        <w:rPr>
          <w:rFonts w:hint="eastAsia" w:ascii="黑体" w:eastAsia="黑体"/>
          <w:highlight w:val="none"/>
        </w:rPr>
        <w:t>五、其 他</w:t>
      </w:r>
      <w:r>
        <w:rPr>
          <w:highlight w:val="none"/>
        </w:rPr>
        <w:tab/>
      </w:r>
      <w:r>
        <w:rPr>
          <w:highlight w:val="none"/>
        </w:rPr>
        <w:fldChar w:fldCharType="begin"/>
      </w:r>
      <w:r>
        <w:rPr>
          <w:highlight w:val="none"/>
        </w:rPr>
        <w:instrText xml:space="preserve"> PAGEREF _Toc31890 </w:instrText>
      </w:r>
      <w:r>
        <w:rPr>
          <w:highlight w:val="none"/>
        </w:rPr>
        <w:fldChar w:fldCharType="separate"/>
      </w:r>
      <w:r>
        <w:rPr>
          <w:highlight w:val="none"/>
        </w:rPr>
        <w:t>187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_Toc25921 </w:instrText>
      </w:r>
      <w:r>
        <w:rPr>
          <w:highlight w:val="none"/>
        </w:rPr>
        <w:fldChar w:fldCharType="separate"/>
      </w:r>
      <w:r>
        <w:rPr>
          <w:rFonts w:hint="eastAsia"/>
          <w:highlight w:val="none"/>
        </w:rPr>
        <w:t>附件八：廉政责任书格式</w:t>
      </w:r>
      <w:r>
        <w:rPr>
          <w:highlight w:val="none"/>
        </w:rPr>
        <w:tab/>
      </w:r>
      <w:r>
        <w:rPr>
          <w:highlight w:val="none"/>
        </w:rPr>
        <w:fldChar w:fldCharType="begin"/>
      </w:r>
      <w:r>
        <w:rPr>
          <w:highlight w:val="none"/>
        </w:rPr>
        <w:instrText xml:space="preserve"> PAGEREF _Toc25921 </w:instrText>
      </w:r>
      <w:r>
        <w:rPr>
          <w:highlight w:val="none"/>
        </w:rPr>
        <w:fldChar w:fldCharType="separate"/>
      </w:r>
      <w:r>
        <w:rPr>
          <w:highlight w:val="none"/>
        </w:rPr>
        <w:t>188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_Toc22530 </w:instrText>
      </w:r>
      <w:r>
        <w:rPr>
          <w:highlight w:val="none"/>
        </w:rPr>
        <w:fldChar w:fldCharType="separate"/>
      </w:r>
      <w:r>
        <w:rPr>
          <w:rFonts w:hint="eastAsia" w:ascii="黑体" w:eastAsia="黑体"/>
          <w:highlight w:val="none"/>
        </w:rPr>
        <w:t>一、双方的责任</w:t>
      </w:r>
      <w:r>
        <w:rPr>
          <w:highlight w:val="none"/>
        </w:rPr>
        <w:tab/>
      </w:r>
      <w:r>
        <w:rPr>
          <w:highlight w:val="none"/>
        </w:rPr>
        <w:fldChar w:fldCharType="begin"/>
      </w:r>
      <w:r>
        <w:rPr>
          <w:highlight w:val="none"/>
        </w:rPr>
        <w:instrText xml:space="preserve"> PAGEREF _Toc22530 </w:instrText>
      </w:r>
      <w:r>
        <w:rPr>
          <w:highlight w:val="none"/>
        </w:rPr>
        <w:fldChar w:fldCharType="separate"/>
      </w:r>
      <w:r>
        <w:rPr>
          <w:highlight w:val="none"/>
        </w:rPr>
        <w:t>188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_Toc32006 </w:instrText>
      </w:r>
      <w:r>
        <w:rPr>
          <w:highlight w:val="none"/>
        </w:rPr>
        <w:fldChar w:fldCharType="separate"/>
      </w:r>
      <w:r>
        <w:rPr>
          <w:rFonts w:hint="eastAsia" w:ascii="黑体" w:eastAsia="黑体"/>
          <w:highlight w:val="none"/>
        </w:rPr>
        <w:t>二、发包人责任</w:t>
      </w:r>
      <w:r>
        <w:rPr>
          <w:highlight w:val="none"/>
        </w:rPr>
        <w:tab/>
      </w:r>
      <w:r>
        <w:rPr>
          <w:highlight w:val="none"/>
        </w:rPr>
        <w:fldChar w:fldCharType="begin"/>
      </w:r>
      <w:r>
        <w:rPr>
          <w:highlight w:val="none"/>
        </w:rPr>
        <w:instrText xml:space="preserve"> PAGEREF _Toc32006 </w:instrText>
      </w:r>
      <w:r>
        <w:rPr>
          <w:highlight w:val="none"/>
        </w:rPr>
        <w:fldChar w:fldCharType="separate"/>
      </w:r>
      <w:r>
        <w:rPr>
          <w:highlight w:val="none"/>
        </w:rPr>
        <w:t>188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_Toc19216 </w:instrText>
      </w:r>
      <w:r>
        <w:rPr>
          <w:highlight w:val="none"/>
        </w:rPr>
        <w:fldChar w:fldCharType="separate"/>
      </w:r>
      <w:r>
        <w:rPr>
          <w:rFonts w:hint="eastAsia"/>
          <w:szCs w:val="28"/>
          <w:highlight w:val="none"/>
        </w:rPr>
        <w:t>2</w:t>
      </w:r>
      <w:r>
        <w:rPr>
          <w:szCs w:val="28"/>
          <w:highlight w:val="none"/>
        </w:rPr>
        <w:t>.</w:t>
      </w:r>
      <w:r>
        <w:rPr>
          <w:rFonts w:hint="eastAsia"/>
          <w:szCs w:val="28"/>
          <w:highlight w:val="none"/>
        </w:rPr>
        <w:t xml:space="preserve">2 </w:t>
      </w:r>
      <w:r>
        <w:rPr>
          <w:szCs w:val="28"/>
          <w:highlight w:val="none"/>
        </w:rPr>
        <w:t>不得在承包人和相关单位报销任何应由发包人或个人支付的费用。</w:t>
      </w:r>
      <w:r>
        <w:rPr>
          <w:highlight w:val="none"/>
        </w:rPr>
        <w:tab/>
      </w:r>
      <w:r>
        <w:rPr>
          <w:highlight w:val="none"/>
        </w:rPr>
        <w:fldChar w:fldCharType="begin"/>
      </w:r>
      <w:r>
        <w:rPr>
          <w:highlight w:val="none"/>
        </w:rPr>
        <w:instrText xml:space="preserve"> PAGEREF _Toc19216 </w:instrText>
      </w:r>
      <w:r>
        <w:rPr>
          <w:highlight w:val="none"/>
        </w:rPr>
        <w:fldChar w:fldCharType="separate"/>
      </w:r>
      <w:r>
        <w:rPr>
          <w:highlight w:val="none"/>
        </w:rPr>
        <w:t>188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_Toc19168 </w:instrText>
      </w:r>
      <w:r>
        <w:rPr>
          <w:highlight w:val="none"/>
        </w:rPr>
        <w:fldChar w:fldCharType="separate"/>
      </w:r>
      <w:r>
        <w:rPr>
          <w:rFonts w:hint="eastAsia" w:ascii="黑体" w:eastAsia="黑体"/>
          <w:highlight w:val="none"/>
        </w:rPr>
        <w:t>三、承包人责任</w:t>
      </w:r>
      <w:r>
        <w:rPr>
          <w:highlight w:val="none"/>
        </w:rPr>
        <w:tab/>
      </w:r>
      <w:r>
        <w:rPr>
          <w:highlight w:val="none"/>
        </w:rPr>
        <w:fldChar w:fldCharType="begin"/>
      </w:r>
      <w:r>
        <w:rPr>
          <w:highlight w:val="none"/>
        </w:rPr>
        <w:instrText xml:space="preserve"> PAGEREF _Toc19168 </w:instrText>
      </w:r>
      <w:r>
        <w:rPr>
          <w:highlight w:val="none"/>
        </w:rPr>
        <w:fldChar w:fldCharType="separate"/>
      </w:r>
      <w:r>
        <w:rPr>
          <w:highlight w:val="none"/>
        </w:rPr>
        <w:t>188</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_Toc27163 </w:instrText>
      </w:r>
      <w:r>
        <w:rPr>
          <w:highlight w:val="none"/>
        </w:rPr>
        <w:fldChar w:fldCharType="separate"/>
      </w:r>
      <w:r>
        <w:rPr>
          <w:rFonts w:hint="eastAsia" w:ascii="黑体" w:eastAsia="黑体"/>
          <w:highlight w:val="none"/>
        </w:rPr>
        <w:t>四、违约责任</w:t>
      </w:r>
      <w:r>
        <w:rPr>
          <w:highlight w:val="none"/>
        </w:rPr>
        <w:tab/>
      </w:r>
      <w:r>
        <w:rPr>
          <w:highlight w:val="none"/>
        </w:rPr>
        <w:fldChar w:fldCharType="begin"/>
      </w:r>
      <w:r>
        <w:rPr>
          <w:highlight w:val="none"/>
        </w:rPr>
        <w:instrText xml:space="preserve"> PAGEREF _Toc27163 </w:instrText>
      </w:r>
      <w:r>
        <w:rPr>
          <w:highlight w:val="none"/>
        </w:rPr>
        <w:fldChar w:fldCharType="separate"/>
      </w:r>
      <w:r>
        <w:rPr>
          <w:highlight w:val="none"/>
        </w:rPr>
        <w:t>189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_Toc23321 </w:instrText>
      </w:r>
      <w:r>
        <w:rPr>
          <w:highlight w:val="none"/>
        </w:rPr>
        <w:fldChar w:fldCharType="separate"/>
      </w:r>
      <w:r>
        <w:rPr>
          <w:rFonts w:hint="eastAsia" w:ascii="黑体" w:eastAsia="黑体"/>
          <w:highlight w:val="none"/>
        </w:rPr>
        <w:t>五、责任书有效期</w:t>
      </w:r>
      <w:r>
        <w:rPr>
          <w:highlight w:val="none"/>
        </w:rPr>
        <w:tab/>
      </w:r>
      <w:r>
        <w:rPr>
          <w:highlight w:val="none"/>
        </w:rPr>
        <w:fldChar w:fldCharType="begin"/>
      </w:r>
      <w:r>
        <w:rPr>
          <w:highlight w:val="none"/>
        </w:rPr>
        <w:instrText xml:space="preserve"> PAGEREF _Toc23321 </w:instrText>
      </w:r>
      <w:r>
        <w:rPr>
          <w:highlight w:val="none"/>
        </w:rPr>
        <w:fldChar w:fldCharType="separate"/>
      </w:r>
      <w:r>
        <w:rPr>
          <w:highlight w:val="none"/>
        </w:rPr>
        <w:t>189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_Toc23553 </w:instrText>
      </w:r>
      <w:r>
        <w:rPr>
          <w:highlight w:val="none"/>
        </w:rPr>
        <w:fldChar w:fldCharType="separate"/>
      </w:r>
      <w:r>
        <w:rPr>
          <w:rFonts w:hint="eastAsia" w:ascii="黑体" w:eastAsia="黑体"/>
          <w:highlight w:val="none"/>
        </w:rPr>
        <w:t>六、责任书份数</w:t>
      </w:r>
      <w:r>
        <w:rPr>
          <w:highlight w:val="none"/>
        </w:rPr>
        <w:tab/>
      </w:r>
      <w:r>
        <w:rPr>
          <w:highlight w:val="none"/>
        </w:rPr>
        <w:fldChar w:fldCharType="begin"/>
      </w:r>
      <w:r>
        <w:rPr>
          <w:highlight w:val="none"/>
        </w:rPr>
        <w:instrText xml:space="preserve"> PAGEREF _Toc23553 </w:instrText>
      </w:r>
      <w:r>
        <w:rPr>
          <w:highlight w:val="none"/>
        </w:rPr>
        <w:fldChar w:fldCharType="separate"/>
      </w:r>
      <w:r>
        <w:rPr>
          <w:highlight w:val="none"/>
        </w:rPr>
        <w:t>189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_Toc24018 </w:instrText>
      </w:r>
      <w:r>
        <w:rPr>
          <w:highlight w:val="none"/>
        </w:rPr>
        <w:fldChar w:fldCharType="separate"/>
      </w:r>
      <w:r>
        <w:rPr>
          <w:rFonts w:hint="eastAsia" w:ascii="黑体" w:hAnsi="黑体" w:eastAsia="黑体" w:cs="Times New Roman"/>
          <w:kern w:val="0"/>
          <w:szCs w:val="30"/>
          <w:highlight w:val="none"/>
        </w:rPr>
        <w:t>第五章  工程量清单</w:t>
      </w:r>
      <w:r>
        <w:rPr>
          <w:highlight w:val="none"/>
        </w:rPr>
        <w:tab/>
      </w:r>
      <w:r>
        <w:rPr>
          <w:highlight w:val="none"/>
        </w:rPr>
        <w:fldChar w:fldCharType="begin"/>
      </w:r>
      <w:r>
        <w:rPr>
          <w:highlight w:val="none"/>
        </w:rPr>
        <w:instrText xml:space="preserve"> PAGEREF _Toc24018 </w:instrText>
      </w:r>
      <w:r>
        <w:rPr>
          <w:highlight w:val="none"/>
        </w:rPr>
        <w:fldChar w:fldCharType="separate"/>
      </w:r>
      <w:r>
        <w:rPr>
          <w:highlight w:val="none"/>
        </w:rPr>
        <w:t>191</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_Toc2611 </w:instrText>
      </w:r>
      <w:r>
        <w:rPr>
          <w:highlight w:val="none"/>
        </w:rPr>
        <w:fldChar w:fldCharType="separate"/>
      </w:r>
      <w:r>
        <w:rPr>
          <w:rFonts w:hint="eastAsia" w:ascii="黑体" w:hAnsi="黑体" w:eastAsia="黑体" w:cs="Times New Roman"/>
          <w:kern w:val="0"/>
          <w:szCs w:val="30"/>
          <w:highlight w:val="none"/>
        </w:rPr>
        <w:t>第六章  图  纸</w:t>
      </w:r>
      <w:r>
        <w:rPr>
          <w:highlight w:val="none"/>
        </w:rPr>
        <w:tab/>
      </w:r>
      <w:r>
        <w:rPr>
          <w:highlight w:val="none"/>
        </w:rPr>
        <w:fldChar w:fldCharType="begin"/>
      </w:r>
      <w:r>
        <w:rPr>
          <w:highlight w:val="none"/>
        </w:rPr>
        <w:instrText xml:space="preserve"> PAGEREF _Toc2611 </w:instrText>
      </w:r>
      <w:r>
        <w:rPr>
          <w:highlight w:val="none"/>
        </w:rPr>
        <w:fldChar w:fldCharType="separate"/>
      </w:r>
      <w:r>
        <w:rPr>
          <w:highlight w:val="none"/>
        </w:rPr>
        <w:t>199</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_Toc28994 </w:instrText>
      </w:r>
      <w:r>
        <w:rPr>
          <w:highlight w:val="none"/>
        </w:rPr>
        <w:fldChar w:fldCharType="separate"/>
      </w:r>
      <w:r>
        <w:rPr>
          <w:rFonts w:hint="eastAsia" w:ascii="黑体" w:hAnsi="黑体" w:eastAsia="黑体" w:cs="Times New Roman"/>
          <w:kern w:val="0"/>
          <w:szCs w:val="30"/>
          <w:highlight w:val="none"/>
        </w:rPr>
        <w:t>第七章  技术标准和要求</w:t>
      </w:r>
      <w:r>
        <w:rPr>
          <w:highlight w:val="none"/>
        </w:rPr>
        <w:tab/>
      </w:r>
      <w:r>
        <w:rPr>
          <w:highlight w:val="none"/>
        </w:rPr>
        <w:fldChar w:fldCharType="begin"/>
      </w:r>
      <w:r>
        <w:rPr>
          <w:highlight w:val="none"/>
        </w:rPr>
        <w:instrText xml:space="preserve"> PAGEREF _Toc28994 </w:instrText>
      </w:r>
      <w:r>
        <w:rPr>
          <w:highlight w:val="none"/>
        </w:rPr>
        <w:fldChar w:fldCharType="separate"/>
      </w:r>
      <w:r>
        <w:rPr>
          <w:highlight w:val="none"/>
        </w:rPr>
        <w:t>203</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_Toc12911 </w:instrText>
      </w:r>
      <w:r>
        <w:rPr>
          <w:highlight w:val="none"/>
        </w:rPr>
        <w:fldChar w:fldCharType="separate"/>
      </w:r>
      <w:r>
        <w:rPr>
          <w:rFonts w:hint="eastAsia" w:hAnsi="宋体" w:cs="Arial"/>
          <w:bCs w:val="0"/>
          <w:highlight w:val="none"/>
        </w:rPr>
        <w:t>第一节 一般要求</w:t>
      </w:r>
      <w:r>
        <w:rPr>
          <w:highlight w:val="none"/>
        </w:rPr>
        <w:tab/>
      </w:r>
      <w:r>
        <w:rPr>
          <w:highlight w:val="none"/>
        </w:rPr>
        <w:fldChar w:fldCharType="begin"/>
      </w:r>
      <w:r>
        <w:rPr>
          <w:highlight w:val="none"/>
        </w:rPr>
        <w:instrText xml:space="preserve"> PAGEREF _Toc12911 </w:instrText>
      </w:r>
      <w:r>
        <w:rPr>
          <w:highlight w:val="none"/>
        </w:rPr>
        <w:fldChar w:fldCharType="separate"/>
      </w:r>
      <w:r>
        <w:rPr>
          <w:highlight w:val="none"/>
        </w:rPr>
        <w:t>204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_Toc6921 </w:instrText>
      </w:r>
      <w:r>
        <w:rPr>
          <w:highlight w:val="none"/>
        </w:rPr>
        <w:fldChar w:fldCharType="separate"/>
      </w:r>
      <w:r>
        <w:rPr>
          <w:rFonts w:hint="eastAsia" w:ascii="Arial" w:hAnsi="宋体" w:cs="Arial"/>
          <w:szCs w:val="21"/>
          <w:highlight w:val="none"/>
        </w:rPr>
        <w:t>1. 工程说明</w:t>
      </w:r>
      <w:r>
        <w:rPr>
          <w:highlight w:val="none"/>
        </w:rPr>
        <w:tab/>
      </w:r>
      <w:r>
        <w:rPr>
          <w:highlight w:val="none"/>
        </w:rPr>
        <w:fldChar w:fldCharType="begin"/>
      </w:r>
      <w:r>
        <w:rPr>
          <w:highlight w:val="none"/>
        </w:rPr>
        <w:instrText xml:space="preserve"> PAGEREF _Toc6921 </w:instrText>
      </w:r>
      <w:r>
        <w:rPr>
          <w:highlight w:val="none"/>
        </w:rPr>
        <w:fldChar w:fldCharType="separate"/>
      </w:r>
      <w:r>
        <w:rPr>
          <w:highlight w:val="none"/>
        </w:rPr>
        <w:t>204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_Toc28487 </w:instrText>
      </w:r>
      <w:r>
        <w:rPr>
          <w:highlight w:val="none"/>
        </w:rPr>
        <w:fldChar w:fldCharType="separate"/>
      </w:r>
      <w:r>
        <w:rPr>
          <w:rFonts w:hint="eastAsia" w:ascii="宋体" w:hAnsi="宋体" w:cs="Arial"/>
          <w:szCs w:val="21"/>
          <w:highlight w:val="none"/>
        </w:rPr>
        <w:t xml:space="preserve">2. </w:t>
      </w:r>
      <w:r>
        <w:rPr>
          <w:rFonts w:ascii="宋体" w:hAnsi="宋体" w:cs="Arial"/>
          <w:szCs w:val="21"/>
          <w:highlight w:val="none"/>
        </w:rPr>
        <w:t>承包范围</w:t>
      </w:r>
      <w:r>
        <w:rPr>
          <w:highlight w:val="none"/>
        </w:rPr>
        <w:tab/>
      </w:r>
      <w:r>
        <w:rPr>
          <w:highlight w:val="none"/>
        </w:rPr>
        <w:fldChar w:fldCharType="begin"/>
      </w:r>
      <w:r>
        <w:rPr>
          <w:highlight w:val="none"/>
        </w:rPr>
        <w:instrText xml:space="preserve"> PAGEREF _Toc28487 </w:instrText>
      </w:r>
      <w:r>
        <w:rPr>
          <w:highlight w:val="none"/>
        </w:rPr>
        <w:fldChar w:fldCharType="separate"/>
      </w:r>
      <w:r>
        <w:rPr>
          <w:highlight w:val="none"/>
        </w:rPr>
        <w:t>205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_Toc20764 </w:instrText>
      </w:r>
      <w:r>
        <w:rPr>
          <w:highlight w:val="none"/>
        </w:rPr>
        <w:fldChar w:fldCharType="separate"/>
      </w:r>
      <w:r>
        <w:rPr>
          <w:rFonts w:hint="eastAsia" w:ascii="宋体" w:hAnsi="宋体" w:cs="Arial"/>
          <w:szCs w:val="21"/>
          <w:highlight w:val="none"/>
        </w:rPr>
        <w:t xml:space="preserve">3. </w:t>
      </w:r>
      <w:r>
        <w:rPr>
          <w:rFonts w:ascii="宋体" w:hAnsi="宋体" w:cs="Arial"/>
          <w:szCs w:val="21"/>
          <w:highlight w:val="none"/>
        </w:rPr>
        <w:t>工期要求</w:t>
      </w:r>
      <w:r>
        <w:rPr>
          <w:highlight w:val="none"/>
        </w:rPr>
        <w:tab/>
      </w:r>
      <w:r>
        <w:rPr>
          <w:highlight w:val="none"/>
        </w:rPr>
        <w:fldChar w:fldCharType="begin"/>
      </w:r>
      <w:r>
        <w:rPr>
          <w:highlight w:val="none"/>
        </w:rPr>
        <w:instrText xml:space="preserve"> PAGEREF _Toc20764 </w:instrText>
      </w:r>
      <w:r>
        <w:rPr>
          <w:highlight w:val="none"/>
        </w:rPr>
        <w:fldChar w:fldCharType="separate"/>
      </w:r>
      <w:r>
        <w:rPr>
          <w:highlight w:val="none"/>
        </w:rPr>
        <w:t>206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_Toc13787 </w:instrText>
      </w:r>
      <w:r>
        <w:rPr>
          <w:highlight w:val="none"/>
        </w:rPr>
        <w:fldChar w:fldCharType="separate"/>
      </w:r>
      <w:r>
        <w:rPr>
          <w:rFonts w:hint="eastAsia" w:ascii="宋体" w:hAnsi="宋体" w:cs="Arial"/>
          <w:szCs w:val="21"/>
          <w:highlight w:val="none"/>
        </w:rPr>
        <w:t xml:space="preserve">4. </w:t>
      </w:r>
      <w:r>
        <w:rPr>
          <w:rFonts w:ascii="宋体" w:hAnsi="宋体" w:cs="Arial"/>
          <w:szCs w:val="21"/>
          <w:highlight w:val="none"/>
        </w:rPr>
        <w:t>质量</w:t>
      </w:r>
      <w:r>
        <w:rPr>
          <w:rFonts w:hint="eastAsia" w:ascii="宋体" w:hAnsi="宋体" w:cs="Arial"/>
          <w:szCs w:val="21"/>
          <w:highlight w:val="none"/>
        </w:rPr>
        <w:t>要求</w:t>
      </w:r>
      <w:r>
        <w:rPr>
          <w:highlight w:val="none"/>
        </w:rPr>
        <w:tab/>
      </w:r>
      <w:r>
        <w:rPr>
          <w:highlight w:val="none"/>
        </w:rPr>
        <w:fldChar w:fldCharType="begin"/>
      </w:r>
      <w:r>
        <w:rPr>
          <w:highlight w:val="none"/>
        </w:rPr>
        <w:instrText xml:space="preserve"> PAGEREF _Toc13787 </w:instrText>
      </w:r>
      <w:r>
        <w:rPr>
          <w:highlight w:val="none"/>
        </w:rPr>
        <w:fldChar w:fldCharType="separate"/>
      </w:r>
      <w:r>
        <w:rPr>
          <w:highlight w:val="none"/>
        </w:rPr>
        <w:t>207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_Toc14101 </w:instrText>
      </w:r>
      <w:r>
        <w:rPr>
          <w:highlight w:val="none"/>
        </w:rPr>
        <w:fldChar w:fldCharType="separate"/>
      </w:r>
      <w:r>
        <w:rPr>
          <w:rFonts w:hint="eastAsia" w:ascii="宋体" w:hAnsi="宋体" w:cs="Arial"/>
          <w:szCs w:val="21"/>
          <w:highlight w:val="none"/>
        </w:rPr>
        <w:t xml:space="preserve">5. </w:t>
      </w:r>
      <w:r>
        <w:rPr>
          <w:rFonts w:ascii="宋体" w:hAnsi="宋体" w:cs="Arial"/>
          <w:szCs w:val="21"/>
          <w:highlight w:val="none"/>
        </w:rPr>
        <w:t>适用规范</w:t>
      </w:r>
      <w:r>
        <w:rPr>
          <w:rFonts w:hint="eastAsia" w:ascii="宋体" w:hAnsi="宋体" w:cs="Arial"/>
          <w:szCs w:val="21"/>
          <w:highlight w:val="none"/>
        </w:rPr>
        <w:t>和标准</w:t>
      </w:r>
      <w:r>
        <w:rPr>
          <w:highlight w:val="none"/>
        </w:rPr>
        <w:tab/>
      </w:r>
      <w:r>
        <w:rPr>
          <w:highlight w:val="none"/>
        </w:rPr>
        <w:fldChar w:fldCharType="begin"/>
      </w:r>
      <w:r>
        <w:rPr>
          <w:highlight w:val="none"/>
        </w:rPr>
        <w:instrText xml:space="preserve"> PAGEREF _Toc14101 </w:instrText>
      </w:r>
      <w:r>
        <w:rPr>
          <w:highlight w:val="none"/>
        </w:rPr>
        <w:fldChar w:fldCharType="separate"/>
      </w:r>
      <w:r>
        <w:rPr>
          <w:highlight w:val="none"/>
        </w:rPr>
        <w:t>207</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_Toc31347 </w:instrText>
      </w:r>
      <w:r>
        <w:rPr>
          <w:highlight w:val="none"/>
        </w:rPr>
        <w:fldChar w:fldCharType="separate"/>
      </w:r>
      <w:r>
        <w:rPr>
          <w:rFonts w:hint="eastAsia" w:ascii="宋体" w:hAnsi="宋体" w:cs="Arial"/>
          <w:szCs w:val="21"/>
          <w:highlight w:val="none"/>
        </w:rPr>
        <w:t>6.</w:t>
      </w:r>
      <w:r>
        <w:rPr>
          <w:rFonts w:ascii="宋体" w:hAnsi="宋体" w:cs="Arial"/>
          <w:szCs w:val="21"/>
          <w:highlight w:val="none"/>
        </w:rPr>
        <w:t xml:space="preserve"> 安全文明施工</w:t>
      </w:r>
      <w:r>
        <w:rPr>
          <w:highlight w:val="none"/>
        </w:rPr>
        <w:tab/>
      </w:r>
      <w:r>
        <w:rPr>
          <w:highlight w:val="none"/>
        </w:rPr>
        <w:fldChar w:fldCharType="begin"/>
      </w:r>
      <w:r>
        <w:rPr>
          <w:highlight w:val="none"/>
        </w:rPr>
        <w:instrText xml:space="preserve"> PAGEREF _Toc31347 </w:instrText>
      </w:r>
      <w:r>
        <w:rPr>
          <w:highlight w:val="none"/>
        </w:rPr>
        <w:fldChar w:fldCharType="separate"/>
      </w:r>
      <w:r>
        <w:rPr>
          <w:highlight w:val="none"/>
        </w:rPr>
        <w:t>208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_Toc6885 </w:instrText>
      </w:r>
      <w:r>
        <w:rPr>
          <w:highlight w:val="none"/>
        </w:rPr>
        <w:fldChar w:fldCharType="separate"/>
      </w:r>
      <w:r>
        <w:rPr>
          <w:rFonts w:hint="eastAsia" w:ascii="宋体" w:hAnsi="宋体" w:cs="Arial"/>
          <w:szCs w:val="21"/>
          <w:highlight w:val="none"/>
        </w:rPr>
        <w:t>7. 治安保卫</w:t>
      </w:r>
      <w:r>
        <w:rPr>
          <w:highlight w:val="none"/>
        </w:rPr>
        <w:tab/>
      </w:r>
      <w:r>
        <w:rPr>
          <w:highlight w:val="none"/>
        </w:rPr>
        <w:fldChar w:fldCharType="begin"/>
      </w:r>
      <w:r>
        <w:rPr>
          <w:highlight w:val="none"/>
        </w:rPr>
        <w:instrText xml:space="preserve"> PAGEREF _Toc6885 </w:instrText>
      </w:r>
      <w:r>
        <w:rPr>
          <w:highlight w:val="none"/>
        </w:rPr>
        <w:fldChar w:fldCharType="separate"/>
      </w:r>
      <w:r>
        <w:rPr>
          <w:highlight w:val="none"/>
        </w:rPr>
        <w:t>219</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_Toc31453 </w:instrText>
      </w:r>
      <w:r>
        <w:rPr>
          <w:highlight w:val="none"/>
        </w:rPr>
        <w:fldChar w:fldCharType="separate"/>
      </w:r>
      <w:r>
        <w:rPr>
          <w:rFonts w:hint="eastAsia" w:ascii="宋体" w:hAnsi="宋体" w:cs="Arial"/>
          <w:szCs w:val="21"/>
          <w:highlight w:val="none"/>
        </w:rPr>
        <w:t>8. 地上、地下设施和周边建筑物的临时保护</w:t>
      </w:r>
      <w:r>
        <w:rPr>
          <w:highlight w:val="none"/>
        </w:rPr>
        <w:tab/>
      </w:r>
      <w:r>
        <w:rPr>
          <w:highlight w:val="none"/>
        </w:rPr>
        <w:fldChar w:fldCharType="begin"/>
      </w:r>
      <w:r>
        <w:rPr>
          <w:highlight w:val="none"/>
        </w:rPr>
        <w:instrText xml:space="preserve"> PAGEREF _Toc31453 </w:instrText>
      </w:r>
      <w:r>
        <w:rPr>
          <w:highlight w:val="none"/>
        </w:rPr>
        <w:fldChar w:fldCharType="separate"/>
      </w:r>
      <w:r>
        <w:rPr>
          <w:highlight w:val="none"/>
        </w:rPr>
        <w:t>221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_Toc21565 </w:instrText>
      </w:r>
      <w:r>
        <w:rPr>
          <w:highlight w:val="none"/>
        </w:rPr>
        <w:fldChar w:fldCharType="separate"/>
      </w:r>
      <w:r>
        <w:rPr>
          <w:rFonts w:hint="eastAsia" w:ascii="宋体" w:hAnsi="宋体" w:cs="Arial"/>
          <w:szCs w:val="21"/>
          <w:highlight w:val="none"/>
        </w:rPr>
        <w:t>9. 样品和材料代换</w:t>
      </w:r>
      <w:r>
        <w:rPr>
          <w:highlight w:val="none"/>
        </w:rPr>
        <w:tab/>
      </w:r>
      <w:r>
        <w:rPr>
          <w:highlight w:val="none"/>
        </w:rPr>
        <w:fldChar w:fldCharType="begin"/>
      </w:r>
      <w:r>
        <w:rPr>
          <w:highlight w:val="none"/>
        </w:rPr>
        <w:instrText xml:space="preserve"> PAGEREF _Toc21565 </w:instrText>
      </w:r>
      <w:r>
        <w:rPr>
          <w:highlight w:val="none"/>
        </w:rPr>
        <w:fldChar w:fldCharType="separate"/>
      </w:r>
      <w:r>
        <w:rPr>
          <w:highlight w:val="none"/>
        </w:rPr>
        <w:t>221</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_Toc25781 </w:instrText>
      </w:r>
      <w:r>
        <w:rPr>
          <w:highlight w:val="none"/>
        </w:rPr>
        <w:fldChar w:fldCharType="separate"/>
      </w:r>
      <w:r>
        <w:rPr>
          <w:rFonts w:hint="eastAsia" w:ascii="宋体" w:hAnsi="宋体" w:cs="Arial"/>
          <w:szCs w:val="21"/>
          <w:highlight w:val="none"/>
        </w:rPr>
        <w:t>10. 进口材料和工程设备</w:t>
      </w:r>
      <w:r>
        <w:rPr>
          <w:highlight w:val="none"/>
        </w:rPr>
        <w:tab/>
      </w:r>
      <w:r>
        <w:rPr>
          <w:highlight w:val="none"/>
        </w:rPr>
        <w:fldChar w:fldCharType="begin"/>
      </w:r>
      <w:r>
        <w:rPr>
          <w:highlight w:val="none"/>
        </w:rPr>
        <w:instrText xml:space="preserve"> PAGEREF _Toc25781 </w:instrText>
      </w:r>
      <w:r>
        <w:rPr>
          <w:highlight w:val="none"/>
        </w:rPr>
        <w:fldChar w:fldCharType="separate"/>
      </w:r>
      <w:r>
        <w:rPr>
          <w:highlight w:val="none"/>
        </w:rPr>
        <w:t>223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_Toc1072 </w:instrText>
      </w:r>
      <w:r>
        <w:rPr>
          <w:highlight w:val="none"/>
        </w:rPr>
        <w:fldChar w:fldCharType="separate"/>
      </w:r>
      <w:r>
        <w:rPr>
          <w:rFonts w:hint="eastAsia" w:ascii="宋体" w:hAnsi="宋体" w:cs="Arial"/>
          <w:szCs w:val="21"/>
          <w:highlight w:val="none"/>
        </w:rPr>
        <w:t>11. 进度报告和进度例会</w:t>
      </w:r>
      <w:r>
        <w:rPr>
          <w:highlight w:val="none"/>
        </w:rPr>
        <w:tab/>
      </w:r>
      <w:r>
        <w:rPr>
          <w:highlight w:val="none"/>
        </w:rPr>
        <w:fldChar w:fldCharType="begin"/>
      </w:r>
      <w:r>
        <w:rPr>
          <w:highlight w:val="none"/>
        </w:rPr>
        <w:instrText xml:space="preserve"> PAGEREF _Toc1072 </w:instrText>
      </w:r>
      <w:r>
        <w:rPr>
          <w:highlight w:val="none"/>
        </w:rPr>
        <w:fldChar w:fldCharType="separate"/>
      </w:r>
      <w:r>
        <w:rPr>
          <w:highlight w:val="none"/>
        </w:rPr>
        <w:t>223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_Toc32522 </w:instrText>
      </w:r>
      <w:r>
        <w:rPr>
          <w:highlight w:val="none"/>
        </w:rPr>
        <w:fldChar w:fldCharType="separate"/>
      </w:r>
      <w:r>
        <w:rPr>
          <w:rFonts w:hint="eastAsia" w:ascii="宋体" w:hAnsi="宋体" w:eastAsia="宋体" w:cs="Arial"/>
          <w:szCs w:val="21"/>
          <w:highlight w:val="none"/>
        </w:rPr>
        <w:t>有关进度报告的其他要求：</w:t>
      </w:r>
      <w:r>
        <w:rPr>
          <w:rFonts w:hint="eastAsia" w:ascii="宋体" w:hAnsi="宋体"/>
          <w:szCs w:val="21"/>
          <w:highlight w:val="none"/>
        </w:rPr>
        <w:t xml:space="preserve"> /</w:t>
      </w:r>
      <w:r>
        <w:rPr>
          <w:highlight w:val="none"/>
        </w:rPr>
        <w:tab/>
      </w:r>
      <w:r>
        <w:rPr>
          <w:highlight w:val="none"/>
        </w:rPr>
        <w:fldChar w:fldCharType="begin"/>
      </w:r>
      <w:r>
        <w:rPr>
          <w:highlight w:val="none"/>
        </w:rPr>
        <w:instrText xml:space="preserve"> PAGEREF _Toc32522 </w:instrText>
      </w:r>
      <w:r>
        <w:rPr>
          <w:highlight w:val="none"/>
        </w:rPr>
        <w:fldChar w:fldCharType="separate"/>
      </w:r>
      <w:r>
        <w:rPr>
          <w:highlight w:val="none"/>
        </w:rPr>
        <w:t>224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_Toc24271 </w:instrText>
      </w:r>
      <w:r>
        <w:rPr>
          <w:highlight w:val="none"/>
        </w:rPr>
        <w:fldChar w:fldCharType="separate"/>
      </w:r>
      <w:r>
        <w:rPr>
          <w:rFonts w:hint="eastAsia" w:ascii="宋体" w:hAnsi="宋体" w:eastAsia="宋体" w:cs="Arial"/>
          <w:szCs w:val="21"/>
          <w:highlight w:val="none"/>
        </w:rPr>
        <w:t>有关进度例会的其他要求：</w:t>
      </w:r>
      <w:r>
        <w:rPr>
          <w:highlight w:val="none"/>
        </w:rPr>
        <w:tab/>
      </w:r>
      <w:r>
        <w:rPr>
          <w:highlight w:val="none"/>
        </w:rPr>
        <w:fldChar w:fldCharType="begin"/>
      </w:r>
      <w:r>
        <w:rPr>
          <w:highlight w:val="none"/>
        </w:rPr>
        <w:instrText xml:space="preserve"> PAGEREF _Toc24271 </w:instrText>
      </w:r>
      <w:r>
        <w:rPr>
          <w:highlight w:val="none"/>
        </w:rPr>
        <w:fldChar w:fldCharType="separate"/>
      </w:r>
      <w:r>
        <w:rPr>
          <w:highlight w:val="none"/>
        </w:rPr>
        <w:t>224</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_Toc31220 </w:instrText>
      </w:r>
      <w:r>
        <w:rPr>
          <w:highlight w:val="none"/>
        </w:rPr>
        <w:fldChar w:fldCharType="separate"/>
      </w:r>
      <w:r>
        <w:rPr>
          <w:rFonts w:hint="eastAsia" w:ascii="宋体" w:hAnsi="宋体" w:cs="Arial"/>
          <w:szCs w:val="21"/>
          <w:highlight w:val="none"/>
        </w:rPr>
        <w:t>12. 试验和检验</w:t>
      </w:r>
      <w:r>
        <w:rPr>
          <w:highlight w:val="none"/>
        </w:rPr>
        <w:tab/>
      </w:r>
      <w:r>
        <w:rPr>
          <w:highlight w:val="none"/>
        </w:rPr>
        <w:fldChar w:fldCharType="begin"/>
      </w:r>
      <w:r>
        <w:rPr>
          <w:highlight w:val="none"/>
        </w:rPr>
        <w:instrText xml:space="preserve"> PAGEREF _Toc31220 </w:instrText>
      </w:r>
      <w:r>
        <w:rPr>
          <w:highlight w:val="none"/>
        </w:rPr>
        <w:fldChar w:fldCharType="separate"/>
      </w:r>
      <w:r>
        <w:rPr>
          <w:highlight w:val="none"/>
        </w:rPr>
        <w:t>225</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_Toc14041 </w:instrText>
      </w:r>
      <w:r>
        <w:rPr>
          <w:highlight w:val="none"/>
        </w:rPr>
        <w:fldChar w:fldCharType="separate"/>
      </w:r>
      <w:r>
        <w:rPr>
          <w:rFonts w:hint="eastAsia" w:ascii="宋体" w:hAnsi="宋体" w:cs="Arial"/>
          <w:szCs w:val="21"/>
          <w:highlight w:val="none"/>
        </w:rPr>
        <w:t>13. 计日工</w:t>
      </w:r>
      <w:r>
        <w:rPr>
          <w:highlight w:val="none"/>
        </w:rPr>
        <w:tab/>
      </w:r>
      <w:r>
        <w:rPr>
          <w:highlight w:val="none"/>
        </w:rPr>
        <w:fldChar w:fldCharType="begin"/>
      </w:r>
      <w:r>
        <w:rPr>
          <w:highlight w:val="none"/>
        </w:rPr>
        <w:instrText xml:space="preserve"> PAGEREF _Toc14041 </w:instrText>
      </w:r>
      <w:r>
        <w:rPr>
          <w:highlight w:val="none"/>
        </w:rPr>
        <w:fldChar w:fldCharType="separate"/>
      </w:r>
      <w:r>
        <w:rPr>
          <w:highlight w:val="none"/>
        </w:rPr>
        <w:t>226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_Toc23578 </w:instrText>
      </w:r>
      <w:r>
        <w:rPr>
          <w:highlight w:val="none"/>
        </w:rPr>
        <w:fldChar w:fldCharType="separate"/>
      </w:r>
      <w:r>
        <w:rPr>
          <w:rFonts w:hint="eastAsia" w:ascii="宋体" w:hAnsi="宋体" w:cs="Arial"/>
          <w:szCs w:val="21"/>
          <w:highlight w:val="none"/>
        </w:rPr>
        <w:t>14. 计量与支付</w:t>
      </w:r>
      <w:r>
        <w:rPr>
          <w:highlight w:val="none"/>
        </w:rPr>
        <w:tab/>
      </w:r>
      <w:r>
        <w:rPr>
          <w:highlight w:val="none"/>
        </w:rPr>
        <w:fldChar w:fldCharType="begin"/>
      </w:r>
      <w:r>
        <w:rPr>
          <w:highlight w:val="none"/>
        </w:rPr>
        <w:instrText xml:space="preserve"> PAGEREF _Toc23578 </w:instrText>
      </w:r>
      <w:r>
        <w:rPr>
          <w:highlight w:val="none"/>
        </w:rPr>
        <w:fldChar w:fldCharType="separate"/>
      </w:r>
      <w:r>
        <w:rPr>
          <w:highlight w:val="none"/>
        </w:rPr>
        <w:t>226</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_Toc948 </w:instrText>
      </w:r>
      <w:r>
        <w:rPr>
          <w:highlight w:val="none"/>
        </w:rPr>
        <w:fldChar w:fldCharType="separate"/>
      </w:r>
      <w:r>
        <w:rPr>
          <w:rFonts w:hint="eastAsia" w:ascii="宋体" w:hAnsi="宋体" w:cs="Arial"/>
          <w:szCs w:val="21"/>
          <w:highlight w:val="none"/>
        </w:rPr>
        <w:t>15. 竣工验收和工程移交</w:t>
      </w:r>
      <w:r>
        <w:rPr>
          <w:highlight w:val="none"/>
        </w:rPr>
        <w:tab/>
      </w:r>
      <w:r>
        <w:rPr>
          <w:highlight w:val="none"/>
        </w:rPr>
        <w:fldChar w:fldCharType="begin"/>
      </w:r>
      <w:r>
        <w:rPr>
          <w:highlight w:val="none"/>
        </w:rPr>
        <w:instrText xml:space="preserve"> PAGEREF _Toc948 </w:instrText>
      </w:r>
      <w:r>
        <w:rPr>
          <w:highlight w:val="none"/>
        </w:rPr>
        <w:fldChar w:fldCharType="separate"/>
      </w:r>
      <w:r>
        <w:rPr>
          <w:highlight w:val="none"/>
        </w:rPr>
        <w:t>228</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_Toc1345 </w:instrText>
      </w:r>
      <w:r>
        <w:rPr>
          <w:highlight w:val="none"/>
        </w:rPr>
        <w:fldChar w:fldCharType="separate"/>
      </w:r>
      <w:r>
        <w:rPr>
          <w:rFonts w:hint="eastAsia" w:ascii="宋体" w:hAnsi="宋体" w:cs="Arial"/>
          <w:szCs w:val="21"/>
          <w:highlight w:val="none"/>
        </w:rPr>
        <w:t>16. 其他要求</w:t>
      </w:r>
      <w:r>
        <w:rPr>
          <w:highlight w:val="none"/>
        </w:rPr>
        <w:tab/>
      </w:r>
      <w:r>
        <w:rPr>
          <w:highlight w:val="none"/>
        </w:rPr>
        <w:fldChar w:fldCharType="begin"/>
      </w:r>
      <w:r>
        <w:rPr>
          <w:highlight w:val="none"/>
        </w:rPr>
        <w:instrText xml:space="preserve"> PAGEREF _Toc1345 </w:instrText>
      </w:r>
      <w:r>
        <w:rPr>
          <w:highlight w:val="none"/>
        </w:rPr>
        <w:fldChar w:fldCharType="separate"/>
      </w:r>
      <w:r>
        <w:rPr>
          <w:highlight w:val="none"/>
        </w:rPr>
        <w:t>230</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_Toc7230 </w:instrText>
      </w:r>
      <w:r>
        <w:rPr>
          <w:highlight w:val="none"/>
        </w:rPr>
        <w:fldChar w:fldCharType="separate"/>
      </w:r>
      <w:r>
        <w:rPr>
          <w:rFonts w:hint="eastAsia" w:ascii="黑体" w:hAnsi="黑体" w:cs="Arial"/>
          <w:highlight w:val="none"/>
        </w:rPr>
        <w:t>第二节 特殊技术标准和要求</w:t>
      </w:r>
      <w:r>
        <w:rPr>
          <w:highlight w:val="none"/>
        </w:rPr>
        <w:tab/>
      </w:r>
      <w:r>
        <w:rPr>
          <w:highlight w:val="none"/>
        </w:rPr>
        <w:fldChar w:fldCharType="begin"/>
      </w:r>
      <w:r>
        <w:rPr>
          <w:highlight w:val="none"/>
        </w:rPr>
        <w:instrText xml:space="preserve"> PAGEREF _Toc7230 </w:instrText>
      </w:r>
      <w:r>
        <w:rPr>
          <w:highlight w:val="none"/>
        </w:rPr>
        <w:fldChar w:fldCharType="separate"/>
      </w:r>
      <w:r>
        <w:rPr>
          <w:highlight w:val="none"/>
        </w:rPr>
        <w:t>232</w:t>
      </w:r>
      <w:r>
        <w:rPr>
          <w:highlight w:val="none"/>
        </w:rPr>
        <w:fldChar w:fldCharType="end"/>
      </w:r>
      <w:r>
        <w:rPr>
          <w:highlight w:val="none"/>
        </w:rPr>
        <w:fldChar w:fldCharType="end"/>
      </w:r>
    </w:p>
    <w:p>
      <w:pPr>
        <w:pStyle w:val="42"/>
        <w:tabs>
          <w:tab w:val="right" w:leader="dot" w:pos="8306"/>
          <w:tab w:val="clear" w:pos="8302"/>
        </w:tabs>
        <w:rPr>
          <w:highlight w:val="none"/>
        </w:rPr>
      </w:pPr>
      <w:r>
        <w:rPr>
          <w:highlight w:val="none"/>
        </w:rPr>
        <w:fldChar w:fldCharType="begin"/>
      </w:r>
      <w:r>
        <w:rPr>
          <w:highlight w:val="none"/>
        </w:rPr>
        <w:instrText xml:space="preserve"> HYPERLINK \l _Toc13899 </w:instrText>
      </w:r>
      <w:r>
        <w:rPr>
          <w:highlight w:val="none"/>
        </w:rPr>
        <w:fldChar w:fldCharType="separate"/>
      </w:r>
      <w:r>
        <w:rPr>
          <w:rFonts w:hint="eastAsia" w:ascii="黑体" w:hAnsi="黑体" w:cs="Arial"/>
          <w:highlight w:val="none"/>
        </w:rPr>
        <w:t>第三节 适用的国家、行业以及地方规范、标准和规程</w:t>
      </w:r>
      <w:r>
        <w:rPr>
          <w:highlight w:val="none"/>
        </w:rPr>
        <w:tab/>
      </w:r>
      <w:r>
        <w:rPr>
          <w:highlight w:val="none"/>
        </w:rPr>
        <w:fldChar w:fldCharType="begin"/>
      </w:r>
      <w:r>
        <w:rPr>
          <w:highlight w:val="none"/>
        </w:rPr>
        <w:instrText xml:space="preserve"> PAGEREF _Toc13899 </w:instrText>
      </w:r>
      <w:r>
        <w:rPr>
          <w:highlight w:val="none"/>
        </w:rPr>
        <w:fldChar w:fldCharType="separate"/>
      </w:r>
      <w:r>
        <w:rPr>
          <w:highlight w:val="none"/>
        </w:rPr>
        <w:t>233</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_Toc30023 </w:instrText>
      </w:r>
      <w:r>
        <w:rPr>
          <w:highlight w:val="none"/>
        </w:rPr>
        <w:fldChar w:fldCharType="separate"/>
      </w:r>
      <w:r>
        <w:rPr>
          <w:kern w:val="0"/>
          <w:szCs w:val="21"/>
          <w:highlight w:val="none"/>
        </w:rPr>
        <w:t>1工程管理规范</w:t>
      </w:r>
      <w:r>
        <w:rPr>
          <w:highlight w:val="none"/>
        </w:rPr>
        <w:tab/>
      </w:r>
      <w:r>
        <w:rPr>
          <w:highlight w:val="none"/>
        </w:rPr>
        <w:fldChar w:fldCharType="begin"/>
      </w:r>
      <w:r>
        <w:rPr>
          <w:highlight w:val="none"/>
        </w:rPr>
        <w:instrText xml:space="preserve"> PAGEREF _Toc30023 </w:instrText>
      </w:r>
      <w:r>
        <w:rPr>
          <w:highlight w:val="none"/>
        </w:rPr>
        <w:fldChar w:fldCharType="separate"/>
      </w:r>
      <w:r>
        <w:rPr>
          <w:highlight w:val="none"/>
        </w:rPr>
        <w:t>233</w:t>
      </w:r>
      <w:r>
        <w:rPr>
          <w:highlight w:val="none"/>
        </w:rPr>
        <w:fldChar w:fldCharType="end"/>
      </w:r>
      <w:r>
        <w:rPr>
          <w:highlight w:val="none"/>
        </w:rPr>
        <w:fldChar w:fldCharType="end"/>
      </w:r>
    </w:p>
    <w:p>
      <w:pPr>
        <w:pStyle w:val="26"/>
        <w:tabs>
          <w:tab w:val="right" w:leader="dot" w:pos="8306"/>
          <w:tab w:val="clear" w:pos="1680"/>
          <w:tab w:val="clear" w:pos="8302"/>
        </w:tabs>
        <w:rPr>
          <w:highlight w:val="none"/>
        </w:rPr>
      </w:pPr>
      <w:r>
        <w:rPr>
          <w:highlight w:val="none"/>
        </w:rPr>
        <w:fldChar w:fldCharType="begin"/>
      </w:r>
      <w:r>
        <w:rPr>
          <w:highlight w:val="none"/>
        </w:rPr>
        <w:instrText xml:space="preserve"> HYPERLINK \l _Toc21084 </w:instrText>
      </w:r>
      <w:r>
        <w:rPr>
          <w:highlight w:val="none"/>
        </w:rPr>
        <w:fldChar w:fldCharType="separate"/>
      </w:r>
      <w:r>
        <w:rPr>
          <w:rFonts w:hint="eastAsia" w:ascii="宋体" w:hAnsi="宋体" w:cs="Arial"/>
          <w:szCs w:val="21"/>
          <w:highlight w:val="none"/>
        </w:rPr>
        <w:t>附件A：施工现场现状平面图</w:t>
      </w:r>
      <w:r>
        <w:rPr>
          <w:highlight w:val="none"/>
        </w:rPr>
        <w:tab/>
      </w:r>
      <w:r>
        <w:rPr>
          <w:highlight w:val="none"/>
        </w:rPr>
        <w:fldChar w:fldCharType="begin"/>
      </w:r>
      <w:r>
        <w:rPr>
          <w:highlight w:val="none"/>
        </w:rPr>
        <w:instrText xml:space="preserve"> PAGEREF _Toc21084 </w:instrText>
      </w:r>
      <w:r>
        <w:rPr>
          <w:highlight w:val="none"/>
        </w:rPr>
        <w:fldChar w:fldCharType="separate"/>
      </w:r>
      <w:r>
        <w:rPr>
          <w:b/>
          <w:highlight w:val="none"/>
        </w:rPr>
        <w:t>错误！未定义书签。</w:t>
      </w:r>
      <w:r>
        <w:rPr>
          <w:highlight w:val="none"/>
        </w:rPr>
        <w:fldChar w:fldCharType="end"/>
      </w:r>
      <w:r>
        <w:rPr>
          <w:highlight w:val="none"/>
        </w:rPr>
        <w:fldChar w:fldCharType="end"/>
      </w:r>
    </w:p>
    <w:p>
      <w:pPr>
        <w:pStyle w:val="35"/>
        <w:tabs>
          <w:tab w:val="right" w:leader="dot" w:pos="8306"/>
          <w:tab w:val="clear" w:pos="8302"/>
        </w:tabs>
        <w:rPr>
          <w:highlight w:val="none"/>
        </w:rPr>
      </w:pPr>
      <w:r>
        <w:rPr>
          <w:highlight w:val="none"/>
        </w:rPr>
        <w:fldChar w:fldCharType="begin"/>
      </w:r>
      <w:r>
        <w:rPr>
          <w:highlight w:val="none"/>
        </w:rPr>
        <w:instrText xml:space="preserve"> HYPERLINK \l _Toc26796 </w:instrText>
      </w:r>
      <w:r>
        <w:rPr>
          <w:highlight w:val="none"/>
        </w:rPr>
        <w:fldChar w:fldCharType="separate"/>
      </w:r>
      <w:r>
        <w:rPr>
          <w:rFonts w:hint="eastAsia" w:ascii="黑体" w:hAnsi="黑体" w:eastAsia="黑体" w:cs="Times New Roman"/>
          <w:kern w:val="0"/>
          <w:szCs w:val="30"/>
          <w:highlight w:val="none"/>
        </w:rPr>
        <w:t>第八章  投标文件格式</w:t>
      </w:r>
      <w:r>
        <w:rPr>
          <w:highlight w:val="none"/>
        </w:rPr>
        <w:tab/>
      </w:r>
      <w:r>
        <w:rPr>
          <w:highlight w:val="none"/>
        </w:rPr>
        <w:fldChar w:fldCharType="begin"/>
      </w:r>
      <w:r>
        <w:rPr>
          <w:highlight w:val="none"/>
        </w:rPr>
        <w:instrText xml:space="preserve"> PAGEREF _Toc26796 </w:instrText>
      </w:r>
      <w:r>
        <w:rPr>
          <w:highlight w:val="none"/>
        </w:rPr>
        <w:fldChar w:fldCharType="separate"/>
      </w:r>
      <w:r>
        <w:rPr>
          <w:highlight w:val="none"/>
        </w:rPr>
        <w:t>238</w:t>
      </w:r>
      <w:r>
        <w:rPr>
          <w:highlight w:val="none"/>
        </w:rPr>
        <w:fldChar w:fldCharType="end"/>
      </w:r>
      <w:r>
        <w:rPr>
          <w:highlight w:val="none"/>
        </w:rPr>
        <w:fldChar w:fldCharType="end"/>
      </w:r>
    </w:p>
    <w:p>
      <w:pPr>
        <w:rPr>
          <w:highlight w:val="none"/>
        </w:rPr>
      </w:pPr>
      <w:r>
        <w:rPr>
          <w:highlight w:val="none"/>
        </w:rPr>
        <w:fldChar w:fldCharType="end"/>
      </w:r>
    </w:p>
    <w:p>
      <w:pPr>
        <w:spacing w:after="468" w:afterLines="150" w:line="540" w:lineRule="exact"/>
        <w:ind w:firstLine="437"/>
        <w:jc w:val="center"/>
        <w:rPr>
          <w:rFonts w:ascii="黑体" w:eastAsia="黑体"/>
          <w:sz w:val="48"/>
          <w:szCs w:val="48"/>
          <w:highlight w:val="none"/>
          <w:u w:val="single"/>
        </w:rPr>
      </w:pPr>
      <w:r>
        <w:rPr>
          <w:b/>
          <w:sz w:val="52"/>
          <w:szCs w:val="52"/>
          <w:highlight w:val="none"/>
        </w:rPr>
        <w:br w:type="page"/>
      </w:r>
    </w:p>
    <w:p>
      <w:pPr>
        <w:jc w:val="center"/>
        <w:rPr>
          <w:rFonts w:ascii="黑体" w:eastAsia="黑体"/>
          <w:sz w:val="48"/>
          <w:szCs w:val="48"/>
          <w:highlight w:val="none"/>
          <w:u w:val="single"/>
        </w:rPr>
      </w:pPr>
    </w:p>
    <w:p>
      <w:pPr>
        <w:jc w:val="center"/>
        <w:rPr>
          <w:rFonts w:ascii="黑体" w:eastAsia="黑体"/>
          <w:sz w:val="48"/>
          <w:szCs w:val="48"/>
          <w:highlight w:val="none"/>
          <w:u w:val="single"/>
        </w:rPr>
      </w:pPr>
    </w:p>
    <w:p>
      <w:pPr>
        <w:jc w:val="center"/>
        <w:rPr>
          <w:rFonts w:ascii="黑体" w:hAnsi="Times New Roman" w:eastAsia="黑体" w:cs="Times New Roman"/>
          <w:b/>
          <w:sz w:val="48"/>
          <w:szCs w:val="48"/>
          <w:highlight w:val="none"/>
        </w:rPr>
      </w:pPr>
      <w:r>
        <w:rPr>
          <w:rFonts w:hint="eastAsia" w:ascii="黑体" w:hAnsi="Times New Roman" w:eastAsia="黑体" w:cs="Times New Roman"/>
          <w:b/>
          <w:sz w:val="48"/>
          <w:szCs w:val="48"/>
          <w:highlight w:val="none"/>
        </w:rPr>
        <w:t>第一卷</w:t>
      </w:r>
    </w:p>
    <w:p>
      <w:pPr>
        <w:spacing w:before="50" w:after="50" w:line="360" w:lineRule="auto"/>
        <w:jc w:val="center"/>
        <w:rPr>
          <w:rFonts w:asciiTheme="minorEastAsia" w:hAnsiTheme="minorEastAsia" w:eastAsiaTheme="minorEastAsia"/>
          <w:sz w:val="28"/>
          <w:szCs w:val="28"/>
          <w:highlight w:val="none"/>
        </w:rPr>
      </w:pPr>
      <w:r>
        <w:rPr>
          <w:rFonts w:hint="eastAsia" w:ascii="黑体" w:eastAsia="黑体"/>
          <w:sz w:val="32"/>
          <w:szCs w:val="32"/>
          <w:highlight w:val="none"/>
        </w:rPr>
        <w:br w:type="page"/>
      </w:r>
      <w:r>
        <w:rPr>
          <w:rFonts w:hint="eastAsia" w:asciiTheme="minorEastAsia" w:hAnsiTheme="minorEastAsia" w:eastAsiaTheme="minorEastAsia"/>
          <w:sz w:val="28"/>
          <w:szCs w:val="28"/>
          <w:highlight w:val="none"/>
        </w:rPr>
        <w:t>新开行贷款湖北黄石现代有轨电车项目一期项目</w:t>
      </w:r>
    </w:p>
    <w:p>
      <w:pPr>
        <w:spacing w:before="50" w:after="50" w:line="360" w:lineRule="auto"/>
        <w:jc w:val="center"/>
        <w:rPr>
          <w:rFonts w:asciiTheme="minorEastAsia" w:hAnsiTheme="minorEastAsia" w:eastAsiaTheme="minorEastAsia"/>
          <w:sz w:val="28"/>
          <w:szCs w:val="28"/>
          <w:highlight w:val="none"/>
        </w:rPr>
      </w:pPr>
      <w:r>
        <w:rPr>
          <w:rFonts w:hint="eastAsia" w:asciiTheme="minorEastAsia" w:hAnsiTheme="minorEastAsia" w:eastAsiaTheme="minorEastAsia"/>
          <w:sz w:val="28"/>
          <w:szCs w:val="28"/>
          <w:highlight w:val="none"/>
        </w:rPr>
        <w:t>正线轨道工程</w:t>
      </w:r>
      <w:r>
        <w:rPr>
          <w:rFonts w:hint="eastAsia" w:asciiTheme="minorEastAsia" w:hAnsiTheme="minorEastAsia" w:eastAsiaTheme="minorEastAsia"/>
          <w:sz w:val="28"/>
          <w:szCs w:val="28"/>
          <w:highlight w:val="none"/>
          <w:lang w:val="en-US" w:eastAsia="zh-CN"/>
        </w:rPr>
        <w:t>SI-01</w:t>
      </w:r>
      <w:r>
        <w:rPr>
          <w:rFonts w:hint="eastAsia" w:asciiTheme="minorEastAsia" w:hAnsiTheme="minorEastAsia" w:eastAsiaTheme="minorEastAsia"/>
          <w:sz w:val="28"/>
          <w:szCs w:val="28"/>
          <w:highlight w:val="none"/>
        </w:rPr>
        <w:t>招标公告</w:t>
      </w:r>
    </w:p>
    <w:p>
      <w:pPr>
        <w:spacing w:before="312" w:beforeLines="100" w:after="312" w:afterLines="100"/>
        <w:rPr>
          <w:rFonts w:ascii="黑体" w:eastAsia="黑体"/>
          <w:sz w:val="24"/>
          <w:highlight w:val="none"/>
        </w:rPr>
      </w:pPr>
      <w:r>
        <w:rPr>
          <w:rFonts w:hint="eastAsia" w:ascii="黑体" w:eastAsia="黑体"/>
          <w:sz w:val="24"/>
          <w:highlight w:val="none"/>
        </w:rPr>
        <w:t>1.招标条件</w:t>
      </w:r>
    </w:p>
    <w:p>
      <w:pPr>
        <w:spacing w:line="460" w:lineRule="exact"/>
        <w:ind w:firstLine="437"/>
        <w:rPr>
          <w:highlight w:val="none"/>
        </w:rPr>
      </w:pPr>
      <w:r>
        <w:rPr>
          <w:rFonts w:hint="eastAsia"/>
          <w:highlight w:val="none"/>
        </w:rPr>
        <w:t>中国政府已向新开发银行申请了一笔贷款用于黄石现代有轨电车的建设（贷款编号：19N05）。</w:t>
      </w:r>
    </w:p>
    <w:p>
      <w:pPr>
        <w:spacing w:line="460" w:lineRule="exact"/>
        <w:ind w:firstLine="437"/>
        <w:rPr>
          <w:highlight w:val="none"/>
        </w:rPr>
      </w:pPr>
      <w:r>
        <w:rPr>
          <w:rFonts w:hint="eastAsia"/>
          <w:highlight w:val="none"/>
        </w:rPr>
        <w:t>招标向新开发银行成员国的合格投标人开放。</w:t>
      </w:r>
    </w:p>
    <w:p>
      <w:pPr>
        <w:spacing w:line="460" w:lineRule="exact"/>
        <w:ind w:firstLine="437"/>
        <w:rPr>
          <w:highlight w:val="none"/>
        </w:rPr>
      </w:pPr>
      <w:r>
        <w:rPr>
          <w:rFonts w:hint="eastAsia"/>
          <w:highlight w:val="none"/>
        </w:rPr>
        <w:t>本招标项目</w:t>
      </w:r>
      <w:r>
        <w:rPr>
          <w:rFonts w:hint="eastAsia"/>
          <w:szCs w:val="21"/>
          <w:highlight w:val="none"/>
        </w:rPr>
        <w:t>湖北黄石</w:t>
      </w:r>
      <w:r>
        <w:rPr>
          <w:szCs w:val="21"/>
          <w:highlight w:val="none"/>
        </w:rPr>
        <w:t>现代有轨电车</w:t>
      </w:r>
      <w:r>
        <w:rPr>
          <w:rFonts w:hint="eastAsia"/>
          <w:szCs w:val="21"/>
          <w:highlight w:val="none"/>
        </w:rPr>
        <w:t>一期项目</w:t>
      </w:r>
      <w:r>
        <w:rPr>
          <w:rFonts w:hint="eastAsia"/>
          <w:highlight w:val="none"/>
        </w:rPr>
        <w:t>已由</w:t>
      </w:r>
      <w:r>
        <w:rPr>
          <w:rFonts w:hint="eastAsia"/>
          <w:highlight w:val="none"/>
          <w:u w:val="single"/>
        </w:rPr>
        <w:t>湖北省黄石市</w:t>
      </w:r>
      <w:r>
        <w:rPr>
          <w:rFonts w:hint="eastAsia"/>
          <w:highlight w:val="none"/>
        </w:rPr>
        <w:t>批准建设，招标人为</w:t>
      </w:r>
      <w:r>
        <w:rPr>
          <w:rFonts w:hint="eastAsia"/>
          <w:szCs w:val="21"/>
          <w:highlight w:val="none"/>
          <w:u w:val="single"/>
        </w:rPr>
        <w:t>黄石市铁路建设投资有限公司</w:t>
      </w:r>
      <w:r>
        <w:rPr>
          <w:rFonts w:hint="eastAsia"/>
          <w:highlight w:val="none"/>
        </w:rPr>
        <w:t>。项目已具备招标条件，现对该项目的施工进行公开招标。</w:t>
      </w:r>
    </w:p>
    <w:p>
      <w:pPr>
        <w:spacing w:before="312" w:beforeLines="100" w:after="312" w:afterLines="100"/>
        <w:rPr>
          <w:rFonts w:ascii="黑体" w:eastAsia="黑体"/>
          <w:sz w:val="24"/>
          <w:highlight w:val="none"/>
        </w:rPr>
      </w:pPr>
      <w:r>
        <w:rPr>
          <w:rFonts w:hint="eastAsia" w:ascii="黑体" w:eastAsia="黑体"/>
          <w:sz w:val="24"/>
          <w:highlight w:val="none"/>
        </w:rPr>
        <w:t>2.项目概况与招标范围</w:t>
      </w:r>
    </w:p>
    <w:p>
      <w:pPr>
        <w:kinsoku w:val="0"/>
        <w:overflowPunct w:val="0"/>
        <w:autoSpaceDE w:val="0"/>
        <w:autoSpaceDN w:val="0"/>
        <w:adjustRightInd w:val="0"/>
        <w:spacing w:line="360" w:lineRule="auto"/>
        <w:ind w:left="1890" w:leftChars="200" w:hanging="1470" w:hangingChars="700"/>
        <w:jc w:val="left"/>
        <w:textAlignment w:val="baseline"/>
        <w:rPr>
          <w:highlight w:val="none"/>
        </w:rPr>
      </w:pPr>
      <w:r>
        <w:rPr>
          <w:rFonts w:hint="eastAsia"/>
          <w:highlight w:val="none"/>
        </w:rPr>
        <w:t>2.1 工程名称：湖北黄石</w:t>
      </w:r>
      <w:r>
        <w:rPr>
          <w:highlight w:val="none"/>
        </w:rPr>
        <w:t>现代有轨电车</w:t>
      </w:r>
      <w:r>
        <w:rPr>
          <w:rFonts w:hint="eastAsia"/>
          <w:highlight w:val="none"/>
        </w:rPr>
        <w:t>一期项目</w:t>
      </w:r>
      <w:r>
        <w:rPr>
          <w:rFonts w:hint="eastAsia"/>
          <w:szCs w:val="21"/>
          <w:highlight w:val="none"/>
        </w:rPr>
        <w:t>轨道工程</w:t>
      </w:r>
    </w:p>
    <w:p>
      <w:pPr>
        <w:kinsoku w:val="0"/>
        <w:overflowPunct w:val="0"/>
        <w:autoSpaceDE w:val="0"/>
        <w:autoSpaceDN w:val="0"/>
        <w:adjustRightInd w:val="0"/>
        <w:spacing w:line="360" w:lineRule="auto"/>
        <w:ind w:firstLine="420" w:firstLineChars="200"/>
        <w:jc w:val="left"/>
        <w:textAlignment w:val="baseline"/>
        <w:rPr>
          <w:highlight w:val="none"/>
        </w:rPr>
      </w:pPr>
      <w:r>
        <w:rPr>
          <w:rFonts w:hint="eastAsia"/>
          <w:highlight w:val="none"/>
        </w:rPr>
        <w:t xml:space="preserve">2.2 建设地点： 湖北省黄石市 </w:t>
      </w:r>
    </w:p>
    <w:p>
      <w:pPr>
        <w:kinsoku w:val="0"/>
        <w:overflowPunct w:val="0"/>
        <w:autoSpaceDE w:val="0"/>
        <w:autoSpaceDN w:val="0"/>
        <w:adjustRightInd w:val="0"/>
        <w:spacing w:line="360" w:lineRule="auto"/>
        <w:ind w:firstLine="420" w:firstLineChars="200"/>
        <w:jc w:val="left"/>
        <w:textAlignment w:val="baseline"/>
        <w:rPr>
          <w:highlight w:val="none"/>
        </w:rPr>
      </w:pPr>
      <w:r>
        <w:rPr>
          <w:rFonts w:hint="eastAsia"/>
          <w:highlight w:val="none"/>
        </w:rPr>
        <w:t>2.3 规模: 本工程起点黄石大道站~终点矿博馆站，线路全长约27km，全线共设站30座，全线设百花车辆基地1处，调度中心位于车辆基地内。本次招标投资总额312981787.31元。</w:t>
      </w:r>
    </w:p>
    <w:p>
      <w:pPr>
        <w:kinsoku w:val="0"/>
        <w:overflowPunct w:val="0"/>
        <w:autoSpaceDE w:val="0"/>
        <w:autoSpaceDN w:val="0"/>
        <w:adjustRightInd w:val="0"/>
        <w:spacing w:line="360" w:lineRule="auto"/>
        <w:ind w:firstLine="420" w:firstLineChars="200"/>
        <w:jc w:val="left"/>
        <w:textAlignment w:val="baseline"/>
        <w:rPr>
          <w:highlight w:val="none"/>
        </w:rPr>
      </w:pPr>
      <w:r>
        <w:rPr>
          <w:rFonts w:hint="eastAsia"/>
          <w:highlight w:val="none"/>
        </w:rPr>
        <w:t>4、资金来源：新开行贷款</w:t>
      </w:r>
    </w:p>
    <w:p>
      <w:pPr>
        <w:kinsoku w:val="0"/>
        <w:overflowPunct w:val="0"/>
        <w:autoSpaceDE w:val="0"/>
        <w:autoSpaceDN w:val="0"/>
        <w:adjustRightInd w:val="0"/>
        <w:spacing w:line="360" w:lineRule="auto"/>
        <w:ind w:firstLine="420" w:firstLineChars="200"/>
        <w:jc w:val="left"/>
        <w:textAlignment w:val="baseline"/>
        <w:rPr>
          <w:highlight w:val="none"/>
        </w:rPr>
      </w:pPr>
      <w:r>
        <w:rPr>
          <w:rFonts w:hint="eastAsia"/>
          <w:highlight w:val="none"/>
        </w:rPr>
        <w:t>5、工期：工期为</w:t>
      </w:r>
      <w:r>
        <w:rPr>
          <w:rFonts w:hint="eastAsia"/>
          <w:highlight w:val="none"/>
          <w:u w:val="single"/>
        </w:rPr>
        <w:t xml:space="preserve"> </w:t>
      </w:r>
      <w:r>
        <w:rPr>
          <w:rFonts w:hint="eastAsia"/>
          <w:highlight w:val="none"/>
          <w:u w:val="single"/>
          <w:lang w:val="en-US" w:eastAsia="zh-CN"/>
        </w:rPr>
        <w:t>12</w:t>
      </w:r>
      <w:r>
        <w:rPr>
          <w:rFonts w:hint="eastAsia"/>
          <w:highlight w:val="none"/>
          <w:u w:val="single"/>
        </w:rPr>
        <w:t xml:space="preserve"> </w:t>
      </w:r>
      <w:r>
        <w:rPr>
          <w:rFonts w:hint="eastAsia"/>
          <w:highlight w:val="none"/>
        </w:rPr>
        <w:t>个月，缺陷责任期24个月。</w:t>
      </w:r>
    </w:p>
    <w:p>
      <w:pPr>
        <w:spacing w:line="360" w:lineRule="auto"/>
        <w:ind w:firstLine="420" w:firstLineChars="200"/>
        <w:rPr>
          <w:szCs w:val="21"/>
          <w:highlight w:val="none"/>
        </w:rPr>
      </w:pPr>
      <w:r>
        <w:rPr>
          <w:rFonts w:hint="eastAsia"/>
          <w:highlight w:val="none"/>
        </w:rPr>
        <w:t>6、招标范围：</w:t>
      </w:r>
      <w:r>
        <w:rPr>
          <w:rFonts w:hint="eastAsia"/>
          <w:highlight w:val="none"/>
          <w:u w:val="single"/>
        </w:rPr>
        <w:t>包括但不限于前期准备及辅助设施工程施工、道床铺设、无缝线路钢轨铺设、钢轨预打磨、道岔及钢轨伸缩调节器铺设、钢轨柔性包裹安装、采用轨道CPIII控制网和精调技术、线路和信号标志安装、车挡及附属设备安装;试运营之日起6个月内,由中标单位负责日常维护、故障处理等。（具体内容以工程量清单、用户需求书及图纸为准。）</w:t>
      </w:r>
    </w:p>
    <w:p>
      <w:pPr>
        <w:spacing w:before="312" w:beforeLines="100" w:after="312" w:afterLines="100"/>
        <w:rPr>
          <w:rFonts w:ascii="黑体" w:eastAsia="黑体"/>
          <w:sz w:val="24"/>
          <w:highlight w:val="none"/>
        </w:rPr>
      </w:pPr>
      <w:r>
        <w:rPr>
          <w:rFonts w:hint="eastAsia" w:ascii="黑体" w:eastAsia="黑体"/>
          <w:sz w:val="24"/>
          <w:highlight w:val="none"/>
        </w:rPr>
        <w:t>3.投标人资格要求</w:t>
      </w:r>
    </w:p>
    <w:p>
      <w:pPr>
        <w:widowControl/>
        <w:spacing w:before="120" w:after="120" w:line="360" w:lineRule="auto"/>
        <w:ind w:firstLine="420" w:firstLineChars="200"/>
        <w:rPr>
          <w:highlight w:val="none"/>
        </w:rPr>
      </w:pPr>
      <w:r>
        <w:rPr>
          <w:rFonts w:hint="eastAsia"/>
          <w:highlight w:val="none"/>
        </w:rPr>
        <w:t>3.1本次招标要求</w:t>
      </w:r>
      <w:r>
        <w:rPr>
          <w:rFonts w:hint="eastAsia"/>
          <w:highlight w:val="none"/>
          <w:u w:val="none"/>
        </w:rPr>
        <w:t>投标人须具</w:t>
      </w:r>
      <w:r>
        <w:rPr>
          <w:rFonts w:hint="eastAsia"/>
          <w:highlight w:val="none"/>
        </w:rPr>
        <w:t>备</w:t>
      </w:r>
      <w:r>
        <w:rPr>
          <w:szCs w:val="21"/>
          <w:highlight w:val="none"/>
          <w:u w:val="single"/>
        </w:rPr>
        <w:t>市政公用工程总承包一级</w:t>
      </w:r>
      <w:r>
        <w:rPr>
          <w:rFonts w:hint="eastAsia"/>
          <w:szCs w:val="21"/>
          <w:highlight w:val="none"/>
          <w:u w:val="single"/>
        </w:rPr>
        <w:t>及以上</w:t>
      </w:r>
      <w:r>
        <w:rPr>
          <w:szCs w:val="21"/>
          <w:highlight w:val="none"/>
          <w:u w:val="single"/>
        </w:rPr>
        <w:t>资质</w:t>
      </w:r>
      <w:r>
        <w:rPr>
          <w:rFonts w:hint="eastAsia"/>
          <w:szCs w:val="21"/>
          <w:highlight w:val="none"/>
          <w:u w:val="single"/>
        </w:rPr>
        <w:t>或</w:t>
      </w:r>
      <w:r>
        <w:rPr>
          <w:szCs w:val="21"/>
          <w:highlight w:val="none"/>
          <w:u w:val="single"/>
        </w:rPr>
        <w:t>铁路铺轨架梁工程专业承包壹级资质</w:t>
      </w:r>
      <w:r>
        <w:rPr>
          <w:rFonts w:hint="eastAsia"/>
          <w:szCs w:val="21"/>
          <w:highlight w:val="none"/>
        </w:rPr>
        <w:t>，</w:t>
      </w:r>
      <w:r>
        <w:rPr>
          <w:rFonts w:hint="eastAsia"/>
          <w:highlight w:val="none"/>
        </w:rPr>
        <w:t>近</w:t>
      </w:r>
      <w:r>
        <w:rPr>
          <w:szCs w:val="21"/>
          <w:highlight w:val="none"/>
        </w:rPr>
        <w:t>8年（</w:t>
      </w:r>
      <w:r>
        <w:rPr>
          <w:szCs w:val="21"/>
          <w:highlight w:val="none"/>
          <w:u w:val="single"/>
        </w:rPr>
        <w:t>201</w:t>
      </w:r>
      <w:r>
        <w:rPr>
          <w:rFonts w:hint="eastAsia"/>
          <w:szCs w:val="21"/>
          <w:highlight w:val="none"/>
          <w:u w:val="single"/>
        </w:rPr>
        <w:t>3年1月</w:t>
      </w:r>
      <w:r>
        <w:rPr>
          <w:szCs w:val="21"/>
          <w:highlight w:val="none"/>
          <w:u w:val="single"/>
        </w:rPr>
        <w:t>-202</w:t>
      </w:r>
      <w:r>
        <w:rPr>
          <w:rFonts w:hint="eastAsia"/>
          <w:szCs w:val="21"/>
          <w:highlight w:val="none"/>
          <w:u w:val="single"/>
        </w:rPr>
        <w:t>1年1月</w:t>
      </w:r>
      <w:r>
        <w:rPr>
          <w:szCs w:val="21"/>
          <w:highlight w:val="none"/>
          <w:u w:val="single"/>
        </w:rPr>
        <w:t>）</w:t>
      </w:r>
      <w:r>
        <w:rPr>
          <w:rFonts w:hint="eastAsia"/>
          <w:color w:val="000000"/>
          <w:szCs w:val="21"/>
          <w:highlight w:val="none"/>
          <w:u w:val="single"/>
        </w:rPr>
        <w:t>至少完成过</w:t>
      </w:r>
      <w:r>
        <w:rPr>
          <w:rFonts w:hint="eastAsia"/>
          <w:szCs w:val="21"/>
          <w:highlight w:val="none"/>
          <w:u w:val="single"/>
        </w:rPr>
        <w:t>1项</w:t>
      </w:r>
      <w:r>
        <w:rPr>
          <w:szCs w:val="21"/>
          <w:highlight w:val="none"/>
          <w:u w:val="single"/>
        </w:rPr>
        <w:t>类似项目工程业绩（</w:t>
      </w:r>
      <w:r>
        <w:rPr>
          <w:rFonts w:hint="eastAsia" w:ascii="宋体" w:eastAsia="宋体" w:cs="宋体"/>
          <w:color w:val="auto"/>
          <w:highlight w:val="none"/>
          <w:u w:val="single"/>
        </w:rPr>
        <w:t>类似业绩是指：现代有轨电车（仅指钢轮钢轨）、地铁、轻轨（不含单轨）项目的轨道工程业绩</w:t>
      </w:r>
      <w:r>
        <w:rPr>
          <w:rFonts w:hint="eastAsia"/>
          <w:szCs w:val="21"/>
          <w:highlight w:val="none"/>
          <w:u w:val="single"/>
        </w:rPr>
        <w:t xml:space="preserve">） </w:t>
      </w:r>
      <w:r>
        <w:rPr>
          <w:rFonts w:hint="eastAsia"/>
          <w:highlight w:val="none"/>
        </w:rPr>
        <w:t>，并在人员、设备、资金等方面具有相应的施工能力</w:t>
      </w:r>
      <w:r>
        <w:rPr>
          <w:rFonts w:hint="eastAsia"/>
          <w:highlight w:val="none"/>
          <w:lang w:eastAsia="zh-CN"/>
        </w:rPr>
        <w:t>。</w:t>
      </w:r>
      <w:r>
        <w:rPr>
          <w:rFonts w:hint="eastAsia"/>
          <w:highlight w:val="none"/>
        </w:rPr>
        <w:t>其中，投标人拟派项目经理须具备</w:t>
      </w:r>
      <w:r>
        <w:rPr>
          <w:rFonts w:hint="eastAsia"/>
          <w:szCs w:val="21"/>
          <w:highlight w:val="none"/>
          <w:u w:val="single"/>
        </w:rPr>
        <w:t>市政公用工程或铁路工程</w:t>
      </w:r>
      <w:r>
        <w:rPr>
          <w:rFonts w:hint="eastAsia"/>
          <w:highlight w:val="none"/>
        </w:rPr>
        <w:t>专业</w:t>
      </w:r>
      <w:r>
        <w:rPr>
          <w:rFonts w:hint="eastAsia"/>
          <w:highlight w:val="none"/>
          <w:u w:val="single"/>
        </w:rPr>
        <w:t>一</w:t>
      </w:r>
      <w:r>
        <w:rPr>
          <w:rFonts w:hint="eastAsia"/>
          <w:highlight w:val="none"/>
        </w:rPr>
        <w:t>级注册建造师执业资格，具备有效的安全生产考核合格证书（B本），且未担任其他在施建设工程项目的项目经理。</w:t>
      </w:r>
    </w:p>
    <w:p>
      <w:pPr>
        <w:widowControl/>
        <w:spacing w:before="120" w:after="120" w:line="360" w:lineRule="auto"/>
        <w:ind w:firstLine="420" w:firstLineChars="200"/>
        <w:rPr>
          <w:highlight w:val="none"/>
        </w:rPr>
      </w:pPr>
      <w:r>
        <w:rPr>
          <w:rFonts w:hint="eastAsia"/>
          <w:highlight w:val="none"/>
        </w:rPr>
        <w:t>3.2</w:t>
      </w:r>
      <w:r>
        <w:rPr>
          <w:rFonts w:hint="eastAsia" w:ascii="Arial" w:hAnsi="Arial" w:cs="Arial"/>
          <w:szCs w:val="21"/>
          <w:highlight w:val="none"/>
        </w:rPr>
        <w:t>本次投标向所有注册地在新开行成员国的投标人开放；具备相应能力的新开行成员国投标人均可参与投标</w:t>
      </w:r>
      <w:r>
        <w:rPr>
          <w:rFonts w:hint="eastAsia"/>
          <w:highlight w:val="none"/>
        </w:rPr>
        <w:t>。</w:t>
      </w:r>
    </w:p>
    <w:p>
      <w:pPr>
        <w:spacing w:line="460" w:lineRule="exact"/>
        <w:ind w:firstLine="437"/>
        <w:rPr>
          <w:highlight w:val="none"/>
        </w:rPr>
      </w:pPr>
      <w:r>
        <w:rPr>
          <w:rFonts w:hint="eastAsia"/>
          <w:highlight w:val="none"/>
        </w:rPr>
        <w:t>3.3本次招标</w:t>
      </w:r>
      <w:r>
        <w:rPr>
          <w:rFonts w:hint="eastAsia"/>
          <w:highlight w:val="none"/>
          <w:u w:val="single"/>
        </w:rPr>
        <w:t>不接受</w:t>
      </w:r>
      <w:r>
        <w:rPr>
          <w:rFonts w:hint="eastAsia"/>
          <w:highlight w:val="none"/>
        </w:rPr>
        <w:t>联合体投标。</w:t>
      </w:r>
    </w:p>
    <w:p>
      <w:pPr>
        <w:spacing w:before="312" w:beforeLines="100" w:after="312" w:afterLines="100"/>
        <w:rPr>
          <w:rFonts w:ascii="黑体" w:eastAsia="黑体"/>
          <w:sz w:val="24"/>
          <w:highlight w:val="none"/>
        </w:rPr>
      </w:pPr>
      <w:r>
        <w:rPr>
          <w:rFonts w:hint="eastAsia" w:ascii="黑体" w:eastAsia="黑体"/>
          <w:sz w:val="24"/>
          <w:highlight w:val="none"/>
        </w:rPr>
        <w:t>4.投标报名</w:t>
      </w:r>
    </w:p>
    <w:p>
      <w:pPr>
        <w:spacing w:line="360" w:lineRule="auto"/>
        <w:ind w:firstLine="420" w:firstLineChars="200"/>
        <w:rPr>
          <w:highlight w:val="none"/>
        </w:rPr>
      </w:pPr>
      <w:r>
        <w:rPr>
          <w:rFonts w:hint="eastAsia"/>
          <w:highlight w:val="none"/>
        </w:rPr>
        <w:t>本项目无需报名。</w:t>
      </w:r>
    </w:p>
    <w:p>
      <w:pPr>
        <w:spacing w:before="156" w:beforeLines="50" w:after="312" w:afterLines="100"/>
        <w:rPr>
          <w:rFonts w:ascii="黑体" w:eastAsia="黑体"/>
          <w:sz w:val="24"/>
          <w:highlight w:val="none"/>
        </w:rPr>
      </w:pPr>
      <w:r>
        <w:rPr>
          <w:rFonts w:hint="eastAsia" w:ascii="黑体" w:eastAsia="黑体"/>
          <w:sz w:val="24"/>
          <w:highlight w:val="none"/>
        </w:rPr>
        <w:t>5.招标文件的获取</w:t>
      </w:r>
    </w:p>
    <w:p>
      <w:pPr>
        <w:spacing w:line="360" w:lineRule="auto"/>
        <w:ind w:firstLine="420" w:firstLineChars="200"/>
        <w:rPr>
          <w:highlight w:val="none"/>
        </w:rPr>
      </w:pPr>
      <w:r>
        <w:rPr>
          <w:rFonts w:hint="eastAsia"/>
          <w:highlight w:val="none"/>
        </w:rPr>
        <w:t>凡有意参加投标者，请于</w:t>
      </w:r>
      <w:r>
        <w:rPr>
          <w:rFonts w:hint="eastAsia"/>
          <w:highlight w:val="none"/>
          <w:u w:val="single"/>
        </w:rPr>
        <w:t xml:space="preserve"> 2021 </w:t>
      </w:r>
      <w:r>
        <w:rPr>
          <w:rFonts w:hint="eastAsia"/>
          <w:highlight w:val="none"/>
        </w:rPr>
        <w:t>年</w:t>
      </w:r>
      <w:r>
        <w:rPr>
          <w:rFonts w:hint="eastAsia"/>
          <w:highlight w:val="none"/>
          <w:u w:val="single"/>
          <w:lang w:val="en-US" w:eastAsia="zh-CN"/>
        </w:rPr>
        <w:t>2</w:t>
      </w:r>
      <w:r>
        <w:rPr>
          <w:rFonts w:hint="eastAsia"/>
          <w:highlight w:val="none"/>
          <w:u w:val="single"/>
        </w:rPr>
        <w:t xml:space="preserve"> </w:t>
      </w:r>
      <w:r>
        <w:rPr>
          <w:rFonts w:hint="eastAsia"/>
          <w:highlight w:val="none"/>
        </w:rPr>
        <w:t>月</w:t>
      </w:r>
      <w:r>
        <w:rPr>
          <w:rFonts w:hint="eastAsia"/>
          <w:highlight w:val="none"/>
          <w:u w:val="single"/>
        </w:rPr>
        <w:t xml:space="preserve"> </w:t>
      </w:r>
      <w:r>
        <w:rPr>
          <w:rFonts w:hint="eastAsia"/>
          <w:highlight w:val="none"/>
          <w:u w:val="single"/>
          <w:lang w:val="en-US" w:eastAsia="zh-CN"/>
        </w:rPr>
        <w:t>3</w:t>
      </w:r>
      <w:r>
        <w:rPr>
          <w:rFonts w:hint="eastAsia"/>
          <w:highlight w:val="none"/>
        </w:rPr>
        <w:t>日至</w:t>
      </w:r>
      <w:r>
        <w:rPr>
          <w:rFonts w:hint="eastAsia"/>
          <w:highlight w:val="none"/>
          <w:u w:val="single"/>
        </w:rPr>
        <w:t>2021</w:t>
      </w:r>
      <w:r>
        <w:rPr>
          <w:rFonts w:hint="eastAsia"/>
          <w:highlight w:val="none"/>
        </w:rPr>
        <w:t>年</w:t>
      </w:r>
      <w:r>
        <w:rPr>
          <w:rFonts w:hint="eastAsia"/>
          <w:highlight w:val="none"/>
          <w:u w:val="single"/>
        </w:rPr>
        <w:t xml:space="preserve"> </w:t>
      </w:r>
      <w:r>
        <w:rPr>
          <w:rFonts w:hint="eastAsia"/>
          <w:highlight w:val="none"/>
          <w:u w:val="single"/>
          <w:lang w:val="en-US" w:eastAsia="zh-CN"/>
        </w:rPr>
        <w:t>3</w:t>
      </w:r>
      <w:r>
        <w:rPr>
          <w:rFonts w:hint="eastAsia"/>
          <w:highlight w:val="none"/>
          <w:u w:val="single"/>
        </w:rPr>
        <w:t xml:space="preserve"> </w:t>
      </w:r>
      <w:r>
        <w:rPr>
          <w:rFonts w:hint="eastAsia"/>
          <w:highlight w:val="none"/>
        </w:rPr>
        <w:t>月</w:t>
      </w:r>
      <w:r>
        <w:rPr>
          <w:rFonts w:hint="eastAsia"/>
          <w:highlight w:val="none"/>
          <w:u w:val="single"/>
        </w:rPr>
        <w:t xml:space="preserve"> </w:t>
      </w:r>
      <w:r>
        <w:rPr>
          <w:rFonts w:hint="eastAsia"/>
          <w:highlight w:val="none"/>
          <w:u w:val="single"/>
          <w:lang w:val="en-US" w:eastAsia="zh-CN"/>
        </w:rPr>
        <w:t>3</w:t>
      </w:r>
      <w:r>
        <w:rPr>
          <w:rFonts w:hint="eastAsia"/>
          <w:highlight w:val="none"/>
        </w:rPr>
        <w:t>日</w:t>
      </w:r>
      <w:r>
        <w:rPr>
          <w:rFonts w:hint="eastAsia"/>
          <w:highlight w:val="none"/>
          <w:u w:val="single"/>
        </w:rPr>
        <w:t>9：30</w:t>
      </w:r>
      <w:r>
        <w:rPr>
          <w:rFonts w:hint="eastAsia"/>
          <w:highlight w:val="none"/>
        </w:rPr>
        <w:t>时分到中国国际工程咨询有限公司网站（www.ciecc.com.cn）首页，自行下载招标文件。本项目无需报名，至投标截止时间直接递交投标文件。文件费500元（现金），开标现场缴纳。</w:t>
      </w:r>
    </w:p>
    <w:p>
      <w:pPr>
        <w:spacing w:line="360" w:lineRule="auto"/>
        <w:ind w:firstLine="420" w:firstLineChars="200"/>
        <w:rPr>
          <w:highlight w:val="none"/>
        </w:rPr>
      </w:pPr>
      <w:r>
        <w:rPr>
          <w:rFonts w:hint="eastAsia"/>
          <w:highlight w:val="none"/>
        </w:rPr>
        <w:t>相关答疑、补遗文件到中国国际工程咨询有限公司网站（www.ciecc.com.cn）首页，自行下载。</w:t>
      </w:r>
    </w:p>
    <w:p>
      <w:pPr>
        <w:spacing w:line="360" w:lineRule="auto"/>
        <w:ind w:firstLine="480" w:firstLineChars="200"/>
        <w:rPr>
          <w:rFonts w:ascii="黑体" w:eastAsia="黑体"/>
          <w:sz w:val="24"/>
          <w:highlight w:val="none"/>
        </w:rPr>
      </w:pPr>
      <w:r>
        <w:rPr>
          <w:rFonts w:hint="eastAsia" w:ascii="黑体" w:eastAsia="黑体"/>
          <w:sz w:val="24"/>
          <w:highlight w:val="none"/>
        </w:rPr>
        <w:t>6.投标文件的递交</w:t>
      </w:r>
    </w:p>
    <w:p>
      <w:pPr>
        <w:spacing w:line="440" w:lineRule="exact"/>
        <w:ind w:firstLine="435"/>
        <w:rPr>
          <w:highlight w:val="none"/>
        </w:rPr>
      </w:pPr>
      <w:r>
        <w:rPr>
          <w:rFonts w:hint="eastAsia"/>
          <w:highlight w:val="none"/>
        </w:rPr>
        <w:t>6.1投标文件递交的截止时间(投标截止时间，下同)为</w:t>
      </w:r>
      <w:r>
        <w:rPr>
          <w:rFonts w:hint="eastAsia"/>
          <w:highlight w:val="none"/>
          <w:u w:val="single"/>
        </w:rPr>
        <w:t xml:space="preserve"> 2021 </w:t>
      </w:r>
      <w:r>
        <w:rPr>
          <w:rFonts w:hint="eastAsia"/>
          <w:highlight w:val="none"/>
        </w:rPr>
        <w:t>年</w:t>
      </w:r>
      <w:r>
        <w:rPr>
          <w:rFonts w:hint="eastAsia"/>
          <w:highlight w:val="none"/>
          <w:u w:val="single"/>
          <w:lang w:val="en-US" w:eastAsia="zh-CN"/>
        </w:rPr>
        <w:t>3</w:t>
      </w:r>
      <w:r>
        <w:rPr>
          <w:rFonts w:hint="eastAsia"/>
          <w:highlight w:val="none"/>
        </w:rPr>
        <w:t>月</w:t>
      </w:r>
      <w:r>
        <w:rPr>
          <w:rFonts w:hint="eastAsia"/>
          <w:highlight w:val="none"/>
          <w:u w:val="single"/>
        </w:rPr>
        <w:t xml:space="preserve"> </w:t>
      </w:r>
      <w:r>
        <w:rPr>
          <w:rFonts w:hint="eastAsia"/>
          <w:highlight w:val="none"/>
          <w:u w:val="single"/>
          <w:lang w:val="en-US" w:eastAsia="zh-CN"/>
        </w:rPr>
        <w:t>3</w:t>
      </w:r>
      <w:r>
        <w:rPr>
          <w:rFonts w:hint="eastAsia"/>
          <w:highlight w:val="none"/>
        </w:rPr>
        <w:t>日</w:t>
      </w:r>
      <w:r>
        <w:rPr>
          <w:rFonts w:hint="eastAsia"/>
          <w:highlight w:val="none"/>
          <w:u w:val="single"/>
        </w:rPr>
        <w:t>9：30</w:t>
      </w:r>
      <w:r>
        <w:rPr>
          <w:rFonts w:hint="eastAsia"/>
          <w:highlight w:val="none"/>
        </w:rPr>
        <w:t>时分，地点为：黄石市公共资源交易中心（黄石市民之家四楼，湖北省黄石市大冶市园博园大道）</w:t>
      </w:r>
    </w:p>
    <w:p>
      <w:pPr>
        <w:spacing w:line="440" w:lineRule="exact"/>
        <w:ind w:firstLine="435"/>
        <w:rPr>
          <w:highlight w:val="none"/>
        </w:rPr>
      </w:pPr>
      <w:r>
        <w:rPr>
          <w:rFonts w:hint="eastAsia"/>
          <w:highlight w:val="none"/>
        </w:rPr>
        <w:t>6.2逾期送达的或者未送达指定地点的投标文件，招标人不予受理。</w:t>
      </w:r>
    </w:p>
    <w:p>
      <w:pPr>
        <w:spacing w:line="440" w:lineRule="exact"/>
        <w:ind w:firstLine="435"/>
        <w:rPr>
          <w:highlight w:val="none"/>
        </w:rPr>
      </w:pPr>
    </w:p>
    <w:p>
      <w:pPr>
        <w:pStyle w:val="89"/>
        <w:numPr>
          <w:ilvl w:val="255"/>
          <w:numId w:val="0"/>
        </w:numPr>
        <w:spacing w:before="156" w:beforeLines="50" w:after="312" w:afterLines="100" w:line="340" w:lineRule="exact"/>
        <w:rPr>
          <w:rFonts w:ascii="黑体" w:eastAsia="黑体"/>
          <w:sz w:val="24"/>
          <w:highlight w:val="none"/>
        </w:rPr>
      </w:pPr>
      <w:r>
        <w:rPr>
          <w:rFonts w:hint="eastAsia" w:ascii="黑体" w:eastAsia="黑体"/>
          <w:sz w:val="24"/>
          <w:highlight w:val="none"/>
        </w:rPr>
        <w:t>7.开标</w:t>
      </w:r>
    </w:p>
    <w:p>
      <w:pPr>
        <w:spacing w:line="440" w:lineRule="exact"/>
        <w:ind w:firstLine="435"/>
        <w:rPr>
          <w:rFonts w:hint="eastAsia" w:eastAsia="宋体"/>
          <w:highlight w:val="none"/>
          <w:lang w:eastAsia="zh-CN"/>
        </w:rPr>
      </w:pPr>
      <w:r>
        <w:rPr>
          <w:rFonts w:hint="eastAsia"/>
          <w:highlight w:val="none"/>
        </w:rPr>
        <w:t>7.1开标时间为</w:t>
      </w:r>
      <w:r>
        <w:rPr>
          <w:rFonts w:hint="eastAsia"/>
          <w:highlight w:val="none"/>
          <w:u w:val="single"/>
        </w:rPr>
        <w:t xml:space="preserve"> 2021</w:t>
      </w:r>
      <w:r>
        <w:rPr>
          <w:rFonts w:hint="eastAsia"/>
          <w:highlight w:val="none"/>
        </w:rPr>
        <w:t>年</w:t>
      </w:r>
      <w:r>
        <w:rPr>
          <w:rFonts w:hint="eastAsia"/>
          <w:highlight w:val="none"/>
          <w:u w:val="single"/>
        </w:rPr>
        <w:t xml:space="preserve"> </w:t>
      </w:r>
      <w:r>
        <w:rPr>
          <w:rFonts w:hint="eastAsia"/>
          <w:highlight w:val="none"/>
          <w:u w:val="single"/>
          <w:lang w:val="en-US" w:eastAsia="zh-CN"/>
        </w:rPr>
        <w:t>3</w:t>
      </w:r>
      <w:r>
        <w:rPr>
          <w:rFonts w:hint="eastAsia"/>
          <w:highlight w:val="none"/>
        </w:rPr>
        <w:t>月</w:t>
      </w:r>
      <w:r>
        <w:rPr>
          <w:rFonts w:hint="eastAsia"/>
          <w:highlight w:val="none"/>
          <w:u w:val="single"/>
          <w:lang w:val="en-US" w:eastAsia="zh-CN"/>
        </w:rPr>
        <w:t>3</w:t>
      </w:r>
      <w:r>
        <w:rPr>
          <w:rFonts w:hint="eastAsia"/>
          <w:highlight w:val="none"/>
        </w:rPr>
        <w:t>日</w:t>
      </w:r>
      <w:r>
        <w:rPr>
          <w:rFonts w:hint="eastAsia"/>
          <w:highlight w:val="none"/>
          <w:u w:val="single"/>
        </w:rPr>
        <w:t>9：30</w:t>
      </w:r>
      <w:r>
        <w:rPr>
          <w:rFonts w:hint="eastAsia"/>
          <w:highlight w:val="none"/>
        </w:rPr>
        <w:t>时</w:t>
      </w:r>
      <w:r>
        <w:rPr>
          <w:rFonts w:hint="eastAsia"/>
          <w:highlight w:val="none"/>
          <w:lang w:eastAsia="zh-CN"/>
        </w:rPr>
        <w:t>；</w:t>
      </w:r>
    </w:p>
    <w:p>
      <w:pPr>
        <w:spacing w:line="440" w:lineRule="exact"/>
        <w:ind w:firstLine="435"/>
        <w:rPr>
          <w:highlight w:val="none"/>
        </w:rPr>
      </w:pPr>
      <w:r>
        <w:rPr>
          <w:rFonts w:hint="eastAsia"/>
          <w:highlight w:val="none"/>
        </w:rPr>
        <w:t>7.2 开标地点为：黄石市公共资源交易中心（黄石市民之家四楼，湖北省黄石市大冶市园博园大道）。</w:t>
      </w:r>
    </w:p>
    <w:p>
      <w:pPr>
        <w:spacing w:line="440" w:lineRule="exact"/>
        <w:ind w:firstLine="435"/>
        <w:rPr>
          <w:highlight w:val="none"/>
        </w:rPr>
      </w:pPr>
      <w:r>
        <w:rPr>
          <w:rFonts w:hint="eastAsia"/>
          <w:highlight w:val="none"/>
        </w:rPr>
        <w:t>7.3 在招标人及所有投标人在场的情况下进行开标。</w:t>
      </w:r>
    </w:p>
    <w:p>
      <w:pPr>
        <w:spacing w:line="440" w:lineRule="exact"/>
        <w:ind w:firstLine="420" w:firstLineChars="200"/>
        <w:rPr>
          <w:highlight w:val="none"/>
        </w:rPr>
      </w:pPr>
    </w:p>
    <w:p>
      <w:pPr>
        <w:spacing w:before="156" w:beforeLines="50" w:after="312" w:afterLines="100"/>
        <w:rPr>
          <w:rFonts w:ascii="黑体" w:eastAsia="黑体"/>
          <w:sz w:val="24"/>
          <w:highlight w:val="none"/>
        </w:rPr>
      </w:pPr>
      <w:r>
        <w:rPr>
          <w:rFonts w:hint="eastAsia" w:ascii="黑体" w:eastAsia="黑体"/>
          <w:sz w:val="24"/>
          <w:highlight w:val="none"/>
        </w:rPr>
        <w:t>8.发布公告的媒介</w:t>
      </w:r>
    </w:p>
    <w:p>
      <w:pPr>
        <w:spacing w:line="360" w:lineRule="auto"/>
        <w:ind w:left="357"/>
        <w:rPr>
          <w:highlight w:val="none"/>
          <w:u w:val="single"/>
        </w:rPr>
      </w:pPr>
      <w:r>
        <w:rPr>
          <w:rFonts w:hint="eastAsia"/>
          <w:highlight w:val="none"/>
        </w:rPr>
        <w:t>本次招标公告同时在</w:t>
      </w:r>
      <w:r>
        <w:rPr>
          <w:rFonts w:hint="eastAsia"/>
          <w:highlight w:val="none"/>
          <w:u w:val="single"/>
        </w:rPr>
        <w:t>中国招标投标公共服务信息平台（</w:t>
      </w:r>
      <w:r>
        <w:rPr>
          <w:highlight w:val="none"/>
          <w:u w:val="single"/>
        </w:rPr>
        <w:t>www.cebpubservice.com</w:t>
      </w:r>
      <w:r>
        <w:rPr>
          <w:rFonts w:hint="eastAsia"/>
          <w:highlight w:val="none"/>
          <w:u w:val="single"/>
        </w:rPr>
        <w:t>）、中国政府采购网（</w:t>
      </w:r>
      <w:r>
        <w:rPr>
          <w:highlight w:val="none"/>
          <w:u w:val="single"/>
        </w:rPr>
        <w:t>www.ccgp.gov.cn</w:t>
      </w:r>
      <w:r>
        <w:rPr>
          <w:rFonts w:hint="eastAsia"/>
          <w:highlight w:val="none"/>
          <w:u w:val="single"/>
        </w:rPr>
        <w:t>）、新开行网站（</w:t>
      </w:r>
      <w:r>
        <w:rPr>
          <w:highlight w:val="none"/>
          <w:u w:val="single"/>
        </w:rPr>
        <w:t>www.ndb.int</w:t>
      </w:r>
      <w:r>
        <w:rPr>
          <w:rFonts w:hint="eastAsia"/>
          <w:highlight w:val="none"/>
          <w:u w:val="single"/>
        </w:rPr>
        <w:t>）上</w:t>
      </w:r>
      <w:r>
        <w:rPr>
          <w:highlight w:val="none"/>
          <w:u w:val="single"/>
        </w:rPr>
        <w:t>刊登。</w:t>
      </w:r>
    </w:p>
    <w:p>
      <w:pPr>
        <w:spacing w:line="360" w:lineRule="auto"/>
        <w:ind w:left="357"/>
        <w:rPr>
          <w:highlight w:val="none"/>
          <w:u w:val="single"/>
        </w:rPr>
      </w:pPr>
    </w:p>
    <w:p>
      <w:pPr>
        <w:spacing w:before="156" w:beforeLines="50" w:after="312" w:afterLines="100"/>
        <w:rPr>
          <w:rFonts w:ascii="黑体" w:eastAsia="黑体"/>
          <w:sz w:val="24"/>
          <w:highlight w:val="none"/>
        </w:rPr>
      </w:pPr>
      <w:r>
        <w:rPr>
          <w:rFonts w:hint="eastAsia" w:ascii="黑体" w:eastAsia="黑体"/>
          <w:sz w:val="24"/>
          <w:highlight w:val="none"/>
        </w:rPr>
        <w:t>9.联系方式</w:t>
      </w:r>
    </w:p>
    <w:p>
      <w:pPr>
        <w:spacing w:line="440" w:lineRule="exact"/>
        <w:rPr>
          <w:highlight w:val="none"/>
          <w:u w:val="single"/>
        </w:rPr>
      </w:pPr>
      <w:r>
        <w:rPr>
          <w:rFonts w:hint="eastAsia"/>
          <w:highlight w:val="none"/>
        </w:rPr>
        <w:t>招 标 人：</w:t>
      </w:r>
      <w:r>
        <w:rPr>
          <w:rFonts w:hint="eastAsia"/>
          <w:highlight w:val="none"/>
          <w:u w:val="single"/>
        </w:rPr>
        <w:t xml:space="preserve"> </w:t>
      </w:r>
      <w:r>
        <w:rPr>
          <w:rFonts w:hint="eastAsia"/>
          <w:szCs w:val="21"/>
          <w:highlight w:val="none"/>
          <w:u w:val="single"/>
        </w:rPr>
        <w:t>黄石市铁路建设投资有限公司</w:t>
      </w:r>
      <w:r>
        <w:rPr>
          <w:rFonts w:hint="eastAsia"/>
          <w:highlight w:val="none"/>
        </w:rPr>
        <w:t xml:space="preserve">    招标代理机构：</w:t>
      </w:r>
      <w:r>
        <w:rPr>
          <w:rFonts w:hint="eastAsia"/>
          <w:highlight w:val="none"/>
          <w:u w:val="single"/>
        </w:rPr>
        <w:t xml:space="preserve"> 中国国际工程咨询有限公司 </w:t>
      </w:r>
    </w:p>
    <w:p>
      <w:pPr>
        <w:spacing w:line="440" w:lineRule="exact"/>
        <w:rPr>
          <w:highlight w:val="none"/>
          <w:u w:val="single"/>
        </w:rPr>
      </w:pPr>
      <w:r>
        <w:rPr>
          <w:rFonts w:hint="eastAsia"/>
          <w:highlight w:val="none"/>
        </w:rPr>
        <w:t>地    址：</w:t>
      </w:r>
      <w:r>
        <w:rPr>
          <w:rFonts w:hint="eastAsia"/>
          <w:highlight w:val="none"/>
          <w:u w:val="single"/>
        </w:rPr>
        <w:t xml:space="preserve"> 湖北省黄石市         </w:t>
      </w:r>
      <w:r>
        <w:rPr>
          <w:rFonts w:hint="eastAsia"/>
          <w:highlight w:val="none"/>
        </w:rPr>
        <w:t xml:space="preserve">         地    址：</w:t>
      </w:r>
      <w:r>
        <w:rPr>
          <w:rFonts w:hint="eastAsia"/>
          <w:highlight w:val="none"/>
          <w:u w:val="single"/>
        </w:rPr>
        <w:t xml:space="preserve">北京市海淀区车公庄西路32号                             </w:t>
      </w:r>
    </w:p>
    <w:p>
      <w:pPr>
        <w:spacing w:line="440" w:lineRule="exact"/>
        <w:rPr>
          <w:highlight w:val="none"/>
        </w:rPr>
      </w:pPr>
      <w:r>
        <w:rPr>
          <w:rFonts w:hint="eastAsia"/>
          <w:highlight w:val="none"/>
        </w:rPr>
        <w:t>联 系 人：</w:t>
      </w:r>
      <w:r>
        <w:rPr>
          <w:rFonts w:hint="eastAsia"/>
          <w:highlight w:val="none"/>
          <w:u w:val="single"/>
        </w:rPr>
        <w:t xml:space="preserve">  陈先生                  </w:t>
      </w:r>
      <w:r>
        <w:rPr>
          <w:rFonts w:hint="eastAsia"/>
          <w:highlight w:val="none"/>
        </w:rPr>
        <w:t xml:space="preserve">     联 系 人：</w:t>
      </w:r>
      <w:r>
        <w:rPr>
          <w:rFonts w:hint="eastAsia"/>
          <w:highlight w:val="none"/>
          <w:u w:val="single"/>
        </w:rPr>
        <w:t xml:space="preserve"> 胡女士                           </w:t>
      </w:r>
    </w:p>
    <w:p>
      <w:pPr>
        <w:spacing w:line="440" w:lineRule="exact"/>
        <w:rPr>
          <w:highlight w:val="none"/>
        </w:rPr>
      </w:pPr>
      <w:r>
        <w:rPr>
          <w:rFonts w:hint="eastAsia"/>
          <w:highlight w:val="none"/>
        </w:rPr>
        <w:t>电    话：</w:t>
      </w:r>
      <w:r>
        <w:rPr>
          <w:rFonts w:hint="eastAsia"/>
          <w:highlight w:val="none"/>
          <w:u w:val="single"/>
        </w:rPr>
        <w:t xml:space="preserve">  0714-6362063    </w:t>
      </w:r>
      <w:r>
        <w:rPr>
          <w:rFonts w:hint="eastAsia"/>
          <w:highlight w:val="none"/>
        </w:rPr>
        <w:t xml:space="preserve">         </w:t>
      </w:r>
      <w:r>
        <w:rPr>
          <w:rFonts w:hint="eastAsia"/>
          <w:highlight w:val="none"/>
          <w:lang w:val="en-US" w:eastAsia="zh-CN"/>
        </w:rPr>
        <w:t xml:space="preserve">   </w:t>
      </w:r>
      <w:r>
        <w:rPr>
          <w:rFonts w:hint="eastAsia"/>
          <w:highlight w:val="none"/>
        </w:rPr>
        <w:t xml:space="preserve"> 电    话：</w:t>
      </w:r>
      <w:r>
        <w:rPr>
          <w:rFonts w:hint="eastAsia"/>
          <w:highlight w:val="none"/>
          <w:u w:val="single"/>
        </w:rPr>
        <w:t xml:space="preserve">   010-68733237                         </w:t>
      </w:r>
    </w:p>
    <w:p>
      <w:pPr>
        <w:spacing w:line="440" w:lineRule="exact"/>
        <w:rPr>
          <w:highlight w:val="none"/>
        </w:rPr>
      </w:pPr>
      <w:r>
        <w:rPr>
          <w:rFonts w:hint="eastAsia"/>
          <w:highlight w:val="none"/>
        </w:rPr>
        <w:t>传    真：</w:t>
      </w:r>
      <w:r>
        <w:rPr>
          <w:rFonts w:hint="eastAsia"/>
          <w:highlight w:val="none"/>
          <w:u w:val="single"/>
        </w:rPr>
        <w:t xml:space="preserve">        /                 </w:t>
      </w:r>
      <w:r>
        <w:rPr>
          <w:rFonts w:hint="eastAsia"/>
          <w:highlight w:val="none"/>
        </w:rPr>
        <w:t xml:space="preserve">    </w:t>
      </w:r>
      <w:r>
        <w:rPr>
          <w:rFonts w:hint="eastAsia"/>
          <w:highlight w:val="none"/>
          <w:lang w:val="en-US" w:eastAsia="zh-CN"/>
        </w:rPr>
        <w:t xml:space="preserve"> </w:t>
      </w:r>
      <w:r>
        <w:rPr>
          <w:rFonts w:hint="eastAsia"/>
          <w:highlight w:val="none"/>
        </w:rPr>
        <w:t>传    真：</w:t>
      </w:r>
      <w:r>
        <w:rPr>
          <w:rFonts w:hint="eastAsia"/>
          <w:highlight w:val="none"/>
          <w:u w:val="single"/>
        </w:rPr>
        <w:t xml:space="preserve">   010-68733377                         </w:t>
      </w:r>
    </w:p>
    <w:p>
      <w:pPr>
        <w:spacing w:line="440" w:lineRule="exact"/>
        <w:rPr>
          <w:highlight w:val="none"/>
        </w:rPr>
      </w:pPr>
      <w:r>
        <w:rPr>
          <w:rFonts w:hint="eastAsia"/>
          <w:highlight w:val="none"/>
        </w:rPr>
        <w:t>电子邮件：</w:t>
      </w:r>
      <w:r>
        <w:rPr>
          <w:rFonts w:hint="eastAsia"/>
          <w:highlight w:val="none"/>
          <w:u w:val="single"/>
        </w:rPr>
        <w:t xml:space="preserve">        /                 </w:t>
      </w:r>
      <w:r>
        <w:rPr>
          <w:rFonts w:hint="eastAsia"/>
          <w:highlight w:val="none"/>
        </w:rPr>
        <w:t xml:space="preserve">    </w:t>
      </w:r>
      <w:r>
        <w:rPr>
          <w:rFonts w:hint="eastAsia"/>
          <w:highlight w:val="none"/>
          <w:lang w:val="en-US" w:eastAsia="zh-CN"/>
        </w:rPr>
        <w:t xml:space="preserve"> </w:t>
      </w:r>
      <w:r>
        <w:rPr>
          <w:rFonts w:hint="eastAsia"/>
          <w:highlight w:val="none"/>
        </w:rPr>
        <w:t>电子邮件：</w:t>
      </w:r>
      <w:r>
        <w:rPr>
          <w:rFonts w:hint="eastAsia"/>
          <w:highlight w:val="none"/>
          <w:u w:val="single"/>
        </w:rPr>
        <w:t xml:space="preserve">    </w:t>
      </w:r>
      <w:r>
        <w:rPr>
          <w:rFonts w:hint="eastAsia"/>
          <w:highlight w:val="none"/>
          <w:u w:val="single"/>
        </w:rPr>
        <w:fldChar w:fldCharType="begin"/>
      </w:r>
      <w:r>
        <w:rPr>
          <w:rFonts w:hint="eastAsia"/>
          <w:highlight w:val="none"/>
          <w:u w:val="single"/>
        </w:rPr>
        <w:instrText xml:space="preserve"> HYPERLINK "mailto:824416280@qq.com" </w:instrText>
      </w:r>
      <w:r>
        <w:rPr>
          <w:rFonts w:hint="eastAsia"/>
          <w:highlight w:val="none"/>
          <w:u w:val="single"/>
        </w:rPr>
        <w:fldChar w:fldCharType="separate"/>
      </w:r>
      <w:r>
        <w:rPr>
          <w:rFonts w:hint="eastAsia"/>
          <w:highlight w:val="none"/>
          <w:u w:val="single"/>
        </w:rPr>
        <w:t>824416280@qq.com</w:t>
      </w:r>
      <w:r>
        <w:rPr>
          <w:rFonts w:hint="eastAsia"/>
          <w:highlight w:val="none"/>
          <w:u w:val="single"/>
        </w:rPr>
        <w:fldChar w:fldCharType="end"/>
      </w:r>
      <w:r>
        <w:rPr>
          <w:rFonts w:hint="eastAsia"/>
          <w:highlight w:val="none"/>
          <w:u w:val="single"/>
        </w:rPr>
        <w:t xml:space="preserve">                        </w:t>
      </w:r>
    </w:p>
    <w:p>
      <w:pPr>
        <w:wordWrap w:val="0"/>
        <w:spacing w:before="312" w:beforeLines="100" w:line="380" w:lineRule="exact"/>
        <w:ind w:firstLine="437"/>
        <w:jc w:val="right"/>
        <w:rPr>
          <w:highlight w:val="none"/>
        </w:rPr>
      </w:pPr>
      <w:r>
        <w:rPr>
          <w:rFonts w:hint="eastAsia"/>
          <w:szCs w:val="21"/>
          <w:highlight w:val="none"/>
          <w:u w:val="single"/>
        </w:rPr>
        <w:t>2021</w:t>
      </w:r>
      <w:r>
        <w:rPr>
          <w:rFonts w:hint="eastAsia"/>
          <w:szCs w:val="21"/>
          <w:highlight w:val="none"/>
        </w:rPr>
        <w:t>年</w:t>
      </w:r>
      <w:r>
        <w:rPr>
          <w:rFonts w:hint="eastAsia"/>
          <w:szCs w:val="21"/>
          <w:highlight w:val="none"/>
          <w:u w:val="single"/>
          <w:lang w:val="en-US" w:eastAsia="zh-CN"/>
        </w:rPr>
        <w:t>2</w:t>
      </w:r>
      <w:r>
        <w:rPr>
          <w:rFonts w:hint="eastAsia"/>
          <w:szCs w:val="21"/>
          <w:highlight w:val="none"/>
        </w:rPr>
        <w:t>月</w:t>
      </w:r>
      <w:r>
        <w:rPr>
          <w:rFonts w:hint="eastAsia"/>
          <w:szCs w:val="21"/>
          <w:highlight w:val="none"/>
          <w:u w:val="single"/>
          <w:lang w:val="en-US" w:eastAsia="zh-CN"/>
        </w:rPr>
        <w:t>3</w:t>
      </w:r>
      <w:r>
        <w:rPr>
          <w:rFonts w:hint="eastAsia"/>
          <w:szCs w:val="21"/>
          <w:highlight w:val="none"/>
        </w:rPr>
        <w:t>日</w:t>
      </w:r>
      <w:r>
        <w:rPr>
          <w:rFonts w:hint="eastAsia"/>
          <w:highlight w:val="none"/>
        </w:rPr>
        <w:t xml:space="preserve">   </w:t>
      </w:r>
    </w:p>
    <w:p>
      <w:pPr>
        <w:widowControl/>
        <w:jc w:val="right"/>
        <w:rPr>
          <w:highlight w:val="none"/>
        </w:rPr>
      </w:pPr>
    </w:p>
    <w:p>
      <w:pPr>
        <w:widowControl/>
        <w:spacing w:line="360" w:lineRule="auto"/>
        <w:jc w:val="center"/>
        <w:outlineLvl w:val="0"/>
        <w:rPr>
          <w:rFonts w:cs="Times New Roman"/>
          <w:b/>
          <w:kern w:val="0"/>
          <w:sz w:val="30"/>
          <w:szCs w:val="30"/>
          <w:highlight w:val="none"/>
        </w:rPr>
      </w:pPr>
    </w:p>
    <w:p>
      <w:pPr>
        <w:widowControl/>
        <w:spacing w:line="360" w:lineRule="auto"/>
        <w:jc w:val="center"/>
        <w:outlineLvl w:val="0"/>
        <w:rPr>
          <w:rFonts w:cs="Times New Roman"/>
          <w:b/>
          <w:kern w:val="0"/>
          <w:sz w:val="30"/>
          <w:szCs w:val="30"/>
          <w:highlight w:val="none"/>
        </w:rPr>
      </w:pPr>
    </w:p>
    <w:p>
      <w:pPr>
        <w:widowControl/>
        <w:spacing w:line="360" w:lineRule="auto"/>
        <w:jc w:val="center"/>
        <w:outlineLvl w:val="0"/>
        <w:rPr>
          <w:rFonts w:cs="Times New Roman"/>
          <w:b/>
          <w:kern w:val="0"/>
          <w:sz w:val="30"/>
          <w:szCs w:val="30"/>
          <w:highlight w:val="none"/>
        </w:rPr>
      </w:pPr>
    </w:p>
    <w:p>
      <w:pPr>
        <w:widowControl/>
        <w:spacing w:line="360" w:lineRule="auto"/>
        <w:jc w:val="center"/>
        <w:outlineLvl w:val="0"/>
        <w:rPr>
          <w:rFonts w:cs="Times New Roman"/>
          <w:b/>
          <w:kern w:val="0"/>
          <w:sz w:val="30"/>
          <w:szCs w:val="30"/>
          <w:highlight w:val="none"/>
        </w:rPr>
      </w:pPr>
    </w:p>
    <w:p>
      <w:pPr>
        <w:widowControl/>
        <w:spacing w:line="360" w:lineRule="auto"/>
        <w:jc w:val="center"/>
        <w:outlineLvl w:val="0"/>
        <w:rPr>
          <w:rFonts w:cs="Times New Roman"/>
          <w:b/>
          <w:kern w:val="0"/>
          <w:sz w:val="30"/>
          <w:szCs w:val="30"/>
          <w:highlight w:val="none"/>
        </w:rPr>
      </w:pPr>
    </w:p>
    <w:p>
      <w:pPr>
        <w:widowControl/>
        <w:spacing w:line="360" w:lineRule="auto"/>
        <w:outlineLvl w:val="0"/>
        <w:rPr>
          <w:rFonts w:cs="Times New Roman"/>
          <w:b/>
          <w:kern w:val="0"/>
          <w:sz w:val="30"/>
          <w:szCs w:val="30"/>
          <w:highlight w:val="none"/>
        </w:rPr>
      </w:pPr>
    </w:p>
    <w:p>
      <w:pPr>
        <w:widowControl/>
        <w:spacing w:line="360" w:lineRule="auto"/>
        <w:jc w:val="center"/>
        <w:outlineLvl w:val="0"/>
        <w:rPr>
          <w:rFonts w:cs="Times New Roman"/>
          <w:b/>
          <w:kern w:val="0"/>
          <w:sz w:val="30"/>
          <w:szCs w:val="30"/>
          <w:highlight w:val="none"/>
        </w:rPr>
      </w:pPr>
    </w:p>
    <w:p>
      <w:pPr>
        <w:rPr>
          <w:rFonts w:cs="Times New Roman"/>
          <w:b/>
          <w:kern w:val="0"/>
          <w:sz w:val="30"/>
          <w:szCs w:val="30"/>
          <w:highlight w:val="none"/>
        </w:rPr>
      </w:pPr>
      <w:r>
        <w:rPr>
          <w:rFonts w:hint="eastAsia" w:cs="Times New Roman"/>
          <w:b/>
          <w:kern w:val="0"/>
          <w:sz w:val="30"/>
          <w:szCs w:val="30"/>
          <w:highlight w:val="none"/>
        </w:rPr>
        <w:br w:type="page"/>
      </w:r>
    </w:p>
    <w:p>
      <w:pPr>
        <w:widowControl/>
        <w:spacing w:line="360" w:lineRule="auto"/>
        <w:jc w:val="center"/>
        <w:outlineLvl w:val="0"/>
        <w:rPr>
          <w:rFonts w:ascii="黑体" w:eastAsia="黑体"/>
          <w:color w:val="000000"/>
          <w:sz w:val="28"/>
          <w:szCs w:val="28"/>
          <w:highlight w:val="none"/>
        </w:rPr>
      </w:pPr>
      <w:bookmarkStart w:id="0" w:name="_Toc24503"/>
      <w:r>
        <w:rPr>
          <w:rFonts w:hint="eastAsia" w:cs="Times New Roman"/>
          <w:b/>
          <w:kern w:val="0"/>
          <w:sz w:val="30"/>
          <w:szCs w:val="30"/>
          <w:highlight w:val="none"/>
        </w:rPr>
        <w:t>第二章  投标人须知</w:t>
      </w:r>
      <w:bookmarkEnd w:id="0"/>
    </w:p>
    <w:p>
      <w:pPr>
        <w:jc w:val="center"/>
        <w:rPr>
          <w:rFonts w:asciiTheme="minorEastAsia" w:hAnsiTheme="minorEastAsia" w:eastAsiaTheme="minorEastAsia"/>
          <w:color w:val="000000"/>
          <w:sz w:val="28"/>
          <w:szCs w:val="28"/>
          <w:highlight w:val="none"/>
        </w:rPr>
      </w:pPr>
      <w:r>
        <w:rPr>
          <w:rFonts w:hint="eastAsia" w:asciiTheme="minorEastAsia" w:hAnsiTheme="minorEastAsia" w:eastAsiaTheme="minorEastAsia"/>
          <w:color w:val="000000"/>
          <w:sz w:val="28"/>
          <w:szCs w:val="28"/>
          <w:highlight w:val="none"/>
        </w:rPr>
        <w:t>投标人须知前附表</w:t>
      </w:r>
    </w:p>
    <w:tbl>
      <w:tblPr>
        <w:tblStyle w:val="50"/>
        <w:tblW w:w="86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9"/>
        <w:gridCol w:w="19"/>
        <w:gridCol w:w="1752"/>
        <w:gridCol w:w="140"/>
        <w:gridCol w:w="1536"/>
        <w:gridCol w:w="40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139" w:type="dxa"/>
            <w:shd w:val="clear" w:color="auto" w:fill="auto"/>
            <w:vAlign w:val="center"/>
          </w:tcPr>
          <w:p>
            <w:pPr>
              <w:jc w:val="center"/>
              <w:rPr>
                <w:color w:val="000000"/>
                <w:highlight w:val="none"/>
              </w:rPr>
            </w:pPr>
            <w:r>
              <w:rPr>
                <w:rFonts w:hint="eastAsia"/>
                <w:color w:val="000000"/>
                <w:highlight w:val="none"/>
              </w:rPr>
              <w:t>条款号</w:t>
            </w:r>
          </w:p>
        </w:tc>
        <w:tc>
          <w:tcPr>
            <w:tcW w:w="3447" w:type="dxa"/>
            <w:gridSpan w:val="4"/>
            <w:shd w:val="clear" w:color="auto" w:fill="auto"/>
            <w:vAlign w:val="center"/>
          </w:tcPr>
          <w:p>
            <w:pPr>
              <w:jc w:val="center"/>
              <w:rPr>
                <w:color w:val="000000"/>
                <w:highlight w:val="none"/>
              </w:rPr>
            </w:pPr>
            <w:r>
              <w:rPr>
                <w:rFonts w:hint="eastAsia"/>
                <w:color w:val="000000"/>
                <w:highlight w:val="none"/>
              </w:rPr>
              <w:t>条  款  名  称</w:t>
            </w:r>
          </w:p>
        </w:tc>
        <w:tc>
          <w:tcPr>
            <w:tcW w:w="4031" w:type="dxa"/>
            <w:shd w:val="clear" w:color="auto" w:fill="auto"/>
            <w:vAlign w:val="center"/>
          </w:tcPr>
          <w:p>
            <w:pPr>
              <w:jc w:val="center"/>
              <w:rPr>
                <w:color w:val="000000"/>
                <w:highlight w:val="none"/>
              </w:rPr>
            </w:pPr>
            <w:r>
              <w:rPr>
                <w:rFonts w:hint="eastAsia"/>
                <w:color w:val="000000"/>
                <w:highlight w:val="none"/>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1" w:hRule="atLeast"/>
        </w:trPr>
        <w:tc>
          <w:tcPr>
            <w:tcW w:w="1139" w:type="dxa"/>
            <w:shd w:val="clear" w:color="auto" w:fill="auto"/>
            <w:vAlign w:val="center"/>
          </w:tcPr>
          <w:p>
            <w:pPr>
              <w:jc w:val="center"/>
              <w:rPr>
                <w:color w:val="000000"/>
                <w:highlight w:val="none"/>
              </w:rPr>
            </w:pPr>
            <w:r>
              <w:rPr>
                <w:rFonts w:hint="eastAsia"/>
                <w:color w:val="000000"/>
                <w:highlight w:val="none"/>
              </w:rPr>
              <w:t>1.1.2</w:t>
            </w:r>
          </w:p>
        </w:tc>
        <w:tc>
          <w:tcPr>
            <w:tcW w:w="3447" w:type="dxa"/>
            <w:gridSpan w:val="4"/>
            <w:shd w:val="clear" w:color="auto" w:fill="auto"/>
            <w:vAlign w:val="center"/>
          </w:tcPr>
          <w:p>
            <w:pPr>
              <w:rPr>
                <w:color w:val="000000"/>
                <w:highlight w:val="none"/>
              </w:rPr>
            </w:pPr>
            <w:r>
              <w:rPr>
                <w:rFonts w:hint="eastAsia"/>
                <w:color w:val="000000"/>
                <w:highlight w:val="none"/>
              </w:rPr>
              <w:t>招标人</w:t>
            </w:r>
          </w:p>
        </w:tc>
        <w:tc>
          <w:tcPr>
            <w:tcW w:w="4031" w:type="dxa"/>
            <w:shd w:val="clear" w:color="auto" w:fill="auto"/>
            <w:vAlign w:val="center"/>
          </w:tcPr>
          <w:p>
            <w:pPr>
              <w:spacing w:line="312" w:lineRule="auto"/>
              <w:rPr>
                <w:color w:val="000000"/>
                <w:highlight w:val="none"/>
              </w:rPr>
            </w:pPr>
            <w:r>
              <w:rPr>
                <w:rFonts w:hint="eastAsia"/>
                <w:color w:val="000000"/>
                <w:highlight w:val="none"/>
              </w:rPr>
              <w:t>名称：</w:t>
            </w:r>
            <w:r>
              <w:rPr>
                <w:rFonts w:hint="eastAsia"/>
                <w:szCs w:val="21"/>
                <w:highlight w:val="none"/>
              </w:rPr>
              <w:t>黄石市铁路建设投资有限公司</w:t>
            </w:r>
          </w:p>
          <w:p>
            <w:pPr>
              <w:spacing w:line="312" w:lineRule="auto"/>
              <w:rPr>
                <w:color w:val="000000"/>
                <w:highlight w:val="none"/>
              </w:rPr>
            </w:pPr>
            <w:r>
              <w:rPr>
                <w:rFonts w:hint="eastAsia"/>
                <w:color w:val="000000"/>
                <w:highlight w:val="none"/>
              </w:rPr>
              <w:t>地址：湖北省黄石市广州路23号</w:t>
            </w:r>
          </w:p>
          <w:p>
            <w:pPr>
              <w:spacing w:line="312" w:lineRule="auto"/>
              <w:rPr>
                <w:color w:val="000000"/>
                <w:highlight w:val="none"/>
              </w:rPr>
            </w:pPr>
            <w:r>
              <w:rPr>
                <w:rFonts w:hint="eastAsia"/>
                <w:color w:val="000000"/>
                <w:highlight w:val="none"/>
              </w:rPr>
              <w:t>联系人：陈先生</w:t>
            </w:r>
          </w:p>
          <w:p>
            <w:pPr>
              <w:spacing w:line="312" w:lineRule="auto"/>
              <w:rPr>
                <w:color w:val="000000"/>
                <w:highlight w:val="none"/>
              </w:rPr>
            </w:pPr>
            <w:r>
              <w:rPr>
                <w:rFonts w:hint="eastAsia"/>
                <w:color w:val="000000"/>
                <w:highlight w:val="none"/>
              </w:rPr>
              <w:t>电话：0714-6367826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0" w:hRule="atLeast"/>
        </w:trPr>
        <w:tc>
          <w:tcPr>
            <w:tcW w:w="1139" w:type="dxa"/>
            <w:shd w:val="clear" w:color="auto" w:fill="auto"/>
            <w:vAlign w:val="center"/>
          </w:tcPr>
          <w:p>
            <w:pPr>
              <w:jc w:val="center"/>
              <w:rPr>
                <w:color w:val="000000"/>
                <w:highlight w:val="none"/>
              </w:rPr>
            </w:pPr>
            <w:r>
              <w:rPr>
                <w:rFonts w:hint="eastAsia"/>
                <w:color w:val="000000"/>
                <w:highlight w:val="none"/>
              </w:rPr>
              <w:t>1.1.3</w:t>
            </w:r>
          </w:p>
        </w:tc>
        <w:tc>
          <w:tcPr>
            <w:tcW w:w="3447" w:type="dxa"/>
            <w:gridSpan w:val="4"/>
            <w:shd w:val="clear" w:color="auto" w:fill="auto"/>
            <w:vAlign w:val="center"/>
          </w:tcPr>
          <w:p>
            <w:pPr>
              <w:rPr>
                <w:color w:val="000000"/>
                <w:highlight w:val="none"/>
              </w:rPr>
            </w:pPr>
            <w:r>
              <w:rPr>
                <w:rFonts w:hint="eastAsia"/>
                <w:color w:val="000000"/>
                <w:highlight w:val="none"/>
              </w:rPr>
              <w:t>招标代理机构</w:t>
            </w:r>
          </w:p>
        </w:tc>
        <w:tc>
          <w:tcPr>
            <w:tcW w:w="4031" w:type="dxa"/>
            <w:shd w:val="clear" w:color="auto" w:fill="auto"/>
            <w:vAlign w:val="center"/>
          </w:tcPr>
          <w:p>
            <w:pPr>
              <w:spacing w:line="312" w:lineRule="auto"/>
              <w:rPr>
                <w:color w:val="000000"/>
                <w:highlight w:val="none"/>
              </w:rPr>
            </w:pPr>
            <w:r>
              <w:rPr>
                <w:rFonts w:hint="eastAsia"/>
                <w:color w:val="000000"/>
                <w:highlight w:val="none"/>
              </w:rPr>
              <w:t>名称：</w:t>
            </w:r>
            <w:r>
              <w:rPr>
                <w:rFonts w:hint="eastAsia"/>
                <w:highlight w:val="none"/>
              </w:rPr>
              <w:t xml:space="preserve">中国国际工程咨询有限公司  </w:t>
            </w:r>
          </w:p>
          <w:p>
            <w:pPr>
              <w:spacing w:line="312" w:lineRule="auto"/>
              <w:rPr>
                <w:color w:val="000000"/>
                <w:highlight w:val="none"/>
              </w:rPr>
            </w:pPr>
            <w:r>
              <w:rPr>
                <w:rFonts w:hint="eastAsia"/>
                <w:color w:val="000000"/>
                <w:highlight w:val="none"/>
              </w:rPr>
              <w:t>地址：北京市海淀区车公庄西路32好</w:t>
            </w:r>
          </w:p>
          <w:p>
            <w:pPr>
              <w:spacing w:line="312" w:lineRule="auto"/>
              <w:rPr>
                <w:color w:val="000000"/>
                <w:highlight w:val="none"/>
              </w:rPr>
            </w:pPr>
            <w:r>
              <w:rPr>
                <w:rFonts w:hint="eastAsia"/>
                <w:color w:val="000000"/>
                <w:highlight w:val="none"/>
              </w:rPr>
              <w:t>联系人：胡女士</w:t>
            </w:r>
          </w:p>
          <w:p>
            <w:pPr>
              <w:spacing w:line="312" w:lineRule="auto"/>
              <w:rPr>
                <w:color w:val="000000"/>
                <w:highlight w:val="none"/>
              </w:rPr>
            </w:pPr>
            <w:r>
              <w:rPr>
                <w:rFonts w:hint="eastAsia"/>
                <w:color w:val="000000"/>
                <w:highlight w:val="none"/>
              </w:rPr>
              <w:t>电话：</w:t>
            </w:r>
            <w:r>
              <w:rPr>
                <w:rFonts w:hint="eastAsia"/>
                <w:highlight w:val="none"/>
              </w:rPr>
              <w:t>010-68733237</w:t>
            </w:r>
          </w:p>
          <w:p>
            <w:pPr>
              <w:spacing w:line="312" w:lineRule="auto"/>
              <w:rPr>
                <w:color w:val="000000"/>
                <w:highlight w:val="none"/>
              </w:rPr>
            </w:pPr>
            <w:r>
              <w:rPr>
                <w:rFonts w:hint="eastAsia"/>
                <w:color w:val="000000"/>
                <w:highlight w:val="none"/>
              </w:rPr>
              <w:t>电子邮件：</w:t>
            </w:r>
            <w:r>
              <w:rPr>
                <w:rFonts w:hint="eastAsia"/>
                <w:color w:val="000000"/>
                <w:highlight w:val="none"/>
              </w:rPr>
              <w:fldChar w:fldCharType="begin"/>
            </w:r>
            <w:r>
              <w:rPr>
                <w:rFonts w:hint="eastAsia"/>
                <w:color w:val="000000"/>
                <w:highlight w:val="none"/>
              </w:rPr>
              <w:instrText xml:space="preserve"> HYPERLINK "mailto:824416280@qq.com" </w:instrText>
            </w:r>
            <w:r>
              <w:rPr>
                <w:rFonts w:hint="eastAsia"/>
                <w:color w:val="000000"/>
                <w:highlight w:val="none"/>
              </w:rPr>
              <w:fldChar w:fldCharType="separate"/>
            </w:r>
            <w:r>
              <w:rPr>
                <w:rFonts w:hint="eastAsia"/>
                <w:color w:val="000000"/>
                <w:highlight w:val="none"/>
              </w:rPr>
              <w:t>824416280@qq.com</w:t>
            </w:r>
            <w:r>
              <w:rPr>
                <w:rFonts w:hint="eastAsia"/>
                <w:color w:val="000000"/>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exact"/>
        </w:trPr>
        <w:tc>
          <w:tcPr>
            <w:tcW w:w="1139" w:type="dxa"/>
            <w:shd w:val="clear" w:color="auto" w:fill="auto"/>
            <w:vAlign w:val="center"/>
          </w:tcPr>
          <w:p>
            <w:pPr>
              <w:jc w:val="center"/>
              <w:rPr>
                <w:color w:val="000000"/>
                <w:highlight w:val="none"/>
              </w:rPr>
            </w:pPr>
            <w:r>
              <w:rPr>
                <w:rFonts w:hint="eastAsia"/>
                <w:color w:val="000000"/>
                <w:highlight w:val="none"/>
              </w:rPr>
              <w:t>1.1.4</w:t>
            </w:r>
          </w:p>
        </w:tc>
        <w:tc>
          <w:tcPr>
            <w:tcW w:w="3447" w:type="dxa"/>
            <w:gridSpan w:val="4"/>
            <w:shd w:val="clear" w:color="auto" w:fill="auto"/>
            <w:vAlign w:val="center"/>
          </w:tcPr>
          <w:p>
            <w:pPr>
              <w:rPr>
                <w:color w:val="000000"/>
                <w:highlight w:val="none"/>
              </w:rPr>
            </w:pPr>
            <w:r>
              <w:rPr>
                <w:rFonts w:hint="eastAsia"/>
                <w:color w:val="000000"/>
                <w:highlight w:val="none"/>
              </w:rPr>
              <w:t>项目名称</w:t>
            </w:r>
          </w:p>
        </w:tc>
        <w:tc>
          <w:tcPr>
            <w:tcW w:w="4031" w:type="dxa"/>
            <w:shd w:val="clear" w:color="auto" w:fill="auto"/>
            <w:vAlign w:val="center"/>
          </w:tcPr>
          <w:p>
            <w:pPr>
              <w:rPr>
                <w:rFonts w:hint="default" w:eastAsia="宋体"/>
                <w:highlight w:val="none"/>
                <w:lang w:val="en-US" w:eastAsia="zh-CN"/>
              </w:rPr>
            </w:pPr>
            <w:r>
              <w:rPr>
                <w:rFonts w:hint="eastAsia"/>
                <w:highlight w:val="none"/>
                <w:lang w:val="en-US" w:eastAsia="zh-CN"/>
              </w:rPr>
              <w:t>新开行贷款</w:t>
            </w:r>
            <w:r>
              <w:rPr>
                <w:rFonts w:hint="eastAsia"/>
                <w:highlight w:val="none"/>
              </w:rPr>
              <w:t>湖北黄石</w:t>
            </w:r>
            <w:r>
              <w:rPr>
                <w:highlight w:val="none"/>
              </w:rPr>
              <w:t>现代有轨电车</w:t>
            </w:r>
            <w:r>
              <w:rPr>
                <w:rFonts w:hint="eastAsia"/>
                <w:highlight w:val="none"/>
              </w:rPr>
              <w:t>一期项目正线</w:t>
            </w:r>
            <w:r>
              <w:rPr>
                <w:rFonts w:hint="eastAsia"/>
                <w:szCs w:val="21"/>
                <w:highlight w:val="none"/>
              </w:rPr>
              <w:t>轨道工程</w:t>
            </w:r>
            <w:r>
              <w:rPr>
                <w:rFonts w:hint="eastAsia"/>
                <w:szCs w:val="21"/>
                <w:highlight w:val="none"/>
                <w:lang w:val="en-US" w:eastAsia="zh-CN"/>
              </w:rPr>
              <w:t>SI-01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139" w:type="dxa"/>
            <w:shd w:val="clear" w:color="auto" w:fill="auto"/>
            <w:vAlign w:val="center"/>
          </w:tcPr>
          <w:p>
            <w:pPr>
              <w:jc w:val="center"/>
              <w:rPr>
                <w:color w:val="000000"/>
                <w:highlight w:val="none"/>
              </w:rPr>
            </w:pPr>
            <w:r>
              <w:rPr>
                <w:rFonts w:hint="eastAsia"/>
                <w:color w:val="000000"/>
                <w:highlight w:val="none"/>
              </w:rPr>
              <w:t>1.1.5</w:t>
            </w:r>
          </w:p>
        </w:tc>
        <w:tc>
          <w:tcPr>
            <w:tcW w:w="3447" w:type="dxa"/>
            <w:gridSpan w:val="4"/>
            <w:shd w:val="clear" w:color="auto" w:fill="auto"/>
            <w:vAlign w:val="center"/>
          </w:tcPr>
          <w:p>
            <w:pPr>
              <w:rPr>
                <w:color w:val="000000"/>
                <w:highlight w:val="none"/>
              </w:rPr>
            </w:pPr>
            <w:r>
              <w:rPr>
                <w:rFonts w:hint="eastAsia"/>
                <w:color w:val="000000"/>
                <w:highlight w:val="none"/>
              </w:rPr>
              <w:t>建设地点</w:t>
            </w:r>
          </w:p>
        </w:tc>
        <w:tc>
          <w:tcPr>
            <w:tcW w:w="4031" w:type="dxa"/>
            <w:shd w:val="clear" w:color="auto" w:fill="auto"/>
            <w:vAlign w:val="center"/>
          </w:tcPr>
          <w:p>
            <w:pPr>
              <w:rPr>
                <w:highlight w:val="none"/>
              </w:rPr>
            </w:pPr>
            <w:r>
              <w:rPr>
                <w:rFonts w:hint="eastAsia"/>
                <w:highlight w:val="none"/>
              </w:rPr>
              <w:t>湖北省黄石市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139" w:type="dxa"/>
            <w:shd w:val="clear" w:color="auto" w:fill="auto"/>
            <w:vAlign w:val="center"/>
          </w:tcPr>
          <w:p>
            <w:pPr>
              <w:jc w:val="center"/>
              <w:rPr>
                <w:color w:val="000000"/>
                <w:highlight w:val="none"/>
              </w:rPr>
            </w:pPr>
            <w:r>
              <w:rPr>
                <w:rFonts w:hint="eastAsia"/>
                <w:color w:val="000000"/>
                <w:highlight w:val="none"/>
              </w:rPr>
              <w:t>1.2.1</w:t>
            </w:r>
          </w:p>
        </w:tc>
        <w:tc>
          <w:tcPr>
            <w:tcW w:w="3447" w:type="dxa"/>
            <w:gridSpan w:val="4"/>
            <w:shd w:val="clear" w:color="auto" w:fill="auto"/>
            <w:vAlign w:val="center"/>
          </w:tcPr>
          <w:p>
            <w:pPr>
              <w:rPr>
                <w:color w:val="000000"/>
                <w:highlight w:val="none"/>
              </w:rPr>
            </w:pPr>
            <w:r>
              <w:rPr>
                <w:rFonts w:hint="eastAsia"/>
                <w:color w:val="000000"/>
                <w:highlight w:val="none"/>
              </w:rPr>
              <w:t>资金来源</w:t>
            </w:r>
          </w:p>
        </w:tc>
        <w:tc>
          <w:tcPr>
            <w:tcW w:w="4031" w:type="dxa"/>
            <w:shd w:val="clear" w:color="auto" w:fill="auto"/>
            <w:vAlign w:val="center"/>
          </w:tcPr>
          <w:p>
            <w:pPr>
              <w:rPr>
                <w:highlight w:val="none"/>
              </w:rPr>
            </w:pPr>
            <w:r>
              <w:rPr>
                <w:rFonts w:hint="eastAsia"/>
                <w:highlight w:val="none"/>
              </w:rPr>
              <w:t>银行贷款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139" w:type="dxa"/>
            <w:shd w:val="clear" w:color="auto" w:fill="auto"/>
            <w:vAlign w:val="center"/>
          </w:tcPr>
          <w:p>
            <w:pPr>
              <w:jc w:val="center"/>
              <w:rPr>
                <w:color w:val="000000"/>
                <w:highlight w:val="none"/>
              </w:rPr>
            </w:pPr>
            <w:r>
              <w:rPr>
                <w:rFonts w:hint="eastAsia"/>
                <w:color w:val="000000"/>
                <w:highlight w:val="none"/>
              </w:rPr>
              <w:t>1.2.2</w:t>
            </w:r>
          </w:p>
        </w:tc>
        <w:tc>
          <w:tcPr>
            <w:tcW w:w="3447" w:type="dxa"/>
            <w:gridSpan w:val="4"/>
            <w:shd w:val="clear" w:color="auto" w:fill="auto"/>
            <w:vAlign w:val="center"/>
          </w:tcPr>
          <w:p>
            <w:pPr>
              <w:rPr>
                <w:color w:val="000000"/>
                <w:highlight w:val="none"/>
              </w:rPr>
            </w:pPr>
            <w:r>
              <w:rPr>
                <w:rFonts w:hint="eastAsia"/>
                <w:color w:val="000000"/>
                <w:highlight w:val="none"/>
              </w:rPr>
              <w:t>出资比例</w:t>
            </w:r>
          </w:p>
        </w:tc>
        <w:tc>
          <w:tcPr>
            <w:tcW w:w="4031" w:type="dxa"/>
            <w:shd w:val="clear" w:color="auto" w:fill="auto"/>
            <w:vAlign w:val="center"/>
          </w:tcPr>
          <w:p>
            <w:pPr>
              <w:rPr>
                <w:highlight w:val="none"/>
              </w:rPr>
            </w:pPr>
            <w:r>
              <w:rPr>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139" w:type="dxa"/>
            <w:shd w:val="clear" w:color="auto" w:fill="auto"/>
            <w:vAlign w:val="center"/>
          </w:tcPr>
          <w:p>
            <w:pPr>
              <w:jc w:val="center"/>
              <w:rPr>
                <w:color w:val="000000"/>
                <w:highlight w:val="none"/>
              </w:rPr>
            </w:pPr>
            <w:r>
              <w:rPr>
                <w:rFonts w:hint="eastAsia"/>
                <w:color w:val="000000"/>
                <w:highlight w:val="none"/>
              </w:rPr>
              <w:t>1.2.3</w:t>
            </w:r>
          </w:p>
        </w:tc>
        <w:tc>
          <w:tcPr>
            <w:tcW w:w="3447" w:type="dxa"/>
            <w:gridSpan w:val="4"/>
            <w:shd w:val="clear" w:color="auto" w:fill="auto"/>
            <w:vAlign w:val="center"/>
          </w:tcPr>
          <w:p>
            <w:pPr>
              <w:rPr>
                <w:color w:val="000000"/>
                <w:highlight w:val="none"/>
              </w:rPr>
            </w:pPr>
            <w:r>
              <w:rPr>
                <w:rFonts w:hint="eastAsia"/>
                <w:color w:val="000000"/>
                <w:highlight w:val="none"/>
              </w:rPr>
              <w:t>资金落实情况</w:t>
            </w:r>
          </w:p>
        </w:tc>
        <w:tc>
          <w:tcPr>
            <w:tcW w:w="4031" w:type="dxa"/>
            <w:shd w:val="clear" w:color="auto" w:fill="auto"/>
            <w:vAlign w:val="center"/>
          </w:tcPr>
          <w:p>
            <w:pPr>
              <w:rPr>
                <w:highlight w:val="none"/>
              </w:rPr>
            </w:pPr>
            <w:r>
              <w:rPr>
                <w:rFonts w:hint="eastAsia"/>
                <w:highlight w:val="none"/>
              </w:rPr>
              <w:t>已经落实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6" w:hRule="atLeast"/>
        </w:trPr>
        <w:tc>
          <w:tcPr>
            <w:tcW w:w="1139" w:type="dxa"/>
            <w:shd w:val="clear" w:color="auto" w:fill="auto"/>
            <w:vAlign w:val="center"/>
          </w:tcPr>
          <w:p>
            <w:pPr>
              <w:jc w:val="center"/>
              <w:rPr>
                <w:color w:val="000000"/>
                <w:highlight w:val="none"/>
              </w:rPr>
            </w:pPr>
            <w:r>
              <w:rPr>
                <w:rFonts w:hint="eastAsia"/>
                <w:color w:val="000000"/>
                <w:highlight w:val="none"/>
              </w:rPr>
              <w:t>1.3.1</w:t>
            </w:r>
          </w:p>
        </w:tc>
        <w:tc>
          <w:tcPr>
            <w:tcW w:w="3447" w:type="dxa"/>
            <w:gridSpan w:val="4"/>
            <w:shd w:val="clear" w:color="auto" w:fill="auto"/>
            <w:vAlign w:val="center"/>
          </w:tcPr>
          <w:p>
            <w:pPr>
              <w:rPr>
                <w:color w:val="000000"/>
                <w:highlight w:val="none"/>
              </w:rPr>
            </w:pPr>
            <w:r>
              <w:rPr>
                <w:rFonts w:hint="eastAsia"/>
                <w:color w:val="000000"/>
                <w:highlight w:val="none"/>
              </w:rPr>
              <w:t>招标范围</w:t>
            </w:r>
          </w:p>
        </w:tc>
        <w:tc>
          <w:tcPr>
            <w:tcW w:w="4031" w:type="dxa"/>
            <w:shd w:val="clear" w:color="auto" w:fill="auto"/>
            <w:vAlign w:val="center"/>
          </w:tcPr>
          <w:p>
            <w:pPr>
              <w:spacing w:line="360" w:lineRule="auto"/>
              <w:rPr>
                <w:color w:val="000000"/>
                <w:highlight w:val="none"/>
              </w:rPr>
            </w:pPr>
            <w:r>
              <w:rPr>
                <w:rFonts w:hint="eastAsia"/>
                <w:highlight w:val="none"/>
                <w:u w:val="single"/>
              </w:rPr>
              <w:t>包括但不限于前期准备及辅助设施工程施工、道床铺设、无缝线路钢轨铺设、钢轨预打磨、道岔及钢轨伸缩调节器铺设、钢轨柔性包裹安装、采用轨道CPIII控制网和精调技术、线路和信号标志安装、车挡及附属设备安装;试运营之日起6个月内,由投标单位负责日常维护，故障处理。（具体内容以工程量清单、用户需求书及图纸为准。）</w:t>
            </w:r>
            <w:r>
              <w:rPr>
                <w:rFonts w:hint="eastAsia"/>
                <w:color w:val="000000"/>
                <w:highlight w:val="none"/>
              </w:rPr>
              <w:t>见第七章“技术标准和要求”。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8" w:hRule="atLeast"/>
        </w:trPr>
        <w:tc>
          <w:tcPr>
            <w:tcW w:w="1139" w:type="dxa"/>
            <w:shd w:val="clear" w:color="auto" w:fill="auto"/>
            <w:vAlign w:val="center"/>
          </w:tcPr>
          <w:p>
            <w:pPr>
              <w:jc w:val="center"/>
              <w:rPr>
                <w:color w:val="000000"/>
                <w:highlight w:val="none"/>
              </w:rPr>
            </w:pPr>
            <w:r>
              <w:rPr>
                <w:rFonts w:hint="eastAsia"/>
                <w:color w:val="000000"/>
                <w:highlight w:val="none"/>
              </w:rPr>
              <w:t>1.3.2</w:t>
            </w:r>
          </w:p>
        </w:tc>
        <w:tc>
          <w:tcPr>
            <w:tcW w:w="3447" w:type="dxa"/>
            <w:gridSpan w:val="4"/>
            <w:shd w:val="clear" w:color="auto" w:fill="auto"/>
            <w:vAlign w:val="center"/>
          </w:tcPr>
          <w:p>
            <w:pPr>
              <w:rPr>
                <w:color w:val="000000"/>
                <w:highlight w:val="none"/>
              </w:rPr>
            </w:pPr>
            <w:r>
              <w:rPr>
                <w:rFonts w:hint="eastAsia"/>
                <w:color w:val="000000"/>
                <w:highlight w:val="none"/>
              </w:rPr>
              <w:t>计划工期</w:t>
            </w:r>
          </w:p>
        </w:tc>
        <w:tc>
          <w:tcPr>
            <w:tcW w:w="4031" w:type="dxa"/>
            <w:shd w:val="clear" w:color="auto" w:fill="auto"/>
            <w:vAlign w:val="center"/>
          </w:tcPr>
          <w:p>
            <w:pPr>
              <w:spacing w:line="360" w:lineRule="auto"/>
              <w:rPr>
                <w:color w:val="000000"/>
                <w:highlight w:val="none"/>
              </w:rPr>
            </w:pPr>
            <w:r>
              <w:rPr>
                <w:rFonts w:hint="eastAsia"/>
                <w:color w:val="000000"/>
                <w:highlight w:val="none"/>
              </w:rPr>
              <w:t>计划工期：</w:t>
            </w:r>
            <w:r>
              <w:rPr>
                <w:rFonts w:hint="eastAsia"/>
                <w:highlight w:val="none"/>
                <w:u w:val="single"/>
              </w:rPr>
              <w:t xml:space="preserve"> </w:t>
            </w:r>
            <w:r>
              <w:rPr>
                <w:rFonts w:hint="eastAsia"/>
                <w:highlight w:val="none"/>
                <w:u w:val="single"/>
                <w:lang w:val="en-US" w:eastAsia="zh-CN"/>
              </w:rPr>
              <w:t>12</w:t>
            </w:r>
            <w:r>
              <w:rPr>
                <w:rFonts w:hint="eastAsia"/>
                <w:highlight w:val="none"/>
                <w:u w:val="single"/>
              </w:rPr>
              <w:t xml:space="preserve"> </w:t>
            </w:r>
            <w:r>
              <w:rPr>
                <w:rFonts w:hint="eastAsia"/>
                <w:highlight w:val="none"/>
              </w:rPr>
              <w:t>个月</w:t>
            </w:r>
            <w:r>
              <w:rPr>
                <w:rFonts w:hint="eastAsia"/>
                <w:color w:val="000000"/>
                <w:highlight w:val="none"/>
              </w:rPr>
              <w:t>计划开工日期：</w:t>
            </w:r>
            <w:r>
              <w:rPr>
                <w:rFonts w:hint="eastAsia"/>
                <w:color w:val="000000"/>
                <w:highlight w:val="none"/>
                <w:u w:val="single"/>
              </w:rPr>
              <w:t>以监理开工令为准</w:t>
            </w:r>
          </w:p>
          <w:p>
            <w:pPr>
              <w:spacing w:line="360" w:lineRule="auto"/>
              <w:rPr>
                <w:color w:val="000000"/>
                <w:highlight w:val="none"/>
              </w:rPr>
            </w:pPr>
            <w:r>
              <w:rPr>
                <w:rFonts w:hint="eastAsia"/>
                <w:color w:val="000000"/>
                <w:highlight w:val="none"/>
              </w:rPr>
              <w:t>计划竣工日期：</w:t>
            </w:r>
            <w:r>
              <w:rPr>
                <w:rFonts w:hint="eastAsia"/>
                <w:color w:val="000000"/>
                <w:highlight w:val="none"/>
                <w:u w:val="single"/>
              </w:rPr>
              <w:t xml:space="preserve">  /  </w:t>
            </w:r>
            <w:r>
              <w:rPr>
                <w:rFonts w:hint="eastAsia"/>
                <w:color w:val="000000"/>
                <w:highlight w:val="none"/>
              </w:rPr>
              <w:t>年</w:t>
            </w:r>
            <w:r>
              <w:rPr>
                <w:rFonts w:hint="eastAsia"/>
                <w:color w:val="000000"/>
                <w:highlight w:val="none"/>
                <w:u w:val="single"/>
              </w:rPr>
              <w:t xml:space="preserve"> /   </w:t>
            </w:r>
            <w:r>
              <w:rPr>
                <w:rFonts w:hint="eastAsia"/>
                <w:color w:val="000000"/>
                <w:highlight w:val="none"/>
              </w:rPr>
              <w:t>月</w:t>
            </w:r>
            <w:r>
              <w:rPr>
                <w:rFonts w:hint="eastAsia"/>
                <w:color w:val="000000"/>
                <w:highlight w:val="none"/>
                <w:u w:val="single"/>
              </w:rPr>
              <w:t xml:space="preserve"> /   </w:t>
            </w:r>
            <w:r>
              <w:rPr>
                <w:rFonts w:hint="eastAsia"/>
                <w:color w:val="000000"/>
                <w:highlight w:val="none"/>
              </w:rPr>
              <w:t>日</w:t>
            </w:r>
          </w:p>
          <w:p>
            <w:pPr>
              <w:spacing w:line="360" w:lineRule="auto"/>
              <w:rPr>
                <w:color w:val="000000"/>
                <w:highlight w:val="none"/>
                <w:u w:val="single"/>
              </w:rPr>
            </w:pPr>
            <w:r>
              <w:rPr>
                <w:rFonts w:hint="eastAsia"/>
                <w:color w:val="000000"/>
                <w:highlight w:val="none"/>
              </w:rPr>
              <w:t>除上述总工期外，</w:t>
            </w:r>
            <w:r>
              <w:rPr>
                <w:rFonts w:hint="eastAsia"/>
                <w:color w:val="000000"/>
                <w:highlight w:val="none"/>
                <w:u w:val="single"/>
              </w:rPr>
              <w:t>发包人还要求以下区段</w:t>
            </w:r>
          </w:p>
          <w:p>
            <w:pPr>
              <w:spacing w:line="360" w:lineRule="auto"/>
              <w:rPr>
                <w:color w:val="000000"/>
                <w:highlight w:val="none"/>
              </w:rPr>
            </w:pPr>
            <w:r>
              <w:rPr>
                <w:rFonts w:hint="eastAsia"/>
                <w:color w:val="000000"/>
                <w:highlight w:val="none"/>
                <w:u w:val="single"/>
              </w:rPr>
              <w:t>工期：</w:t>
            </w:r>
            <w:r>
              <w:rPr>
                <w:rFonts w:hint="eastAsia"/>
                <w:highlight w:val="none"/>
                <w:u w:val="single"/>
              </w:rPr>
              <w:t>其中</w:t>
            </w:r>
            <w:r>
              <w:rPr>
                <w:rFonts w:hint="eastAsia"/>
                <w:highlight w:val="none"/>
                <w:u w:val="single"/>
                <w:lang w:val="en-US" w:eastAsia="zh-CN"/>
              </w:rPr>
              <w:t>三标</w:t>
            </w:r>
            <w:r>
              <w:rPr>
                <w:rFonts w:hint="eastAsia"/>
                <w:highlight w:val="none"/>
                <w:u w:val="single"/>
              </w:rPr>
              <w:t>段在</w:t>
            </w:r>
            <w:r>
              <w:rPr>
                <w:rFonts w:hint="eastAsia"/>
                <w:highlight w:val="none"/>
                <w:u w:val="single"/>
                <w:lang w:val="en-US" w:eastAsia="zh-CN"/>
              </w:rPr>
              <w:t>2021年8月前</w:t>
            </w:r>
            <w:r>
              <w:rPr>
                <w:rFonts w:hint="eastAsia"/>
                <w:highlight w:val="none"/>
                <w:u w:val="single"/>
              </w:rPr>
              <w:t>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trPr>
        <w:tc>
          <w:tcPr>
            <w:tcW w:w="1139" w:type="dxa"/>
            <w:shd w:val="clear" w:color="auto" w:fill="auto"/>
            <w:vAlign w:val="center"/>
          </w:tcPr>
          <w:p>
            <w:pPr>
              <w:jc w:val="center"/>
              <w:rPr>
                <w:color w:val="000000"/>
                <w:highlight w:val="none"/>
              </w:rPr>
            </w:pPr>
            <w:r>
              <w:rPr>
                <w:rFonts w:hint="eastAsia"/>
                <w:color w:val="000000"/>
                <w:highlight w:val="none"/>
              </w:rPr>
              <w:t>1.3.3</w:t>
            </w:r>
          </w:p>
        </w:tc>
        <w:tc>
          <w:tcPr>
            <w:tcW w:w="3447" w:type="dxa"/>
            <w:gridSpan w:val="4"/>
            <w:shd w:val="clear" w:color="auto" w:fill="auto"/>
            <w:vAlign w:val="center"/>
          </w:tcPr>
          <w:p>
            <w:pPr>
              <w:rPr>
                <w:color w:val="000000"/>
                <w:highlight w:val="none"/>
              </w:rPr>
            </w:pPr>
            <w:r>
              <w:rPr>
                <w:rFonts w:hint="eastAsia"/>
                <w:color w:val="000000"/>
                <w:highlight w:val="none"/>
              </w:rPr>
              <w:t>质量要求</w:t>
            </w:r>
          </w:p>
        </w:tc>
        <w:tc>
          <w:tcPr>
            <w:tcW w:w="4031" w:type="dxa"/>
            <w:shd w:val="clear" w:color="auto" w:fill="auto"/>
            <w:vAlign w:val="center"/>
          </w:tcPr>
          <w:p>
            <w:pPr>
              <w:spacing w:line="312" w:lineRule="auto"/>
              <w:rPr>
                <w:color w:val="000000"/>
                <w:highlight w:val="none"/>
              </w:rPr>
            </w:pPr>
            <w:r>
              <w:rPr>
                <w:rFonts w:hint="eastAsia"/>
                <w:color w:val="000000"/>
                <w:highlight w:val="none"/>
              </w:rPr>
              <w:t>质量标准：合格</w:t>
            </w:r>
          </w:p>
          <w:p>
            <w:pPr>
              <w:spacing w:line="312" w:lineRule="auto"/>
              <w:rPr>
                <w:color w:val="000000"/>
                <w:highlight w:val="none"/>
              </w:rPr>
            </w:pPr>
            <w:r>
              <w:rPr>
                <w:rFonts w:hint="eastAsia"/>
                <w:color w:val="000000"/>
                <w:highlight w:val="none"/>
              </w:rPr>
              <w:t>关于质量要求的详细说明见第七章“技术标准和要求”。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1139" w:type="dxa"/>
            <w:shd w:val="clear" w:color="auto" w:fill="auto"/>
            <w:vAlign w:val="center"/>
          </w:tcPr>
          <w:p>
            <w:pPr>
              <w:jc w:val="center"/>
              <w:rPr>
                <w:color w:val="000000"/>
                <w:highlight w:val="none"/>
              </w:rPr>
            </w:pPr>
            <w:r>
              <w:rPr>
                <w:rFonts w:hint="eastAsia"/>
                <w:color w:val="000000"/>
                <w:highlight w:val="none"/>
              </w:rPr>
              <w:t>1.4.1</w:t>
            </w:r>
          </w:p>
        </w:tc>
        <w:tc>
          <w:tcPr>
            <w:tcW w:w="3447" w:type="dxa"/>
            <w:gridSpan w:val="4"/>
            <w:shd w:val="clear" w:color="auto" w:fill="auto"/>
            <w:vAlign w:val="center"/>
          </w:tcPr>
          <w:p>
            <w:pPr>
              <w:rPr>
                <w:color w:val="000000"/>
                <w:highlight w:val="none"/>
              </w:rPr>
            </w:pPr>
            <w:r>
              <w:rPr>
                <w:rFonts w:hint="eastAsia"/>
                <w:color w:val="000000"/>
                <w:highlight w:val="none"/>
              </w:rPr>
              <w:t>投标人资质条件、能力和信誉</w:t>
            </w:r>
          </w:p>
        </w:tc>
        <w:tc>
          <w:tcPr>
            <w:tcW w:w="4031" w:type="dxa"/>
            <w:shd w:val="clear" w:color="auto" w:fill="auto"/>
            <w:vAlign w:val="center"/>
          </w:tcPr>
          <w:p>
            <w:pPr>
              <w:spacing w:line="312" w:lineRule="auto"/>
              <w:rPr>
                <w:color w:val="000000"/>
                <w:highlight w:val="none"/>
              </w:rPr>
            </w:pPr>
            <w:r>
              <w:rPr>
                <w:rFonts w:hint="eastAsia"/>
                <w:b/>
                <w:color w:val="000000"/>
                <w:highlight w:val="none"/>
                <w:lang w:val="en-US" w:eastAsia="zh-CN"/>
              </w:rPr>
              <w:t>一、</w:t>
            </w:r>
            <w:r>
              <w:rPr>
                <w:rFonts w:hint="eastAsia"/>
                <w:b/>
                <w:color w:val="000000"/>
                <w:highlight w:val="none"/>
              </w:rPr>
              <w:t>资质条件</w:t>
            </w:r>
            <w:r>
              <w:rPr>
                <w:rFonts w:hint="eastAsia"/>
                <w:color w:val="000000"/>
                <w:highlight w:val="none"/>
              </w:rPr>
              <w:t>：</w:t>
            </w:r>
            <w:r>
              <w:rPr>
                <w:szCs w:val="21"/>
                <w:highlight w:val="none"/>
                <w:u w:val="single"/>
              </w:rPr>
              <w:t>市政公用工程总承包一级</w:t>
            </w:r>
            <w:r>
              <w:rPr>
                <w:rFonts w:hint="eastAsia"/>
                <w:szCs w:val="21"/>
                <w:highlight w:val="none"/>
                <w:u w:val="single"/>
              </w:rPr>
              <w:t>及以上</w:t>
            </w:r>
            <w:r>
              <w:rPr>
                <w:szCs w:val="21"/>
                <w:highlight w:val="none"/>
                <w:u w:val="single"/>
              </w:rPr>
              <w:t>资质</w:t>
            </w:r>
            <w:r>
              <w:rPr>
                <w:rFonts w:hint="eastAsia"/>
                <w:szCs w:val="21"/>
                <w:highlight w:val="none"/>
                <w:u w:val="single"/>
              </w:rPr>
              <w:t>或</w:t>
            </w:r>
            <w:r>
              <w:rPr>
                <w:szCs w:val="21"/>
                <w:highlight w:val="none"/>
                <w:u w:val="single"/>
              </w:rPr>
              <w:t>铁路铺轨架梁工程专业承包壹级资质</w:t>
            </w:r>
            <w:r>
              <w:rPr>
                <w:rFonts w:hint="eastAsia"/>
                <w:color w:val="000000"/>
                <w:highlight w:val="none"/>
              </w:rPr>
              <w:t>；提供资质证书复印件加盖公章。</w:t>
            </w:r>
          </w:p>
          <w:p>
            <w:pPr>
              <w:spacing w:line="312" w:lineRule="auto"/>
              <w:rPr>
                <w:szCs w:val="21"/>
                <w:highlight w:val="none"/>
              </w:rPr>
            </w:pPr>
            <w:r>
              <w:rPr>
                <w:rFonts w:hint="eastAsia"/>
                <w:b/>
                <w:color w:val="000000"/>
                <w:highlight w:val="none"/>
                <w:lang w:val="en-US" w:eastAsia="zh-CN"/>
              </w:rPr>
              <w:t>二、</w:t>
            </w:r>
            <w:r>
              <w:rPr>
                <w:rFonts w:hint="eastAsia"/>
                <w:b/>
                <w:color w:val="000000"/>
                <w:highlight w:val="none"/>
              </w:rPr>
              <w:t>财务要求：</w:t>
            </w:r>
            <w:r>
              <w:rPr>
                <w:rFonts w:hint="eastAsia"/>
                <w:color w:val="000000"/>
                <w:highlight w:val="none"/>
              </w:rPr>
              <w:t>近</w:t>
            </w:r>
            <w:r>
              <w:rPr>
                <w:rFonts w:hint="eastAsia"/>
                <w:szCs w:val="21"/>
                <w:highlight w:val="none"/>
                <w:lang w:val="en-US" w:eastAsia="zh-CN"/>
              </w:rPr>
              <w:t>3</w:t>
            </w:r>
            <w:r>
              <w:rPr>
                <w:szCs w:val="21"/>
                <w:highlight w:val="none"/>
              </w:rPr>
              <w:t>年（201</w:t>
            </w:r>
            <w:r>
              <w:rPr>
                <w:rFonts w:hint="eastAsia"/>
                <w:szCs w:val="21"/>
                <w:highlight w:val="none"/>
                <w:lang w:val="en-US" w:eastAsia="zh-CN"/>
              </w:rPr>
              <w:t>7</w:t>
            </w:r>
            <w:r>
              <w:rPr>
                <w:rFonts w:hint="eastAsia"/>
                <w:szCs w:val="21"/>
                <w:highlight w:val="none"/>
              </w:rPr>
              <w:t>年-</w:t>
            </w:r>
            <w:r>
              <w:rPr>
                <w:szCs w:val="21"/>
                <w:highlight w:val="none"/>
              </w:rPr>
              <w:t>2019</w:t>
            </w:r>
            <w:r>
              <w:rPr>
                <w:rFonts w:hint="eastAsia"/>
                <w:szCs w:val="21"/>
                <w:highlight w:val="none"/>
              </w:rPr>
              <w:t>年</w:t>
            </w:r>
            <w:r>
              <w:rPr>
                <w:szCs w:val="21"/>
                <w:highlight w:val="none"/>
              </w:rPr>
              <w:t>）</w:t>
            </w:r>
            <w:r>
              <w:rPr>
                <w:rFonts w:hint="eastAsia"/>
                <w:szCs w:val="21"/>
                <w:highlight w:val="none"/>
              </w:rPr>
              <w:t>财务无亏损，提供</w:t>
            </w:r>
            <w:r>
              <w:rPr>
                <w:rFonts w:hint="eastAsia"/>
                <w:szCs w:val="21"/>
                <w:highlight w:val="none"/>
                <w:lang w:val="en-US" w:eastAsia="zh-CN"/>
              </w:rPr>
              <w:t>2017、2018、2019年</w:t>
            </w:r>
            <w:r>
              <w:rPr>
                <w:rFonts w:hint="eastAsia"/>
                <w:szCs w:val="21"/>
                <w:highlight w:val="none"/>
              </w:rPr>
              <w:t>经审计的财务审计报告</w:t>
            </w:r>
            <w:r>
              <w:rPr>
                <w:rFonts w:hint="eastAsia"/>
                <w:szCs w:val="21"/>
                <w:highlight w:val="none"/>
                <w:lang w:eastAsia="zh-CN"/>
              </w:rPr>
              <w:t>（</w:t>
            </w:r>
            <w:r>
              <w:rPr>
                <w:rFonts w:hint="eastAsia"/>
                <w:szCs w:val="21"/>
                <w:highlight w:val="none"/>
                <w:lang w:val="en-US" w:eastAsia="zh-CN"/>
              </w:rPr>
              <w:t>仅需提供审计报告页、资产负债表、现金流量表</w:t>
            </w:r>
            <w:r>
              <w:rPr>
                <w:rFonts w:hint="eastAsia"/>
                <w:szCs w:val="21"/>
                <w:highlight w:val="none"/>
                <w:lang w:eastAsia="zh-CN"/>
              </w:rPr>
              <w:t>）</w:t>
            </w:r>
            <w:r>
              <w:rPr>
                <w:rFonts w:hint="eastAsia"/>
                <w:szCs w:val="21"/>
                <w:highlight w:val="none"/>
              </w:rPr>
              <w:t>复印件加盖公章。</w:t>
            </w:r>
          </w:p>
          <w:p>
            <w:pPr>
              <w:spacing w:line="312" w:lineRule="auto"/>
              <w:rPr>
                <w:rFonts w:hint="eastAsia"/>
                <w:szCs w:val="21"/>
                <w:highlight w:val="none"/>
                <w:u w:val="single"/>
                <w:lang w:eastAsia="zh-CN"/>
              </w:rPr>
            </w:pPr>
            <w:r>
              <w:rPr>
                <w:rFonts w:hint="eastAsia"/>
                <w:b/>
                <w:color w:val="000000"/>
                <w:highlight w:val="none"/>
                <w:lang w:val="en-US" w:eastAsia="zh-CN"/>
              </w:rPr>
              <w:t>三、</w:t>
            </w:r>
            <w:r>
              <w:rPr>
                <w:rFonts w:hint="eastAsia"/>
                <w:b/>
                <w:color w:val="000000"/>
                <w:highlight w:val="none"/>
              </w:rPr>
              <w:t>业绩要求：</w:t>
            </w:r>
            <w:r>
              <w:rPr>
                <w:rFonts w:hint="eastAsia"/>
                <w:highlight w:val="none"/>
              </w:rPr>
              <w:t>近</w:t>
            </w:r>
            <w:r>
              <w:rPr>
                <w:szCs w:val="21"/>
                <w:highlight w:val="none"/>
              </w:rPr>
              <w:t>8年（</w:t>
            </w:r>
            <w:r>
              <w:rPr>
                <w:szCs w:val="21"/>
                <w:highlight w:val="none"/>
                <w:u w:val="single"/>
              </w:rPr>
              <w:t>201</w:t>
            </w:r>
            <w:r>
              <w:rPr>
                <w:rFonts w:hint="eastAsia"/>
                <w:szCs w:val="21"/>
                <w:highlight w:val="none"/>
                <w:u w:val="single"/>
              </w:rPr>
              <w:t>3年1月</w:t>
            </w:r>
            <w:r>
              <w:rPr>
                <w:szCs w:val="21"/>
                <w:highlight w:val="none"/>
                <w:u w:val="single"/>
              </w:rPr>
              <w:t>-202</w:t>
            </w:r>
            <w:r>
              <w:rPr>
                <w:rFonts w:hint="eastAsia"/>
                <w:szCs w:val="21"/>
                <w:highlight w:val="none"/>
                <w:u w:val="single"/>
              </w:rPr>
              <w:t>1年1月</w:t>
            </w:r>
            <w:r>
              <w:rPr>
                <w:szCs w:val="21"/>
                <w:highlight w:val="none"/>
                <w:u w:val="single"/>
              </w:rPr>
              <w:t>）</w:t>
            </w:r>
            <w:r>
              <w:rPr>
                <w:rFonts w:hint="eastAsia"/>
                <w:color w:val="000000"/>
                <w:szCs w:val="21"/>
                <w:highlight w:val="none"/>
                <w:u w:val="single"/>
              </w:rPr>
              <w:t>至少完成过</w:t>
            </w:r>
            <w:r>
              <w:rPr>
                <w:rFonts w:hint="eastAsia"/>
                <w:szCs w:val="21"/>
                <w:highlight w:val="none"/>
                <w:u w:val="single"/>
              </w:rPr>
              <w:t>1项</w:t>
            </w:r>
            <w:r>
              <w:rPr>
                <w:szCs w:val="21"/>
                <w:highlight w:val="none"/>
                <w:u w:val="single"/>
              </w:rPr>
              <w:t>类似项目工程业绩（</w:t>
            </w:r>
            <w:r>
              <w:rPr>
                <w:rFonts w:hint="eastAsia" w:ascii="宋体" w:eastAsia="宋体" w:cs="宋体"/>
                <w:color w:val="auto"/>
                <w:highlight w:val="none"/>
                <w:u w:val="single"/>
              </w:rPr>
              <w:t>类似业绩是指：现代有轨电车（仅指钢轮钢轨）、地铁、轻轨（不含单轨）项目的轨道工程业绩</w:t>
            </w:r>
            <w:r>
              <w:rPr>
                <w:rFonts w:hint="eastAsia"/>
                <w:szCs w:val="21"/>
                <w:highlight w:val="none"/>
                <w:u w:val="single"/>
              </w:rPr>
              <w:t>）</w:t>
            </w:r>
          </w:p>
          <w:p>
            <w:pPr>
              <w:spacing w:line="312" w:lineRule="auto"/>
              <w:rPr>
                <w:rFonts w:hint="eastAsia" w:eastAsia="宋体"/>
                <w:szCs w:val="21"/>
                <w:highlight w:val="none"/>
                <w:lang w:eastAsia="zh-CN"/>
              </w:rPr>
            </w:pPr>
            <w:r>
              <w:rPr>
                <w:rFonts w:hint="eastAsia"/>
                <w:szCs w:val="21"/>
                <w:highlight w:val="none"/>
                <w:u w:val="none"/>
                <w:lang w:eastAsia="zh-CN"/>
              </w:rPr>
              <w:t>（</w:t>
            </w:r>
            <w:r>
              <w:rPr>
                <w:rFonts w:hint="eastAsia"/>
                <w:szCs w:val="21"/>
                <w:highlight w:val="none"/>
              </w:rPr>
              <w:t>要求</w:t>
            </w:r>
            <w:r>
              <w:rPr>
                <w:rFonts w:hint="eastAsia"/>
                <w:szCs w:val="21"/>
                <w:highlight w:val="none"/>
                <w:lang w:val="en-US" w:eastAsia="zh-CN"/>
              </w:rPr>
              <w:t>提供：1、</w:t>
            </w:r>
            <w:r>
              <w:rPr>
                <w:rFonts w:hint="eastAsia"/>
                <w:szCs w:val="21"/>
                <w:highlight w:val="none"/>
              </w:rPr>
              <w:t>中标通知书</w:t>
            </w:r>
            <w:r>
              <w:rPr>
                <w:rFonts w:hint="eastAsia"/>
                <w:szCs w:val="21"/>
                <w:highlight w:val="none"/>
                <w:lang w:val="en-US" w:eastAsia="zh-CN"/>
              </w:rPr>
              <w:t>或</w:t>
            </w:r>
            <w:r>
              <w:rPr>
                <w:rFonts w:hint="eastAsia"/>
                <w:szCs w:val="21"/>
                <w:highlight w:val="none"/>
              </w:rPr>
              <w:t>合同</w:t>
            </w:r>
            <w:r>
              <w:rPr>
                <w:rFonts w:hint="eastAsia"/>
                <w:szCs w:val="21"/>
                <w:highlight w:val="none"/>
                <w:lang w:eastAsia="zh-CN"/>
              </w:rPr>
              <w:t>；</w:t>
            </w:r>
          </w:p>
          <w:p>
            <w:pPr>
              <w:numPr>
                <w:ilvl w:val="0"/>
                <w:numId w:val="2"/>
              </w:numPr>
              <w:spacing w:line="312" w:lineRule="auto"/>
              <w:rPr>
                <w:rFonts w:hint="eastAsia"/>
                <w:szCs w:val="21"/>
                <w:highlight w:val="none"/>
                <w:lang w:eastAsia="zh-CN"/>
              </w:rPr>
            </w:pPr>
            <w:r>
              <w:rPr>
                <w:rFonts w:hint="eastAsia"/>
                <w:szCs w:val="21"/>
                <w:highlight w:val="none"/>
              </w:rPr>
              <w:t>可供查询的网址</w:t>
            </w:r>
            <w:r>
              <w:rPr>
                <w:rFonts w:hint="eastAsia"/>
                <w:szCs w:val="21"/>
                <w:highlight w:val="none"/>
                <w:lang w:val="en-US" w:eastAsia="zh-CN"/>
              </w:rPr>
              <w:t>与</w:t>
            </w:r>
            <w:r>
              <w:rPr>
                <w:rFonts w:hint="eastAsia"/>
                <w:szCs w:val="21"/>
                <w:highlight w:val="none"/>
              </w:rPr>
              <w:t>截图</w:t>
            </w:r>
            <w:r>
              <w:rPr>
                <w:rFonts w:hint="eastAsia"/>
                <w:szCs w:val="21"/>
                <w:highlight w:val="none"/>
                <w:lang w:eastAsia="zh-CN"/>
              </w:rPr>
              <w:t>；</w:t>
            </w:r>
          </w:p>
          <w:p>
            <w:pPr>
              <w:numPr>
                <w:ilvl w:val="0"/>
                <w:numId w:val="2"/>
              </w:numPr>
              <w:spacing w:line="312" w:lineRule="auto"/>
              <w:rPr>
                <w:rFonts w:hint="eastAsia" w:eastAsia="宋体"/>
                <w:szCs w:val="21"/>
                <w:highlight w:val="none"/>
                <w:lang w:eastAsia="zh-CN"/>
              </w:rPr>
            </w:pPr>
            <w:r>
              <w:rPr>
                <w:rFonts w:hint="eastAsia"/>
                <w:szCs w:val="21"/>
                <w:highlight w:val="none"/>
              </w:rPr>
              <w:t>竣</w:t>
            </w:r>
            <w:r>
              <w:rPr>
                <w:rFonts w:hint="eastAsia"/>
                <w:szCs w:val="21"/>
                <w:highlight w:val="none"/>
                <w:lang w:eastAsia="zh-CN"/>
              </w:rPr>
              <w:t>（</w:t>
            </w:r>
            <w:r>
              <w:rPr>
                <w:rFonts w:hint="eastAsia"/>
                <w:szCs w:val="21"/>
                <w:highlight w:val="none"/>
                <w:lang w:val="en-US" w:eastAsia="zh-CN"/>
              </w:rPr>
              <w:t>交</w:t>
            </w:r>
            <w:r>
              <w:rPr>
                <w:rFonts w:hint="eastAsia"/>
                <w:szCs w:val="21"/>
                <w:highlight w:val="none"/>
                <w:lang w:eastAsia="zh-CN"/>
              </w:rPr>
              <w:t>）</w:t>
            </w:r>
            <w:r>
              <w:rPr>
                <w:rFonts w:hint="eastAsia"/>
                <w:szCs w:val="21"/>
                <w:highlight w:val="none"/>
              </w:rPr>
              <w:t>工验收文件</w:t>
            </w:r>
            <w:r>
              <w:rPr>
                <w:rFonts w:hint="eastAsia"/>
                <w:szCs w:val="21"/>
                <w:highlight w:val="none"/>
                <w:lang w:eastAsia="zh-CN"/>
              </w:rPr>
              <w:t>；</w:t>
            </w:r>
          </w:p>
          <w:p>
            <w:pPr>
              <w:numPr>
                <w:ilvl w:val="0"/>
                <w:numId w:val="2"/>
              </w:numPr>
              <w:spacing w:line="312" w:lineRule="auto"/>
              <w:rPr>
                <w:rFonts w:hint="eastAsia" w:eastAsia="宋体"/>
                <w:szCs w:val="21"/>
                <w:highlight w:val="none"/>
                <w:lang w:eastAsia="zh-CN"/>
              </w:rPr>
            </w:pPr>
            <w:r>
              <w:rPr>
                <w:rFonts w:hint="eastAsia"/>
                <w:szCs w:val="21"/>
                <w:highlight w:val="none"/>
              </w:rPr>
              <w:t>试运营基本条件评审报告。提供</w:t>
            </w:r>
            <w:r>
              <w:rPr>
                <w:rFonts w:hint="eastAsia"/>
                <w:szCs w:val="21"/>
                <w:highlight w:val="none"/>
                <w:lang w:val="en-US" w:eastAsia="zh-CN"/>
              </w:rPr>
              <w:t>的</w:t>
            </w:r>
            <w:r>
              <w:rPr>
                <w:rFonts w:hint="eastAsia"/>
                <w:szCs w:val="21"/>
                <w:highlight w:val="none"/>
              </w:rPr>
              <w:t>证明材料复印件加盖公章</w:t>
            </w:r>
            <w:r>
              <w:rPr>
                <w:rFonts w:hint="eastAsia"/>
                <w:szCs w:val="21"/>
                <w:highlight w:val="none"/>
                <w:lang w:eastAsia="zh-CN"/>
              </w:rPr>
              <w:t>）</w:t>
            </w:r>
          </w:p>
          <w:p>
            <w:pPr>
              <w:spacing w:line="312" w:lineRule="auto"/>
              <w:rPr>
                <w:color w:val="000000"/>
                <w:highlight w:val="none"/>
              </w:rPr>
            </w:pPr>
            <w:r>
              <w:rPr>
                <w:rFonts w:hint="eastAsia"/>
                <w:b/>
                <w:bCs/>
                <w:color w:val="000000"/>
                <w:highlight w:val="none"/>
                <w:lang w:val="en-US" w:eastAsia="zh-CN"/>
              </w:rPr>
              <w:t>4、</w:t>
            </w:r>
            <w:r>
              <w:rPr>
                <w:rFonts w:hint="eastAsia"/>
                <w:b/>
                <w:bCs/>
                <w:color w:val="000000"/>
                <w:highlight w:val="none"/>
              </w:rPr>
              <w:t>信誉要求：</w:t>
            </w:r>
            <w:r>
              <w:rPr>
                <w:rFonts w:hint="eastAsia"/>
                <w:color w:val="000000"/>
                <w:highlight w:val="none"/>
              </w:rPr>
              <w:t>至投标截止时，未被信用中国列入失信被执行人</w:t>
            </w:r>
            <w:r>
              <w:rPr>
                <w:rFonts w:hint="eastAsia"/>
                <w:color w:val="000000"/>
                <w:highlight w:val="none"/>
                <w:lang w:eastAsia="zh-CN"/>
              </w:rPr>
              <w:t>，</w:t>
            </w:r>
            <w:r>
              <w:rPr>
                <w:rFonts w:hint="eastAsia"/>
                <w:color w:val="000000"/>
                <w:highlight w:val="none"/>
              </w:rPr>
              <w:t>裁判文书网上</w:t>
            </w:r>
            <w:r>
              <w:rPr>
                <w:rFonts w:hint="eastAsia"/>
                <w:color w:val="000000"/>
                <w:highlight w:val="none"/>
                <w:lang w:val="en-US" w:eastAsia="zh-CN"/>
              </w:rPr>
              <w:t>无</w:t>
            </w:r>
            <w:r>
              <w:rPr>
                <w:rFonts w:hint="eastAsia"/>
                <w:color w:val="000000"/>
                <w:highlight w:val="none"/>
              </w:rPr>
              <w:t>行贿</w:t>
            </w:r>
            <w:r>
              <w:rPr>
                <w:rFonts w:hint="eastAsia"/>
                <w:color w:val="000000"/>
                <w:highlight w:val="none"/>
                <w:lang w:val="en-US" w:eastAsia="zh-CN"/>
              </w:rPr>
              <w:t>犯罪记录</w:t>
            </w:r>
            <w:r>
              <w:rPr>
                <w:rFonts w:hint="eastAsia"/>
                <w:color w:val="000000"/>
                <w:highlight w:val="none"/>
              </w:rPr>
              <w:t>。提供信用中国</w:t>
            </w:r>
            <w:r>
              <w:rPr>
                <w:rFonts w:hint="eastAsia"/>
                <w:color w:val="000000"/>
                <w:highlight w:val="none"/>
                <w:lang w:val="en-US" w:eastAsia="zh-CN"/>
              </w:rPr>
              <w:t>及</w:t>
            </w:r>
            <w:r>
              <w:rPr>
                <w:rFonts w:hint="eastAsia"/>
                <w:color w:val="000000"/>
                <w:highlight w:val="none"/>
              </w:rPr>
              <w:t>裁判文书网查询截图加盖公章。</w:t>
            </w:r>
          </w:p>
          <w:p>
            <w:pPr>
              <w:spacing w:line="312" w:lineRule="auto"/>
              <w:rPr>
                <w:rFonts w:hint="eastAsia" w:eastAsia="宋体"/>
                <w:color w:val="000000"/>
                <w:highlight w:val="none"/>
                <w:lang w:eastAsia="zh-CN"/>
              </w:rPr>
            </w:pPr>
            <w:r>
              <w:rPr>
                <w:rFonts w:hint="eastAsia"/>
                <w:b/>
                <w:bCs/>
                <w:color w:val="000000"/>
                <w:highlight w:val="none"/>
                <w:lang w:val="en-US" w:eastAsia="zh-CN"/>
              </w:rPr>
              <w:t>5、</w:t>
            </w:r>
            <w:r>
              <w:rPr>
                <w:rFonts w:hint="eastAsia"/>
                <w:b/>
                <w:bCs/>
                <w:color w:val="000000"/>
                <w:highlight w:val="none"/>
              </w:rPr>
              <w:t>项目经理资格：</w:t>
            </w:r>
            <w:r>
              <w:rPr>
                <w:rFonts w:hint="eastAsia"/>
                <w:szCs w:val="21"/>
                <w:highlight w:val="none"/>
                <w:u w:val="single"/>
              </w:rPr>
              <w:t>市政公用工程或铁路工程</w:t>
            </w:r>
            <w:r>
              <w:rPr>
                <w:rFonts w:hint="eastAsia"/>
                <w:color w:val="000000"/>
                <w:highlight w:val="none"/>
                <w:u w:val="single"/>
              </w:rPr>
              <w:t>专业一级注册建造师执业资格</w:t>
            </w:r>
            <w:r>
              <w:rPr>
                <w:rFonts w:hint="eastAsia"/>
                <w:color w:val="000000"/>
                <w:highlight w:val="none"/>
              </w:rPr>
              <w:t>，具备有效的</w:t>
            </w:r>
            <w:r>
              <w:rPr>
                <w:rFonts w:hint="eastAsia"/>
                <w:color w:val="000000"/>
                <w:highlight w:val="none"/>
                <w:u w:val="single"/>
              </w:rPr>
              <w:t>安全生产考核合格证书（B本）</w:t>
            </w:r>
            <w:r>
              <w:rPr>
                <w:rFonts w:hint="eastAsia"/>
                <w:color w:val="000000"/>
                <w:highlight w:val="none"/>
              </w:rPr>
              <w:t>，且不得担任其他在施建设工程项目的项目经理（提供相关证明复印件</w:t>
            </w:r>
            <w:r>
              <w:rPr>
                <w:rFonts w:hint="eastAsia"/>
                <w:color w:val="000000"/>
                <w:highlight w:val="none"/>
                <w:lang w:eastAsia="zh-CN"/>
              </w:rPr>
              <w:t>、</w:t>
            </w:r>
            <w:r>
              <w:rPr>
                <w:rFonts w:hint="eastAsia"/>
                <w:color w:val="000000"/>
                <w:highlight w:val="none"/>
                <w:lang w:val="en-US" w:eastAsia="zh-CN"/>
              </w:rPr>
              <w:t>承诺函</w:t>
            </w:r>
            <w:r>
              <w:rPr>
                <w:rFonts w:hint="eastAsia"/>
                <w:color w:val="000000"/>
                <w:highlight w:val="none"/>
              </w:rPr>
              <w:t>加盖公章）。</w:t>
            </w:r>
          </w:p>
          <w:p>
            <w:pPr>
              <w:spacing w:line="312" w:lineRule="auto"/>
              <w:rPr>
                <w:color w:val="000000"/>
                <w:highlight w:val="none"/>
              </w:rPr>
            </w:pPr>
            <w:r>
              <w:rPr>
                <w:rFonts w:hint="eastAsia"/>
                <w:color w:val="000000"/>
                <w:highlight w:val="none"/>
              </w:rPr>
              <w:t>其他要求：无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0" w:hRule="atLeast"/>
        </w:trPr>
        <w:tc>
          <w:tcPr>
            <w:tcW w:w="1139" w:type="dxa"/>
            <w:shd w:val="clear" w:color="auto" w:fill="auto"/>
            <w:vAlign w:val="center"/>
          </w:tcPr>
          <w:p>
            <w:pPr>
              <w:jc w:val="center"/>
              <w:rPr>
                <w:color w:val="000000"/>
                <w:highlight w:val="none"/>
              </w:rPr>
            </w:pPr>
            <w:r>
              <w:rPr>
                <w:rFonts w:hint="eastAsia"/>
                <w:color w:val="000000"/>
                <w:highlight w:val="none"/>
              </w:rPr>
              <w:t>1.4.2</w:t>
            </w:r>
          </w:p>
        </w:tc>
        <w:tc>
          <w:tcPr>
            <w:tcW w:w="3447" w:type="dxa"/>
            <w:gridSpan w:val="4"/>
            <w:shd w:val="clear" w:color="auto" w:fill="auto"/>
            <w:vAlign w:val="center"/>
          </w:tcPr>
          <w:p>
            <w:pPr>
              <w:rPr>
                <w:color w:val="000000"/>
                <w:highlight w:val="none"/>
              </w:rPr>
            </w:pPr>
            <w:r>
              <w:rPr>
                <w:rFonts w:hint="eastAsia"/>
                <w:color w:val="000000"/>
                <w:highlight w:val="none"/>
              </w:rPr>
              <w:t>是否接受联合体投标</w:t>
            </w:r>
          </w:p>
        </w:tc>
        <w:tc>
          <w:tcPr>
            <w:tcW w:w="4031" w:type="dxa"/>
            <w:shd w:val="clear" w:color="auto" w:fill="auto"/>
            <w:vAlign w:val="center"/>
          </w:tcPr>
          <w:p>
            <w:pPr>
              <w:spacing w:line="312" w:lineRule="auto"/>
              <w:rPr>
                <w:color w:val="000000"/>
                <w:highlight w:val="none"/>
              </w:rPr>
            </w:pPr>
            <w:r>
              <w:rPr>
                <w:rFonts w:hint="eastAsia"/>
                <w:color w:val="000000" w:themeColor="text1"/>
                <w:highlight w:val="black"/>
                <w14:textFill>
                  <w14:solidFill>
                    <w14:schemeClr w14:val="tx1"/>
                  </w14:solidFill>
                </w14:textFill>
              </w:rPr>
              <w:sym w:font="Wingdings 2" w:char="0052"/>
            </w:r>
            <w:r>
              <w:rPr>
                <w:rFonts w:hint="eastAsia"/>
                <w:color w:val="000000"/>
                <w:highlight w:val="none"/>
              </w:rPr>
              <w:t>不接受</w:t>
            </w:r>
          </w:p>
          <w:p>
            <w:pPr>
              <w:spacing w:line="312" w:lineRule="auto"/>
              <w:rPr>
                <w:color w:val="000000"/>
                <w:highlight w:val="none"/>
              </w:rPr>
            </w:pPr>
            <w:r>
              <w:rPr>
                <w:rFonts w:hint="eastAsia"/>
                <w:color w:val="000000"/>
                <w:highlight w:val="none"/>
              </w:rPr>
              <w:t>□接受，应满足下列要求：</w:t>
            </w:r>
          </w:p>
          <w:p>
            <w:pPr>
              <w:spacing w:line="312" w:lineRule="auto"/>
              <w:rPr>
                <w:color w:val="000000"/>
                <w:highlight w:val="none"/>
              </w:rPr>
            </w:pPr>
            <w:r>
              <w:rPr>
                <w:rFonts w:hint="eastAsia"/>
                <w:color w:val="000000"/>
                <w:highlight w:val="none"/>
              </w:rPr>
              <w:t>联合体资质按照联合体协议约定的分工认定。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1139" w:type="dxa"/>
            <w:shd w:val="clear" w:color="auto" w:fill="auto"/>
            <w:vAlign w:val="center"/>
          </w:tcPr>
          <w:p>
            <w:pPr>
              <w:jc w:val="center"/>
              <w:rPr>
                <w:color w:val="000000"/>
                <w:highlight w:val="none"/>
              </w:rPr>
            </w:pPr>
            <w:r>
              <w:rPr>
                <w:rFonts w:hint="eastAsia"/>
                <w:color w:val="000000"/>
                <w:highlight w:val="none"/>
              </w:rPr>
              <w:t>1.9.1</w:t>
            </w:r>
          </w:p>
        </w:tc>
        <w:tc>
          <w:tcPr>
            <w:tcW w:w="3447" w:type="dxa"/>
            <w:gridSpan w:val="4"/>
            <w:shd w:val="clear" w:color="auto" w:fill="auto"/>
            <w:vAlign w:val="center"/>
          </w:tcPr>
          <w:p>
            <w:pPr>
              <w:rPr>
                <w:color w:val="000000"/>
                <w:highlight w:val="none"/>
              </w:rPr>
            </w:pPr>
            <w:r>
              <w:rPr>
                <w:rFonts w:hint="eastAsia"/>
                <w:color w:val="000000"/>
                <w:highlight w:val="none"/>
              </w:rPr>
              <w:t>踏勘现场</w:t>
            </w:r>
          </w:p>
        </w:tc>
        <w:tc>
          <w:tcPr>
            <w:tcW w:w="4031" w:type="dxa"/>
            <w:shd w:val="clear" w:color="auto" w:fill="auto"/>
            <w:vAlign w:val="center"/>
          </w:tcPr>
          <w:p>
            <w:pPr>
              <w:spacing w:line="312" w:lineRule="auto"/>
              <w:rPr>
                <w:color w:val="000000"/>
                <w:highlight w:val="none"/>
              </w:rPr>
            </w:pPr>
            <w:r>
              <w:rPr>
                <w:rFonts w:hint="eastAsia"/>
                <w:color w:val="000000"/>
                <w:highlight w:val="black"/>
              </w:rPr>
              <w:sym w:font="Wingdings 2" w:char="0052"/>
            </w:r>
            <w:r>
              <w:rPr>
                <w:rFonts w:hint="eastAsia"/>
                <w:color w:val="000000"/>
                <w:highlight w:val="none"/>
              </w:rPr>
              <w:t>不组织</w:t>
            </w:r>
          </w:p>
          <w:p>
            <w:pPr>
              <w:spacing w:line="312" w:lineRule="auto"/>
              <w:rPr>
                <w:color w:val="000000"/>
                <w:highlight w:val="none"/>
              </w:rPr>
            </w:pPr>
            <w:r>
              <w:rPr>
                <w:rFonts w:hint="eastAsia"/>
                <w:color w:val="000000"/>
                <w:highlight w:val="none"/>
              </w:rPr>
              <w:t>□组织，踏勘时间：</w:t>
            </w:r>
          </w:p>
          <w:p>
            <w:pPr>
              <w:spacing w:line="312" w:lineRule="auto"/>
              <w:rPr>
                <w:color w:val="000000"/>
                <w:highlight w:val="none"/>
              </w:rPr>
            </w:pPr>
            <w:r>
              <w:rPr>
                <w:rFonts w:hint="eastAsia"/>
                <w:color w:val="000000"/>
                <w:highlight w:val="none"/>
              </w:rPr>
              <w:t xml:space="preserve">        踏勘集中地点：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2" w:hRule="atLeast"/>
        </w:trPr>
        <w:tc>
          <w:tcPr>
            <w:tcW w:w="1139" w:type="dxa"/>
            <w:shd w:val="clear" w:color="auto" w:fill="auto"/>
            <w:vAlign w:val="center"/>
          </w:tcPr>
          <w:p>
            <w:pPr>
              <w:jc w:val="center"/>
              <w:rPr>
                <w:color w:val="000000"/>
                <w:highlight w:val="none"/>
              </w:rPr>
            </w:pPr>
            <w:r>
              <w:rPr>
                <w:rFonts w:hint="eastAsia"/>
                <w:color w:val="000000"/>
                <w:highlight w:val="none"/>
              </w:rPr>
              <w:t>1.10.1</w:t>
            </w:r>
          </w:p>
        </w:tc>
        <w:tc>
          <w:tcPr>
            <w:tcW w:w="3447" w:type="dxa"/>
            <w:gridSpan w:val="4"/>
            <w:shd w:val="clear" w:color="auto" w:fill="auto"/>
            <w:vAlign w:val="center"/>
          </w:tcPr>
          <w:p>
            <w:pPr>
              <w:rPr>
                <w:color w:val="000000"/>
                <w:highlight w:val="none"/>
              </w:rPr>
            </w:pPr>
            <w:r>
              <w:rPr>
                <w:rFonts w:hint="eastAsia"/>
                <w:color w:val="000000"/>
                <w:highlight w:val="none"/>
              </w:rPr>
              <w:t>投标预备会</w:t>
            </w:r>
          </w:p>
        </w:tc>
        <w:tc>
          <w:tcPr>
            <w:tcW w:w="4031" w:type="dxa"/>
            <w:shd w:val="clear" w:color="auto" w:fill="auto"/>
            <w:vAlign w:val="center"/>
          </w:tcPr>
          <w:p>
            <w:pPr>
              <w:spacing w:line="312" w:lineRule="auto"/>
              <w:rPr>
                <w:color w:val="000000"/>
                <w:highlight w:val="none"/>
              </w:rPr>
            </w:pPr>
            <w:r>
              <w:rPr>
                <w:rFonts w:hint="eastAsia"/>
                <w:color w:val="000000"/>
                <w:highlight w:val="black"/>
              </w:rPr>
              <w:sym w:font="Wingdings 2" w:char="0052"/>
            </w:r>
            <w:r>
              <w:rPr>
                <w:rFonts w:hint="eastAsia"/>
                <w:color w:val="000000"/>
                <w:highlight w:val="none"/>
              </w:rPr>
              <w:t>不召开</w:t>
            </w:r>
          </w:p>
          <w:p>
            <w:pPr>
              <w:spacing w:line="312" w:lineRule="auto"/>
              <w:rPr>
                <w:color w:val="000000"/>
                <w:highlight w:val="none"/>
              </w:rPr>
            </w:pPr>
            <w:r>
              <w:rPr>
                <w:rFonts w:hint="eastAsia"/>
                <w:color w:val="000000"/>
                <w:highlight w:val="none"/>
              </w:rPr>
              <w:t>□召开，召开时间：</w:t>
            </w:r>
          </w:p>
          <w:p>
            <w:pPr>
              <w:spacing w:line="312" w:lineRule="auto"/>
              <w:rPr>
                <w:color w:val="000000"/>
                <w:highlight w:val="none"/>
              </w:rPr>
            </w:pPr>
            <w:r>
              <w:rPr>
                <w:rFonts w:hint="eastAsia"/>
                <w:color w:val="000000"/>
                <w:highlight w:val="none"/>
              </w:rPr>
              <w:t xml:space="preserve">        召开地点：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139" w:type="dxa"/>
            <w:shd w:val="clear" w:color="auto" w:fill="auto"/>
            <w:vAlign w:val="center"/>
          </w:tcPr>
          <w:p>
            <w:pPr>
              <w:jc w:val="center"/>
              <w:rPr>
                <w:color w:val="000000"/>
                <w:highlight w:val="none"/>
              </w:rPr>
            </w:pPr>
            <w:r>
              <w:rPr>
                <w:rFonts w:hint="eastAsia"/>
                <w:color w:val="000000"/>
                <w:highlight w:val="none"/>
              </w:rPr>
              <w:t>1.10.2</w:t>
            </w:r>
          </w:p>
        </w:tc>
        <w:tc>
          <w:tcPr>
            <w:tcW w:w="3447" w:type="dxa"/>
            <w:gridSpan w:val="4"/>
            <w:shd w:val="clear" w:color="auto" w:fill="auto"/>
            <w:vAlign w:val="center"/>
          </w:tcPr>
          <w:p>
            <w:pPr>
              <w:rPr>
                <w:color w:val="000000"/>
                <w:highlight w:val="none"/>
              </w:rPr>
            </w:pPr>
            <w:r>
              <w:rPr>
                <w:rFonts w:hint="eastAsia"/>
                <w:color w:val="000000"/>
                <w:highlight w:val="none"/>
              </w:rPr>
              <w:t>投标人提出问题的截止时间</w:t>
            </w:r>
          </w:p>
        </w:tc>
        <w:tc>
          <w:tcPr>
            <w:tcW w:w="4031" w:type="dxa"/>
            <w:shd w:val="clear" w:color="auto" w:fill="auto"/>
            <w:vAlign w:val="center"/>
          </w:tcPr>
          <w:p>
            <w:pPr>
              <w:spacing w:line="500" w:lineRule="exact"/>
              <w:rPr>
                <w:color w:val="000000"/>
                <w:highlight w:val="none"/>
              </w:rPr>
            </w:pPr>
            <w:r>
              <w:rPr>
                <w:rFonts w:hint="eastAsia"/>
                <w:color w:val="000000"/>
                <w:highlight w:val="none"/>
              </w:rPr>
              <w:t>投标人若对招标文件和相关资料有任何疑问，应在</w:t>
            </w:r>
            <w:r>
              <w:rPr>
                <w:rFonts w:hint="eastAsia"/>
                <w:b/>
                <w:bCs/>
                <w:color w:val="000000"/>
                <w:highlight w:val="none"/>
              </w:rPr>
              <w:t>2021年</w:t>
            </w:r>
            <w:r>
              <w:rPr>
                <w:rFonts w:hint="eastAsia"/>
                <w:b/>
                <w:bCs/>
                <w:color w:val="000000"/>
                <w:highlight w:val="none"/>
                <w:u w:val="single"/>
                <w:lang w:val="en-US" w:eastAsia="zh-CN"/>
              </w:rPr>
              <w:t>2</w:t>
            </w:r>
            <w:r>
              <w:rPr>
                <w:rFonts w:hint="eastAsia"/>
                <w:b/>
                <w:bCs/>
                <w:color w:val="000000"/>
                <w:highlight w:val="none"/>
              </w:rPr>
              <w:t>月</w:t>
            </w:r>
            <w:r>
              <w:rPr>
                <w:rFonts w:hint="eastAsia"/>
                <w:b/>
                <w:bCs/>
                <w:color w:val="000000"/>
                <w:highlight w:val="none"/>
                <w:u w:val="single"/>
                <w:lang w:val="en-US" w:eastAsia="zh-CN"/>
              </w:rPr>
              <w:t>8</w:t>
            </w:r>
            <w:r>
              <w:rPr>
                <w:rFonts w:hint="eastAsia"/>
                <w:b/>
                <w:bCs/>
                <w:color w:val="000000"/>
                <w:highlight w:val="none"/>
              </w:rPr>
              <w:t>日</w:t>
            </w:r>
            <w:r>
              <w:rPr>
                <w:rFonts w:hint="eastAsia"/>
                <w:color w:val="000000"/>
                <w:highlight w:val="none"/>
              </w:rPr>
              <w:t>17:00时前将疑问发送至（</w:t>
            </w:r>
            <w:r>
              <w:rPr>
                <w:rFonts w:hint="eastAsia"/>
                <w:highlight w:val="none"/>
              </w:rPr>
              <w:fldChar w:fldCharType="begin"/>
            </w:r>
            <w:r>
              <w:rPr>
                <w:highlight w:val="none"/>
              </w:rPr>
              <w:instrText xml:space="preserve"> HYPERLINK "mailto:824416280@qq.com" </w:instrText>
            </w:r>
            <w:r>
              <w:rPr>
                <w:rFonts w:hint="eastAsia"/>
                <w:highlight w:val="none"/>
              </w:rPr>
              <w:fldChar w:fldCharType="separate"/>
            </w:r>
            <w:r>
              <w:rPr>
                <w:rFonts w:hint="eastAsia"/>
                <w:color w:val="000000"/>
                <w:highlight w:val="none"/>
              </w:rPr>
              <w:t>824416280@qq.com</w:t>
            </w:r>
            <w:r>
              <w:rPr>
                <w:rFonts w:hint="eastAsia"/>
                <w:color w:val="000000"/>
                <w:highlight w:val="none"/>
              </w:rPr>
              <w:fldChar w:fldCharType="end"/>
            </w:r>
            <w:r>
              <w:rPr>
                <w:rFonts w:hint="eastAsia"/>
                <w:color w:val="000000"/>
                <w:highlight w:val="none"/>
              </w:rPr>
              <w:t>），逾时不予受理。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139" w:type="dxa"/>
            <w:shd w:val="clear" w:color="auto" w:fill="auto"/>
            <w:vAlign w:val="center"/>
          </w:tcPr>
          <w:p>
            <w:pPr>
              <w:jc w:val="center"/>
              <w:rPr>
                <w:color w:val="000000"/>
                <w:highlight w:val="none"/>
              </w:rPr>
            </w:pPr>
            <w:r>
              <w:rPr>
                <w:rFonts w:hint="eastAsia"/>
                <w:color w:val="000000"/>
                <w:highlight w:val="none"/>
              </w:rPr>
              <w:t>1.10.3</w:t>
            </w:r>
          </w:p>
        </w:tc>
        <w:tc>
          <w:tcPr>
            <w:tcW w:w="3447" w:type="dxa"/>
            <w:gridSpan w:val="4"/>
            <w:shd w:val="clear" w:color="auto" w:fill="auto"/>
            <w:vAlign w:val="center"/>
          </w:tcPr>
          <w:p>
            <w:pPr>
              <w:rPr>
                <w:color w:val="000000"/>
                <w:highlight w:val="none"/>
              </w:rPr>
            </w:pPr>
            <w:r>
              <w:rPr>
                <w:rFonts w:hint="eastAsia"/>
                <w:color w:val="000000"/>
                <w:highlight w:val="none"/>
              </w:rPr>
              <w:t>招标人书面澄清的时间</w:t>
            </w:r>
          </w:p>
        </w:tc>
        <w:tc>
          <w:tcPr>
            <w:tcW w:w="4031" w:type="dxa"/>
            <w:shd w:val="clear" w:color="auto" w:fill="auto"/>
            <w:vAlign w:val="center"/>
          </w:tcPr>
          <w:p>
            <w:pPr>
              <w:spacing w:line="500" w:lineRule="exact"/>
              <w:rPr>
                <w:color w:val="000000"/>
                <w:highlight w:val="none"/>
              </w:rPr>
            </w:pPr>
            <w:r>
              <w:rPr>
                <w:rFonts w:hint="eastAsia"/>
                <w:color w:val="000000"/>
                <w:highlight w:val="none"/>
              </w:rPr>
              <w:t>答疑文件及招标文件的修改或澄清将于投标截止时间前在中国国际工程咨询有限公司网站（www.ciecc.com.cn）首页公布。当招标文件、招标文件的澄清、修改、补充等在同一内容的表述上不一致时，以最后发出的文件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7" w:hRule="atLeast"/>
        </w:trPr>
        <w:tc>
          <w:tcPr>
            <w:tcW w:w="1139" w:type="dxa"/>
            <w:shd w:val="clear" w:color="auto" w:fill="auto"/>
            <w:vAlign w:val="center"/>
          </w:tcPr>
          <w:p>
            <w:pPr>
              <w:jc w:val="center"/>
              <w:rPr>
                <w:color w:val="000000"/>
                <w:highlight w:val="none"/>
              </w:rPr>
            </w:pPr>
            <w:r>
              <w:rPr>
                <w:rFonts w:hint="eastAsia"/>
                <w:color w:val="000000"/>
                <w:highlight w:val="none"/>
              </w:rPr>
              <w:t>1.11</w:t>
            </w:r>
          </w:p>
        </w:tc>
        <w:tc>
          <w:tcPr>
            <w:tcW w:w="3447" w:type="dxa"/>
            <w:gridSpan w:val="4"/>
            <w:shd w:val="clear" w:color="auto" w:fill="auto"/>
            <w:vAlign w:val="center"/>
          </w:tcPr>
          <w:p>
            <w:pPr>
              <w:rPr>
                <w:color w:val="000000"/>
                <w:highlight w:val="none"/>
              </w:rPr>
            </w:pPr>
            <w:r>
              <w:rPr>
                <w:rFonts w:hint="eastAsia"/>
                <w:color w:val="000000"/>
                <w:highlight w:val="none"/>
              </w:rPr>
              <w:t>偏  离</w:t>
            </w:r>
          </w:p>
        </w:tc>
        <w:tc>
          <w:tcPr>
            <w:tcW w:w="4031" w:type="dxa"/>
            <w:shd w:val="clear" w:color="auto" w:fill="auto"/>
            <w:vAlign w:val="center"/>
          </w:tcPr>
          <w:p>
            <w:pPr>
              <w:spacing w:line="288" w:lineRule="auto"/>
              <w:rPr>
                <w:color w:val="000000"/>
                <w:highlight w:val="none"/>
              </w:rPr>
            </w:pPr>
            <w:r>
              <w:rPr>
                <w:rFonts w:hint="eastAsia"/>
                <w:color w:val="000000" w:themeColor="text1"/>
                <w:highlight w:val="black"/>
                <w14:textFill>
                  <w14:solidFill>
                    <w14:schemeClr w14:val="tx1"/>
                  </w14:solidFill>
                </w14:textFill>
              </w:rPr>
              <w:sym w:font="Wingdings 2" w:char="0052"/>
            </w:r>
            <w:r>
              <w:rPr>
                <w:rFonts w:hint="eastAsia"/>
                <w:color w:val="000000"/>
                <w:highlight w:val="none"/>
              </w:rPr>
              <w:t>不允许</w:t>
            </w:r>
          </w:p>
          <w:p>
            <w:pPr>
              <w:spacing w:line="288" w:lineRule="auto"/>
              <w:rPr>
                <w:color w:val="000000"/>
                <w:highlight w:val="none"/>
              </w:rPr>
            </w:pPr>
            <w:r>
              <w:rPr>
                <w:rFonts w:hint="eastAsia"/>
                <w:color w:val="000000"/>
                <w:highlight w:val="none"/>
              </w:rPr>
              <w:t>□允许，可偏离的项目和范围见第七章</w:t>
            </w:r>
          </w:p>
          <w:p>
            <w:pPr>
              <w:spacing w:line="288" w:lineRule="auto"/>
              <w:rPr>
                <w:color w:val="000000"/>
                <w:highlight w:val="none"/>
              </w:rPr>
            </w:pPr>
            <w:r>
              <w:rPr>
                <w:rFonts w:hint="eastAsia"/>
                <w:color w:val="000000"/>
                <w:highlight w:val="none"/>
              </w:rPr>
              <w:t xml:space="preserve">       “技术标准和要求”：</w:t>
            </w:r>
          </w:p>
          <w:p>
            <w:pPr>
              <w:spacing w:line="288" w:lineRule="auto"/>
              <w:rPr>
                <w:color w:val="000000"/>
                <w:highlight w:val="none"/>
              </w:rPr>
            </w:pPr>
            <w:r>
              <w:rPr>
                <w:rFonts w:hint="eastAsia"/>
                <w:color w:val="000000"/>
                <w:highlight w:val="none"/>
              </w:rPr>
              <w:t xml:space="preserve">        允许偏离最高项数：</w:t>
            </w:r>
            <w:r>
              <w:rPr>
                <w:rFonts w:hint="eastAsia"/>
                <w:color w:val="000000"/>
                <w:highlight w:val="none"/>
                <w:u w:val="single"/>
              </w:rPr>
              <w:t xml:space="preserve">      </w:t>
            </w:r>
          </w:p>
          <w:p>
            <w:pPr>
              <w:spacing w:line="288" w:lineRule="auto"/>
              <w:rPr>
                <w:color w:val="000000"/>
                <w:highlight w:val="none"/>
              </w:rPr>
            </w:pPr>
            <w:r>
              <w:rPr>
                <w:rFonts w:hint="eastAsia"/>
                <w:color w:val="000000"/>
                <w:highlight w:val="none"/>
              </w:rPr>
              <w:t xml:space="preserve">        偏差调整方法：</w:t>
            </w:r>
            <w:r>
              <w:rPr>
                <w:rFonts w:hint="eastAsia"/>
                <w:color w:val="000000"/>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2.1</w:t>
            </w:r>
          </w:p>
        </w:tc>
        <w:tc>
          <w:tcPr>
            <w:tcW w:w="3447" w:type="dxa"/>
            <w:gridSpan w:val="4"/>
            <w:shd w:val="clear" w:color="auto" w:fill="auto"/>
            <w:vAlign w:val="center"/>
          </w:tcPr>
          <w:p>
            <w:pPr>
              <w:rPr>
                <w:color w:val="000000"/>
                <w:highlight w:val="none"/>
              </w:rPr>
            </w:pPr>
            <w:r>
              <w:rPr>
                <w:rFonts w:hint="eastAsia"/>
                <w:color w:val="000000"/>
                <w:highlight w:val="none"/>
              </w:rPr>
              <w:t>构成招标文件的其他材料</w:t>
            </w:r>
          </w:p>
        </w:tc>
        <w:tc>
          <w:tcPr>
            <w:tcW w:w="4031" w:type="dxa"/>
            <w:shd w:val="clear" w:color="auto" w:fill="auto"/>
            <w:vAlign w:val="center"/>
          </w:tcPr>
          <w:p>
            <w:pPr>
              <w:rPr>
                <w:highlight w:val="none"/>
              </w:rPr>
            </w:pPr>
            <w:r>
              <w:rPr>
                <w:rFonts w:hint="eastAsia"/>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2.2.1</w:t>
            </w:r>
          </w:p>
        </w:tc>
        <w:tc>
          <w:tcPr>
            <w:tcW w:w="3447" w:type="dxa"/>
            <w:gridSpan w:val="4"/>
            <w:shd w:val="clear" w:color="auto" w:fill="auto"/>
            <w:vAlign w:val="center"/>
          </w:tcPr>
          <w:p>
            <w:pPr>
              <w:rPr>
                <w:color w:val="000000"/>
                <w:highlight w:val="none"/>
              </w:rPr>
            </w:pPr>
            <w:r>
              <w:rPr>
                <w:rFonts w:hint="eastAsia"/>
                <w:color w:val="000000"/>
                <w:highlight w:val="none"/>
              </w:rPr>
              <w:t>投标人要求澄清招标文件的截止时间</w:t>
            </w:r>
          </w:p>
        </w:tc>
        <w:tc>
          <w:tcPr>
            <w:tcW w:w="4031" w:type="dxa"/>
            <w:shd w:val="clear" w:color="auto" w:fill="auto"/>
            <w:vAlign w:val="center"/>
          </w:tcPr>
          <w:p>
            <w:pPr>
              <w:spacing w:line="500" w:lineRule="exact"/>
              <w:rPr>
                <w:highlight w:val="none"/>
              </w:rPr>
            </w:pPr>
            <w:r>
              <w:rPr>
                <w:rFonts w:hint="eastAsia"/>
                <w:color w:val="000000"/>
                <w:highlight w:val="none"/>
              </w:rPr>
              <w:t>投标人若对招标文件和相关资料有任何疑问，应在2021年</w:t>
            </w:r>
            <w:r>
              <w:rPr>
                <w:rFonts w:hint="eastAsia"/>
                <w:color w:val="000000"/>
                <w:highlight w:val="none"/>
                <w:u w:val="single"/>
                <w:lang w:val="en-US" w:eastAsia="zh-CN"/>
              </w:rPr>
              <w:t>2</w:t>
            </w:r>
            <w:r>
              <w:rPr>
                <w:rFonts w:hint="eastAsia"/>
                <w:color w:val="000000"/>
                <w:highlight w:val="none"/>
              </w:rPr>
              <w:t>月</w:t>
            </w:r>
            <w:r>
              <w:rPr>
                <w:rFonts w:hint="eastAsia"/>
                <w:color w:val="000000"/>
                <w:highlight w:val="none"/>
                <w:u w:val="single"/>
                <w:lang w:val="en-US" w:eastAsia="zh-CN"/>
              </w:rPr>
              <w:t>8</w:t>
            </w:r>
            <w:r>
              <w:rPr>
                <w:rFonts w:hint="eastAsia"/>
                <w:color w:val="000000"/>
                <w:highlight w:val="none"/>
              </w:rPr>
              <w:t>日17:00时前将疑问发送至（</w:t>
            </w:r>
            <w:r>
              <w:rPr>
                <w:rFonts w:hint="eastAsia"/>
                <w:highlight w:val="none"/>
              </w:rPr>
              <w:fldChar w:fldCharType="begin"/>
            </w:r>
            <w:r>
              <w:rPr>
                <w:highlight w:val="none"/>
              </w:rPr>
              <w:instrText xml:space="preserve"> HYPERLINK "mailto:824416280@qq.com" </w:instrText>
            </w:r>
            <w:r>
              <w:rPr>
                <w:rFonts w:hint="eastAsia"/>
                <w:highlight w:val="none"/>
              </w:rPr>
              <w:fldChar w:fldCharType="separate"/>
            </w:r>
            <w:r>
              <w:rPr>
                <w:rFonts w:hint="eastAsia"/>
                <w:color w:val="000000"/>
                <w:highlight w:val="none"/>
              </w:rPr>
              <w:t>824416280@qq.com</w:t>
            </w:r>
            <w:r>
              <w:rPr>
                <w:rFonts w:hint="eastAsia"/>
                <w:color w:val="000000"/>
                <w:highlight w:val="none"/>
              </w:rPr>
              <w:fldChar w:fldCharType="end"/>
            </w:r>
            <w:r>
              <w:rPr>
                <w:rFonts w:hint="eastAsia"/>
                <w:color w:val="000000"/>
                <w:highlight w:val="none"/>
              </w:rPr>
              <w:t>），逾时不予受理。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2.2.2</w:t>
            </w:r>
          </w:p>
        </w:tc>
        <w:tc>
          <w:tcPr>
            <w:tcW w:w="3447" w:type="dxa"/>
            <w:gridSpan w:val="4"/>
            <w:shd w:val="clear" w:color="auto" w:fill="auto"/>
            <w:vAlign w:val="center"/>
          </w:tcPr>
          <w:p>
            <w:pPr>
              <w:rPr>
                <w:color w:val="000000"/>
                <w:highlight w:val="none"/>
              </w:rPr>
            </w:pPr>
            <w:r>
              <w:rPr>
                <w:rFonts w:hint="eastAsia"/>
                <w:color w:val="000000"/>
                <w:highlight w:val="none"/>
              </w:rPr>
              <w:t>投标截止时间</w:t>
            </w:r>
          </w:p>
        </w:tc>
        <w:tc>
          <w:tcPr>
            <w:tcW w:w="4031" w:type="dxa"/>
            <w:shd w:val="clear" w:color="auto" w:fill="auto"/>
            <w:vAlign w:val="center"/>
          </w:tcPr>
          <w:p>
            <w:pPr>
              <w:spacing w:line="288" w:lineRule="auto"/>
              <w:rPr>
                <w:color w:val="000000"/>
                <w:highlight w:val="none"/>
              </w:rPr>
            </w:pPr>
            <w:r>
              <w:rPr>
                <w:rFonts w:hint="eastAsia"/>
                <w:color w:val="000000"/>
                <w:highlight w:val="none"/>
                <w:u w:val="single"/>
              </w:rPr>
              <w:t>2021</w:t>
            </w:r>
            <w:r>
              <w:rPr>
                <w:rFonts w:hint="eastAsia"/>
                <w:color w:val="000000"/>
                <w:highlight w:val="none"/>
              </w:rPr>
              <w:t>年</w:t>
            </w:r>
            <w:r>
              <w:rPr>
                <w:rFonts w:hint="eastAsia"/>
                <w:color w:val="000000"/>
                <w:highlight w:val="none"/>
                <w:u w:val="single"/>
                <w:lang w:val="en-US" w:eastAsia="zh-CN"/>
              </w:rPr>
              <w:t>3</w:t>
            </w:r>
            <w:r>
              <w:rPr>
                <w:rFonts w:hint="eastAsia"/>
                <w:color w:val="000000"/>
                <w:highlight w:val="none"/>
              </w:rPr>
              <w:t>月</w:t>
            </w:r>
            <w:r>
              <w:rPr>
                <w:rFonts w:hint="eastAsia"/>
                <w:color w:val="000000"/>
                <w:highlight w:val="none"/>
                <w:u w:val="single"/>
                <w:lang w:val="en-US" w:eastAsia="zh-CN"/>
              </w:rPr>
              <w:t>3</w:t>
            </w:r>
            <w:r>
              <w:rPr>
                <w:rFonts w:hint="eastAsia"/>
                <w:color w:val="000000"/>
                <w:highlight w:val="none"/>
              </w:rPr>
              <w:t>日</w:t>
            </w:r>
            <w:r>
              <w:rPr>
                <w:rFonts w:hint="eastAsia"/>
                <w:color w:val="000000"/>
                <w:highlight w:val="none"/>
                <w:u w:val="single"/>
              </w:rPr>
              <w:t xml:space="preserve">  9 </w:t>
            </w:r>
            <w:r>
              <w:rPr>
                <w:rFonts w:hint="eastAsia"/>
                <w:color w:val="000000"/>
                <w:highlight w:val="none"/>
              </w:rPr>
              <w:t>时</w:t>
            </w:r>
            <w:r>
              <w:rPr>
                <w:rFonts w:hint="eastAsia"/>
                <w:color w:val="000000"/>
                <w:highlight w:val="none"/>
                <w:u w:val="single"/>
              </w:rPr>
              <w:t xml:space="preserve"> 30 </w:t>
            </w:r>
            <w:r>
              <w:rPr>
                <w:rFonts w:hint="eastAsia"/>
                <w:color w:val="000000"/>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2.2.3</w:t>
            </w:r>
          </w:p>
        </w:tc>
        <w:tc>
          <w:tcPr>
            <w:tcW w:w="3447" w:type="dxa"/>
            <w:gridSpan w:val="4"/>
            <w:shd w:val="clear" w:color="auto" w:fill="auto"/>
            <w:vAlign w:val="center"/>
          </w:tcPr>
          <w:p>
            <w:pPr>
              <w:rPr>
                <w:color w:val="000000"/>
                <w:highlight w:val="none"/>
              </w:rPr>
            </w:pPr>
            <w:r>
              <w:rPr>
                <w:rFonts w:hint="eastAsia"/>
                <w:color w:val="000000"/>
                <w:highlight w:val="none"/>
              </w:rPr>
              <w:t>投标人确认收到招标文件澄清的时间</w:t>
            </w:r>
          </w:p>
        </w:tc>
        <w:tc>
          <w:tcPr>
            <w:tcW w:w="4031" w:type="dxa"/>
            <w:shd w:val="clear" w:color="auto" w:fill="auto"/>
            <w:vAlign w:val="center"/>
          </w:tcPr>
          <w:p>
            <w:pPr>
              <w:spacing w:line="288" w:lineRule="auto"/>
              <w:rPr>
                <w:color w:val="000000"/>
                <w:highlight w:val="none"/>
                <w:u w:val="single"/>
              </w:rPr>
            </w:pPr>
            <w:r>
              <w:rPr>
                <w:rFonts w:hint="eastAsia"/>
                <w:color w:val="000000"/>
                <w:highlight w:val="none"/>
              </w:rPr>
              <w:t>无需确认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2.3.2</w:t>
            </w:r>
          </w:p>
        </w:tc>
        <w:tc>
          <w:tcPr>
            <w:tcW w:w="3447" w:type="dxa"/>
            <w:gridSpan w:val="4"/>
            <w:shd w:val="clear" w:color="auto" w:fill="auto"/>
            <w:vAlign w:val="center"/>
          </w:tcPr>
          <w:p>
            <w:pPr>
              <w:rPr>
                <w:color w:val="000000"/>
                <w:highlight w:val="none"/>
              </w:rPr>
            </w:pPr>
            <w:r>
              <w:rPr>
                <w:rFonts w:hint="eastAsia"/>
                <w:color w:val="000000"/>
                <w:highlight w:val="none"/>
              </w:rPr>
              <w:t>投标人确认收到招标文件修改的时间</w:t>
            </w:r>
          </w:p>
        </w:tc>
        <w:tc>
          <w:tcPr>
            <w:tcW w:w="4031" w:type="dxa"/>
            <w:shd w:val="clear" w:color="auto" w:fill="auto"/>
            <w:vAlign w:val="center"/>
          </w:tcPr>
          <w:p>
            <w:pPr>
              <w:spacing w:line="288" w:lineRule="auto"/>
              <w:rPr>
                <w:color w:val="000000"/>
                <w:highlight w:val="none"/>
              </w:rPr>
            </w:pPr>
            <w:r>
              <w:rPr>
                <w:rFonts w:hint="eastAsia"/>
                <w:color w:val="000000"/>
                <w:highlight w:val="none"/>
              </w:rPr>
              <w:t>无需确认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3.1.1</w:t>
            </w:r>
          </w:p>
        </w:tc>
        <w:tc>
          <w:tcPr>
            <w:tcW w:w="3447" w:type="dxa"/>
            <w:gridSpan w:val="4"/>
            <w:shd w:val="clear" w:color="auto" w:fill="auto"/>
            <w:vAlign w:val="center"/>
          </w:tcPr>
          <w:p>
            <w:pPr>
              <w:rPr>
                <w:color w:val="000000"/>
                <w:highlight w:val="none"/>
              </w:rPr>
            </w:pPr>
            <w:r>
              <w:rPr>
                <w:rFonts w:hint="eastAsia"/>
                <w:color w:val="000000"/>
                <w:highlight w:val="none"/>
              </w:rPr>
              <w:t>构成投标文件的其他材料</w:t>
            </w:r>
          </w:p>
        </w:tc>
        <w:tc>
          <w:tcPr>
            <w:tcW w:w="4031" w:type="dxa"/>
            <w:shd w:val="clear" w:color="auto" w:fill="auto"/>
            <w:vAlign w:val="center"/>
          </w:tcPr>
          <w:p>
            <w:pPr>
              <w:rPr>
                <w:highlight w:val="none"/>
              </w:rPr>
            </w:pPr>
            <w:r>
              <w:rPr>
                <w:rFonts w:hint="eastAsia"/>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3.3.1</w:t>
            </w:r>
          </w:p>
        </w:tc>
        <w:tc>
          <w:tcPr>
            <w:tcW w:w="3447" w:type="dxa"/>
            <w:gridSpan w:val="4"/>
            <w:shd w:val="clear" w:color="auto" w:fill="auto"/>
            <w:vAlign w:val="center"/>
          </w:tcPr>
          <w:p>
            <w:pPr>
              <w:rPr>
                <w:color w:val="000000"/>
                <w:highlight w:val="none"/>
              </w:rPr>
            </w:pPr>
            <w:r>
              <w:rPr>
                <w:rFonts w:hint="eastAsia"/>
                <w:color w:val="000000"/>
                <w:highlight w:val="none"/>
              </w:rPr>
              <w:t>投标有效期</w:t>
            </w:r>
          </w:p>
        </w:tc>
        <w:tc>
          <w:tcPr>
            <w:tcW w:w="4031" w:type="dxa"/>
            <w:shd w:val="clear" w:color="auto" w:fill="auto"/>
            <w:vAlign w:val="center"/>
          </w:tcPr>
          <w:p>
            <w:pPr>
              <w:spacing w:line="288" w:lineRule="auto"/>
              <w:rPr>
                <w:color w:val="000000"/>
                <w:highlight w:val="none"/>
              </w:rPr>
            </w:pPr>
            <w:r>
              <w:rPr>
                <w:rFonts w:hint="eastAsia"/>
                <w:color w:val="000000"/>
                <w:highlight w:val="none"/>
                <w:u w:val="single"/>
              </w:rPr>
              <w:t>90</w:t>
            </w:r>
            <w:r>
              <w:rPr>
                <w:rFonts w:hint="eastAsia"/>
                <w:color w:val="000000"/>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139" w:type="dxa"/>
            <w:shd w:val="clear" w:color="auto" w:fill="auto"/>
            <w:vAlign w:val="center"/>
          </w:tcPr>
          <w:p>
            <w:pPr>
              <w:jc w:val="center"/>
              <w:rPr>
                <w:color w:val="000000"/>
                <w:highlight w:val="none"/>
              </w:rPr>
            </w:pPr>
            <w:r>
              <w:rPr>
                <w:rFonts w:hint="eastAsia"/>
                <w:color w:val="000000"/>
                <w:highlight w:val="none"/>
              </w:rPr>
              <w:t>3.4.1</w:t>
            </w:r>
          </w:p>
        </w:tc>
        <w:tc>
          <w:tcPr>
            <w:tcW w:w="3447" w:type="dxa"/>
            <w:gridSpan w:val="4"/>
            <w:shd w:val="clear" w:color="auto" w:fill="auto"/>
            <w:vAlign w:val="center"/>
          </w:tcPr>
          <w:p>
            <w:pPr>
              <w:rPr>
                <w:color w:val="000000"/>
                <w:highlight w:val="none"/>
              </w:rPr>
            </w:pPr>
            <w:r>
              <w:rPr>
                <w:rFonts w:hint="eastAsia"/>
                <w:color w:val="000000"/>
                <w:highlight w:val="none"/>
              </w:rPr>
              <w:t>投标保证金</w:t>
            </w:r>
          </w:p>
        </w:tc>
        <w:tc>
          <w:tcPr>
            <w:tcW w:w="4031" w:type="dxa"/>
            <w:shd w:val="clear" w:color="auto" w:fill="auto"/>
            <w:vAlign w:val="center"/>
          </w:tcPr>
          <w:p>
            <w:pPr>
              <w:spacing w:line="288" w:lineRule="auto"/>
              <w:rPr>
                <w:color w:val="000000"/>
                <w:highlight w:val="none"/>
              </w:rPr>
            </w:pPr>
            <w:r>
              <w:rPr>
                <w:rFonts w:hint="eastAsia"/>
                <w:color w:val="000000"/>
                <w:highlight w:val="none"/>
              </w:rPr>
              <w:t>投标保证金的形式：投标保函</w:t>
            </w:r>
          </w:p>
          <w:p>
            <w:pPr>
              <w:spacing w:line="288" w:lineRule="auto"/>
              <w:rPr>
                <w:color w:val="000000"/>
                <w:highlight w:val="none"/>
              </w:rPr>
            </w:pPr>
            <w:r>
              <w:rPr>
                <w:rFonts w:hint="eastAsia"/>
                <w:color w:val="000000"/>
                <w:highlight w:val="none"/>
              </w:rPr>
              <w:t>投标保证金的金额：50万元</w:t>
            </w:r>
          </w:p>
          <w:p>
            <w:pPr>
              <w:spacing w:line="288" w:lineRule="auto"/>
              <w:rPr>
                <w:color w:val="000000"/>
                <w:highlight w:val="none"/>
                <w:u w:val="single"/>
              </w:rPr>
            </w:pPr>
            <w:r>
              <w:rPr>
                <w:rFonts w:hint="eastAsia"/>
                <w:color w:val="000000"/>
                <w:highlight w:val="none"/>
              </w:rPr>
              <w:t>递交方式：投标时与投标文件同时递交。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1139" w:type="dxa"/>
            <w:shd w:val="clear" w:color="auto" w:fill="auto"/>
            <w:vAlign w:val="center"/>
          </w:tcPr>
          <w:p>
            <w:pPr>
              <w:jc w:val="center"/>
              <w:rPr>
                <w:color w:val="000000"/>
                <w:highlight w:val="none"/>
              </w:rPr>
            </w:pPr>
            <w:r>
              <w:rPr>
                <w:rFonts w:hint="eastAsia"/>
                <w:color w:val="000000"/>
                <w:highlight w:val="none"/>
              </w:rPr>
              <w:t>3.5.2</w:t>
            </w:r>
          </w:p>
        </w:tc>
        <w:tc>
          <w:tcPr>
            <w:tcW w:w="3447" w:type="dxa"/>
            <w:gridSpan w:val="4"/>
            <w:shd w:val="clear" w:color="auto" w:fill="auto"/>
            <w:vAlign w:val="center"/>
          </w:tcPr>
          <w:p>
            <w:pPr>
              <w:rPr>
                <w:color w:val="000000"/>
                <w:highlight w:val="none"/>
              </w:rPr>
            </w:pPr>
            <w:r>
              <w:rPr>
                <w:rFonts w:hint="eastAsia"/>
                <w:color w:val="000000"/>
                <w:highlight w:val="none"/>
              </w:rPr>
              <w:t>近年财务状况的年份要求</w:t>
            </w:r>
          </w:p>
        </w:tc>
        <w:tc>
          <w:tcPr>
            <w:tcW w:w="4031" w:type="dxa"/>
            <w:shd w:val="clear" w:color="auto" w:fill="auto"/>
            <w:vAlign w:val="center"/>
          </w:tcPr>
          <w:p>
            <w:pPr>
              <w:spacing w:line="288" w:lineRule="auto"/>
              <w:rPr>
                <w:color w:val="000000"/>
                <w:highlight w:val="none"/>
              </w:rPr>
            </w:pPr>
            <w:r>
              <w:rPr>
                <w:rFonts w:hint="eastAsia"/>
                <w:color w:val="000000"/>
                <w:highlight w:val="none"/>
                <w:u w:val="single"/>
                <w:lang w:val="en-US" w:eastAsia="zh-CN"/>
              </w:rPr>
              <w:t>3</w:t>
            </w:r>
            <w:r>
              <w:rPr>
                <w:rFonts w:hint="eastAsia"/>
                <w:color w:val="000000"/>
                <w:highlight w:val="none"/>
              </w:rPr>
              <w:t>年，指</w:t>
            </w:r>
            <w:r>
              <w:rPr>
                <w:rFonts w:hint="eastAsia"/>
                <w:color w:val="000000"/>
                <w:highlight w:val="none"/>
                <w:u w:val="single"/>
              </w:rPr>
              <w:t>201</w:t>
            </w:r>
            <w:r>
              <w:rPr>
                <w:rFonts w:hint="eastAsia"/>
                <w:color w:val="000000"/>
                <w:highlight w:val="none"/>
                <w:u w:val="single"/>
                <w:lang w:val="en-US" w:eastAsia="zh-CN"/>
              </w:rPr>
              <w:t>7</w:t>
            </w:r>
            <w:r>
              <w:rPr>
                <w:rFonts w:hint="eastAsia"/>
                <w:color w:val="000000"/>
                <w:highlight w:val="none"/>
              </w:rPr>
              <w:t>年</w:t>
            </w:r>
            <w:r>
              <w:rPr>
                <w:rFonts w:hint="eastAsia"/>
                <w:color w:val="000000"/>
                <w:highlight w:val="none"/>
                <w:u w:val="single"/>
              </w:rPr>
              <w:t xml:space="preserve">   1  </w:t>
            </w:r>
            <w:r>
              <w:rPr>
                <w:rFonts w:hint="eastAsia"/>
                <w:color w:val="000000"/>
                <w:highlight w:val="none"/>
              </w:rPr>
              <w:t>月</w:t>
            </w:r>
            <w:r>
              <w:rPr>
                <w:rFonts w:hint="eastAsia"/>
                <w:color w:val="000000"/>
                <w:highlight w:val="none"/>
                <w:u w:val="single"/>
              </w:rPr>
              <w:t xml:space="preserve">  1   </w:t>
            </w:r>
            <w:r>
              <w:rPr>
                <w:rFonts w:hint="eastAsia"/>
                <w:color w:val="000000"/>
                <w:highlight w:val="none"/>
              </w:rPr>
              <w:t>日起至</w:t>
            </w:r>
            <w:r>
              <w:rPr>
                <w:rFonts w:hint="eastAsia"/>
                <w:color w:val="000000"/>
                <w:highlight w:val="none"/>
                <w:u w:val="single"/>
              </w:rPr>
              <w:t>2019</w:t>
            </w:r>
            <w:r>
              <w:rPr>
                <w:rFonts w:hint="eastAsia"/>
                <w:color w:val="000000"/>
                <w:highlight w:val="none"/>
              </w:rPr>
              <w:t>年</w:t>
            </w:r>
            <w:r>
              <w:rPr>
                <w:rFonts w:hint="eastAsia"/>
                <w:color w:val="000000"/>
                <w:highlight w:val="none"/>
                <w:u w:val="single"/>
              </w:rPr>
              <w:t xml:space="preserve">    12 </w:t>
            </w:r>
            <w:r>
              <w:rPr>
                <w:rFonts w:hint="eastAsia"/>
                <w:color w:val="000000"/>
                <w:highlight w:val="none"/>
              </w:rPr>
              <w:t>月</w:t>
            </w:r>
            <w:r>
              <w:rPr>
                <w:rFonts w:hint="eastAsia"/>
                <w:color w:val="000000"/>
                <w:highlight w:val="none"/>
                <w:u w:val="single"/>
              </w:rPr>
              <w:t xml:space="preserve"> 31 </w:t>
            </w:r>
            <w:r>
              <w:rPr>
                <w:rFonts w:hint="eastAsia"/>
                <w:color w:val="000000"/>
                <w:highlight w:val="none"/>
              </w:rPr>
              <w:t>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1139" w:type="dxa"/>
            <w:shd w:val="clear" w:color="auto" w:fill="auto"/>
            <w:vAlign w:val="center"/>
          </w:tcPr>
          <w:p>
            <w:pPr>
              <w:jc w:val="center"/>
              <w:rPr>
                <w:color w:val="000000"/>
                <w:highlight w:val="none"/>
              </w:rPr>
            </w:pPr>
            <w:r>
              <w:rPr>
                <w:rFonts w:hint="eastAsia"/>
                <w:color w:val="000000"/>
                <w:highlight w:val="none"/>
              </w:rPr>
              <w:t>3.5.3</w:t>
            </w:r>
          </w:p>
        </w:tc>
        <w:tc>
          <w:tcPr>
            <w:tcW w:w="3447" w:type="dxa"/>
            <w:gridSpan w:val="4"/>
            <w:shd w:val="clear" w:color="auto" w:fill="auto"/>
            <w:vAlign w:val="center"/>
          </w:tcPr>
          <w:p>
            <w:pPr>
              <w:rPr>
                <w:color w:val="000000"/>
                <w:highlight w:val="none"/>
              </w:rPr>
            </w:pPr>
            <w:r>
              <w:rPr>
                <w:rFonts w:hint="eastAsia"/>
                <w:color w:val="000000"/>
                <w:highlight w:val="none"/>
              </w:rPr>
              <w:t>近年完成的类似项目的年份要求</w:t>
            </w:r>
          </w:p>
        </w:tc>
        <w:tc>
          <w:tcPr>
            <w:tcW w:w="4031" w:type="dxa"/>
            <w:shd w:val="clear" w:color="auto" w:fill="auto"/>
            <w:vAlign w:val="center"/>
          </w:tcPr>
          <w:p>
            <w:pPr>
              <w:spacing w:line="288" w:lineRule="auto"/>
              <w:rPr>
                <w:color w:val="000000"/>
                <w:highlight w:val="none"/>
                <w:u w:val="single"/>
              </w:rPr>
            </w:pPr>
            <w:r>
              <w:rPr>
                <w:rFonts w:hint="eastAsia"/>
                <w:color w:val="000000"/>
                <w:highlight w:val="none"/>
                <w:u w:val="single"/>
              </w:rPr>
              <w:t xml:space="preserve"> 8 </w:t>
            </w:r>
            <w:r>
              <w:rPr>
                <w:rFonts w:hint="eastAsia"/>
                <w:color w:val="000000"/>
                <w:highlight w:val="none"/>
              </w:rPr>
              <w:t>年，指</w:t>
            </w:r>
            <w:r>
              <w:rPr>
                <w:rFonts w:hint="eastAsia"/>
                <w:color w:val="000000"/>
                <w:highlight w:val="none"/>
                <w:u w:val="single"/>
              </w:rPr>
              <w:t>2013</w:t>
            </w:r>
            <w:r>
              <w:rPr>
                <w:rFonts w:hint="eastAsia"/>
                <w:color w:val="000000"/>
                <w:highlight w:val="none"/>
              </w:rPr>
              <w:t>年</w:t>
            </w:r>
            <w:r>
              <w:rPr>
                <w:rFonts w:hint="eastAsia"/>
                <w:color w:val="000000"/>
                <w:highlight w:val="none"/>
                <w:u w:val="single"/>
              </w:rPr>
              <w:t>1</w:t>
            </w:r>
            <w:r>
              <w:rPr>
                <w:rFonts w:hint="eastAsia"/>
                <w:color w:val="000000"/>
                <w:highlight w:val="none"/>
              </w:rPr>
              <w:t>月</w:t>
            </w:r>
            <w:r>
              <w:rPr>
                <w:rFonts w:hint="eastAsia"/>
                <w:color w:val="000000"/>
                <w:highlight w:val="none"/>
                <w:u w:val="single"/>
              </w:rPr>
              <w:t xml:space="preserve">   1  </w:t>
            </w:r>
            <w:r>
              <w:rPr>
                <w:rFonts w:hint="eastAsia"/>
                <w:color w:val="000000"/>
                <w:highlight w:val="none"/>
              </w:rPr>
              <w:t>日起至</w:t>
            </w:r>
            <w:r>
              <w:rPr>
                <w:rFonts w:hint="eastAsia"/>
                <w:color w:val="000000"/>
                <w:highlight w:val="none"/>
                <w:u w:val="single"/>
              </w:rPr>
              <w:t xml:space="preserve">     2021</w:t>
            </w:r>
            <w:r>
              <w:rPr>
                <w:rFonts w:hint="eastAsia"/>
                <w:color w:val="000000"/>
                <w:highlight w:val="none"/>
              </w:rPr>
              <w:t>年</w:t>
            </w:r>
            <w:r>
              <w:rPr>
                <w:rFonts w:hint="eastAsia"/>
                <w:color w:val="000000"/>
                <w:highlight w:val="none"/>
                <w:u w:val="single"/>
              </w:rPr>
              <w:t>1</w:t>
            </w:r>
            <w:r>
              <w:rPr>
                <w:rFonts w:hint="eastAsia"/>
                <w:color w:val="000000"/>
                <w:highlight w:val="none"/>
              </w:rPr>
              <w:t>月3</w:t>
            </w:r>
            <w:r>
              <w:rPr>
                <w:rFonts w:hint="eastAsia"/>
                <w:color w:val="000000"/>
                <w:highlight w:val="none"/>
                <w:u w:val="single"/>
              </w:rPr>
              <w:t>1</w:t>
            </w:r>
            <w:r>
              <w:rPr>
                <w:rFonts w:hint="eastAsia"/>
                <w:color w:val="000000"/>
                <w:highlight w:val="none"/>
              </w:rPr>
              <w:t>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1139" w:type="dxa"/>
            <w:shd w:val="clear" w:color="auto" w:fill="auto"/>
            <w:vAlign w:val="center"/>
          </w:tcPr>
          <w:p>
            <w:pPr>
              <w:jc w:val="center"/>
              <w:rPr>
                <w:color w:val="000000"/>
                <w:highlight w:val="none"/>
              </w:rPr>
            </w:pPr>
            <w:r>
              <w:rPr>
                <w:rFonts w:hint="eastAsia"/>
                <w:color w:val="000000"/>
                <w:highlight w:val="none"/>
              </w:rPr>
              <w:t>3.5.5</w:t>
            </w:r>
          </w:p>
        </w:tc>
        <w:tc>
          <w:tcPr>
            <w:tcW w:w="3447" w:type="dxa"/>
            <w:gridSpan w:val="4"/>
            <w:shd w:val="clear" w:color="auto" w:fill="auto"/>
            <w:vAlign w:val="center"/>
          </w:tcPr>
          <w:p>
            <w:pPr>
              <w:rPr>
                <w:color w:val="000000"/>
                <w:highlight w:val="none"/>
              </w:rPr>
            </w:pPr>
            <w:r>
              <w:rPr>
                <w:rFonts w:hint="eastAsia"/>
                <w:color w:val="000000"/>
                <w:highlight w:val="none"/>
              </w:rPr>
              <w:t>近年发生的诉讼及仲裁情况的</w:t>
            </w:r>
          </w:p>
          <w:p>
            <w:pPr>
              <w:rPr>
                <w:color w:val="000000"/>
                <w:highlight w:val="none"/>
              </w:rPr>
            </w:pPr>
            <w:r>
              <w:rPr>
                <w:rFonts w:hint="eastAsia"/>
                <w:color w:val="000000"/>
                <w:highlight w:val="none"/>
              </w:rPr>
              <w:t>年份要求</w:t>
            </w:r>
          </w:p>
        </w:tc>
        <w:tc>
          <w:tcPr>
            <w:tcW w:w="4031" w:type="dxa"/>
            <w:shd w:val="clear" w:color="auto" w:fill="auto"/>
            <w:vAlign w:val="center"/>
          </w:tcPr>
          <w:p>
            <w:pPr>
              <w:spacing w:line="288" w:lineRule="auto"/>
              <w:rPr>
                <w:color w:val="000000"/>
                <w:highlight w:val="none"/>
                <w:u w:val="single"/>
              </w:rPr>
            </w:pPr>
            <w:r>
              <w:rPr>
                <w:rFonts w:hint="eastAsia"/>
                <w:color w:val="000000"/>
                <w:highlight w:val="none"/>
                <w:u w:val="single"/>
              </w:rPr>
              <w:t xml:space="preserve">   /  </w:t>
            </w:r>
            <w:r>
              <w:rPr>
                <w:rFonts w:hint="eastAsia"/>
                <w:color w:val="000000"/>
                <w:highlight w:val="none"/>
              </w:rPr>
              <w:t>年，指</w:t>
            </w:r>
            <w:r>
              <w:rPr>
                <w:rFonts w:hint="eastAsia"/>
                <w:color w:val="000000"/>
                <w:highlight w:val="none"/>
                <w:u w:val="single"/>
              </w:rPr>
              <w:t xml:space="preserve">  /   </w:t>
            </w:r>
            <w:r>
              <w:rPr>
                <w:rFonts w:hint="eastAsia"/>
                <w:color w:val="000000"/>
                <w:highlight w:val="none"/>
              </w:rPr>
              <w:t>年</w:t>
            </w:r>
            <w:r>
              <w:rPr>
                <w:rFonts w:hint="eastAsia"/>
                <w:color w:val="000000"/>
                <w:highlight w:val="none"/>
                <w:u w:val="single"/>
              </w:rPr>
              <w:t xml:space="preserve">   /  </w:t>
            </w:r>
            <w:r>
              <w:rPr>
                <w:rFonts w:hint="eastAsia"/>
                <w:color w:val="000000"/>
                <w:highlight w:val="none"/>
              </w:rPr>
              <w:t>月</w:t>
            </w:r>
            <w:r>
              <w:rPr>
                <w:rFonts w:hint="eastAsia"/>
                <w:color w:val="000000"/>
                <w:highlight w:val="none"/>
                <w:u w:val="single"/>
              </w:rPr>
              <w:t xml:space="preserve">  /   </w:t>
            </w:r>
            <w:r>
              <w:rPr>
                <w:rFonts w:hint="eastAsia"/>
                <w:color w:val="000000"/>
                <w:highlight w:val="none"/>
              </w:rPr>
              <w:t>日起至</w:t>
            </w:r>
            <w:r>
              <w:rPr>
                <w:rFonts w:hint="eastAsia"/>
                <w:color w:val="000000"/>
                <w:highlight w:val="none"/>
                <w:u w:val="single"/>
              </w:rPr>
              <w:t xml:space="preserve">   /  </w:t>
            </w:r>
            <w:r>
              <w:rPr>
                <w:rFonts w:hint="eastAsia"/>
                <w:color w:val="000000"/>
                <w:highlight w:val="none"/>
              </w:rPr>
              <w:t>年</w:t>
            </w:r>
            <w:r>
              <w:rPr>
                <w:rFonts w:hint="eastAsia"/>
                <w:color w:val="000000"/>
                <w:highlight w:val="none"/>
                <w:u w:val="single"/>
              </w:rPr>
              <w:t xml:space="preserve">  /   </w:t>
            </w:r>
            <w:r>
              <w:rPr>
                <w:rFonts w:hint="eastAsia"/>
                <w:color w:val="000000"/>
                <w:highlight w:val="none"/>
              </w:rPr>
              <w:t>月</w:t>
            </w:r>
            <w:r>
              <w:rPr>
                <w:rFonts w:hint="eastAsia"/>
                <w:color w:val="000000"/>
                <w:highlight w:val="none"/>
                <w:u w:val="single"/>
              </w:rPr>
              <w:t xml:space="preserve">   /  </w:t>
            </w:r>
            <w:r>
              <w:rPr>
                <w:rFonts w:hint="eastAsia"/>
                <w:color w:val="000000"/>
                <w:highlight w:val="none"/>
              </w:rPr>
              <w:t>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trPr>
        <w:tc>
          <w:tcPr>
            <w:tcW w:w="1139" w:type="dxa"/>
            <w:shd w:val="clear" w:color="auto" w:fill="auto"/>
            <w:vAlign w:val="center"/>
          </w:tcPr>
          <w:p>
            <w:pPr>
              <w:jc w:val="center"/>
              <w:rPr>
                <w:color w:val="000000"/>
                <w:highlight w:val="none"/>
              </w:rPr>
            </w:pPr>
            <w:r>
              <w:rPr>
                <w:rFonts w:hint="eastAsia"/>
                <w:color w:val="000000"/>
                <w:highlight w:val="none"/>
              </w:rPr>
              <w:t>3.6</w:t>
            </w:r>
          </w:p>
        </w:tc>
        <w:tc>
          <w:tcPr>
            <w:tcW w:w="3447" w:type="dxa"/>
            <w:gridSpan w:val="4"/>
            <w:shd w:val="clear" w:color="auto" w:fill="auto"/>
            <w:vAlign w:val="center"/>
          </w:tcPr>
          <w:p>
            <w:pPr>
              <w:rPr>
                <w:color w:val="000000"/>
                <w:highlight w:val="none"/>
              </w:rPr>
            </w:pPr>
            <w:r>
              <w:rPr>
                <w:rFonts w:hint="eastAsia"/>
                <w:color w:val="000000"/>
                <w:highlight w:val="none"/>
              </w:rPr>
              <w:t>是否允许递交备选投标方案</w:t>
            </w:r>
          </w:p>
        </w:tc>
        <w:tc>
          <w:tcPr>
            <w:tcW w:w="4031" w:type="dxa"/>
            <w:shd w:val="clear" w:color="auto" w:fill="auto"/>
            <w:vAlign w:val="center"/>
          </w:tcPr>
          <w:p>
            <w:pPr>
              <w:spacing w:line="288" w:lineRule="auto"/>
              <w:rPr>
                <w:color w:val="000000"/>
                <w:highlight w:val="none"/>
              </w:rPr>
            </w:pPr>
            <w:r>
              <w:rPr>
                <w:rFonts w:hint="eastAsia"/>
                <w:b/>
                <w:bCs/>
                <w:highlight w:val="black"/>
              </w:rPr>
              <w:sym w:font="Wingdings 2" w:char="0052"/>
            </w:r>
            <w:r>
              <w:rPr>
                <w:rFonts w:hint="eastAsia"/>
                <w:color w:val="000000"/>
                <w:highlight w:val="none"/>
              </w:rPr>
              <w:t>不允许</w:t>
            </w:r>
          </w:p>
          <w:p>
            <w:pPr>
              <w:spacing w:line="288" w:lineRule="auto"/>
              <w:rPr>
                <w:color w:val="000000"/>
                <w:highlight w:val="none"/>
              </w:rPr>
            </w:pPr>
            <w:r>
              <w:rPr>
                <w:rFonts w:hint="eastAsia"/>
                <w:color w:val="000000"/>
                <w:highlight w:val="none"/>
              </w:rPr>
              <w:t>□允许，备选投标方案的编制要求见附表</w:t>
            </w:r>
          </w:p>
          <w:p>
            <w:pPr>
              <w:spacing w:line="288" w:lineRule="auto"/>
              <w:rPr>
                <w:color w:val="000000"/>
                <w:highlight w:val="none"/>
              </w:rPr>
            </w:pPr>
            <w:r>
              <w:rPr>
                <w:rFonts w:hint="eastAsia"/>
                <w:color w:val="000000"/>
                <w:highlight w:val="none"/>
              </w:rPr>
              <w:t xml:space="preserve">  七“备选投标方案编制要求”，评审和</w:t>
            </w:r>
          </w:p>
          <w:p>
            <w:pPr>
              <w:spacing w:line="288" w:lineRule="auto"/>
              <w:rPr>
                <w:color w:val="000000"/>
                <w:highlight w:val="none"/>
                <w:u w:val="single"/>
              </w:rPr>
            </w:pPr>
            <w:r>
              <w:rPr>
                <w:rFonts w:hint="eastAsia"/>
                <w:color w:val="000000"/>
                <w:highlight w:val="none"/>
              </w:rPr>
              <w:t xml:space="preserve">  比较方法见第三章“评标办法”。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3.7.3</w:t>
            </w:r>
          </w:p>
        </w:tc>
        <w:tc>
          <w:tcPr>
            <w:tcW w:w="3447" w:type="dxa"/>
            <w:gridSpan w:val="4"/>
            <w:shd w:val="clear" w:color="auto" w:fill="auto"/>
            <w:vAlign w:val="center"/>
          </w:tcPr>
          <w:p>
            <w:pPr>
              <w:rPr>
                <w:color w:val="000000"/>
                <w:highlight w:val="none"/>
              </w:rPr>
            </w:pPr>
            <w:r>
              <w:rPr>
                <w:rFonts w:hint="eastAsia"/>
                <w:color w:val="000000"/>
                <w:highlight w:val="none"/>
              </w:rPr>
              <w:t>签字和（或）盖章要求</w:t>
            </w:r>
          </w:p>
        </w:tc>
        <w:tc>
          <w:tcPr>
            <w:tcW w:w="4031" w:type="dxa"/>
            <w:shd w:val="clear" w:color="auto" w:fill="auto"/>
            <w:vAlign w:val="center"/>
          </w:tcPr>
          <w:p>
            <w:pPr>
              <w:spacing w:line="440" w:lineRule="exact"/>
              <w:rPr>
                <w:highlight w:val="none"/>
              </w:rPr>
            </w:pPr>
            <w:r>
              <w:rPr>
                <w:rFonts w:hint="eastAsia"/>
                <w:kern w:val="0"/>
                <w:szCs w:val="21"/>
                <w:highlight w:val="none"/>
                <w:u w:val="single"/>
              </w:rPr>
              <w:t>投标文件应加盖投标人公章及由法定代表人或其委托代理人签字。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jc w:val="center"/>
              <w:rPr>
                <w:color w:val="000000"/>
                <w:highlight w:val="none"/>
              </w:rPr>
            </w:pPr>
            <w:r>
              <w:rPr>
                <w:rFonts w:hint="eastAsia"/>
                <w:color w:val="000000"/>
                <w:highlight w:val="none"/>
              </w:rPr>
              <w:t>3.7.4</w:t>
            </w:r>
          </w:p>
        </w:tc>
        <w:tc>
          <w:tcPr>
            <w:tcW w:w="3447" w:type="dxa"/>
            <w:gridSpan w:val="4"/>
            <w:shd w:val="clear" w:color="auto" w:fill="auto"/>
            <w:vAlign w:val="center"/>
          </w:tcPr>
          <w:p>
            <w:pPr>
              <w:rPr>
                <w:color w:val="000000"/>
                <w:highlight w:val="none"/>
              </w:rPr>
            </w:pPr>
            <w:r>
              <w:rPr>
                <w:rFonts w:hint="eastAsia"/>
                <w:color w:val="000000"/>
                <w:highlight w:val="none"/>
              </w:rPr>
              <w:t>投标文件副本份数</w:t>
            </w:r>
          </w:p>
        </w:tc>
        <w:tc>
          <w:tcPr>
            <w:tcW w:w="4031" w:type="dxa"/>
            <w:shd w:val="clear" w:color="auto" w:fill="auto"/>
            <w:vAlign w:val="center"/>
          </w:tcPr>
          <w:p>
            <w:pPr>
              <w:spacing w:line="288" w:lineRule="auto"/>
              <w:rPr>
                <w:color w:val="000000"/>
                <w:highlight w:val="none"/>
              </w:rPr>
            </w:pPr>
            <w:r>
              <w:rPr>
                <w:rFonts w:hint="eastAsia"/>
                <w:color w:val="000000"/>
                <w:highlight w:val="none"/>
                <w:u w:val="single"/>
              </w:rPr>
              <w:t>纸质版叁</w:t>
            </w:r>
            <w:r>
              <w:rPr>
                <w:rFonts w:hint="eastAsia"/>
                <w:color w:val="000000"/>
                <w:highlight w:val="none"/>
              </w:rPr>
              <w:t>份</w:t>
            </w:r>
            <w:r>
              <w:rPr>
                <w:rFonts w:hint="eastAsia" w:cs="Arial"/>
                <w:szCs w:val="21"/>
                <w:highlight w:val="none"/>
              </w:rPr>
              <w:t>，</w:t>
            </w:r>
            <w:r>
              <w:rPr>
                <w:rFonts w:hint="eastAsia"/>
                <w:highlight w:val="none"/>
              </w:rPr>
              <w:t>电子版投标文件一份（采用光盘，包含所有投标文件的word版和pdf版，其中商务标需要提供广联达版本及excel表格版）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3" w:hRule="atLeast"/>
        </w:trPr>
        <w:tc>
          <w:tcPr>
            <w:tcW w:w="1139" w:type="dxa"/>
            <w:shd w:val="clear" w:color="auto" w:fill="auto"/>
            <w:vAlign w:val="center"/>
          </w:tcPr>
          <w:p>
            <w:pPr>
              <w:jc w:val="center"/>
              <w:rPr>
                <w:color w:val="000000"/>
                <w:highlight w:val="none"/>
              </w:rPr>
            </w:pPr>
            <w:r>
              <w:rPr>
                <w:rFonts w:hint="eastAsia"/>
                <w:color w:val="000000"/>
                <w:highlight w:val="none"/>
              </w:rPr>
              <w:t>3.7.5</w:t>
            </w:r>
          </w:p>
        </w:tc>
        <w:tc>
          <w:tcPr>
            <w:tcW w:w="3447" w:type="dxa"/>
            <w:gridSpan w:val="4"/>
            <w:shd w:val="clear" w:color="auto" w:fill="auto"/>
            <w:vAlign w:val="center"/>
          </w:tcPr>
          <w:p>
            <w:pPr>
              <w:rPr>
                <w:color w:val="000000"/>
                <w:highlight w:val="none"/>
              </w:rPr>
            </w:pPr>
            <w:r>
              <w:rPr>
                <w:rFonts w:hint="eastAsia"/>
                <w:color w:val="000000"/>
                <w:highlight w:val="none"/>
              </w:rPr>
              <w:t>装订要求</w:t>
            </w:r>
          </w:p>
        </w:tc>
        <w:tc>
          <w:tcPr>
            <w:tcW w:w="4031" w:type="dxa"/>
            <w:shd w:val="clear" w:color="auto" w:fill="auto"/>
            <w:vAlign w:val="center"/>
          </w:tcPr>
          <w:p>
            <w:pPr>
              <w:spacing w:line="288" w:lineRule="auto"/>
              <w:rPr>
                <w:color w:val="000000"/>
                <w:highlight w:val="none"/>
              </w:rPr>
            </w:pPr>
            <w:r>
              <w:rPr>
                <w:rFonts w:hint="eastAsia"/>
                <w:color w:val="000000"/>
                <w:highlight w:val="none"/>
              </w:rPr>
              <w:t>□不分册装订</w:t>
            </w:r>
          </w:p>
          <w:p>
            <w:pPr>
              <w:spacing w:line="440" w:lineRule="exact"/>
              <w:rPr>
                <w:rFonts w:cs="Arial"/>
                <w:szCs w:val="21"/>
                <w:highlight w:val="none"/>
              </w:rPr>
            </w:pPr>
            <w:r>
              <w:rPr>
                <w:rFonts w:hint="eastAsia" w:cs="Arial"/>
                <w:szCs w:val="32"/>
                <w:highlight w:val="none"/>
              </w:rPr>
              <w:t>■</w:t>
            </w:r>
            <w:r>
              <w:rPr>
                <w:rFonts w:hint="eastAsia" w:cs="Arial"/>
                <w:szCs w:val="21"/>
                <w:highlight w:val="none"/>
              </w:rPr>
              <w:t>分册装订，共分</w:t>
            </w:r>
            <w:r>
              <w:rPr>
                <w:rFonts w:hint="eastAsia" w:cs="Arial"/>
                <w:szCs w:val="21"/>
                <w:highlight w:val="none"/>
                <w:u w:val="single"/>
              </w:rPr>
              <w:t xml:space="preserve"> 肆 </w:t>
            </w:r>
            <w:r>
              <w:rPr>
                <w:rFonts w:hint="eastAsia" w:cs="Arial"/>
                <w:szCs w:val="21"/>
                <w:highlight w:val="none"/>
              </w:rPr>
              <w:t xml:space="preserve">册，分别为： </w:t>
            </w:r>
          </w:p>
          <w:p>
            <w:pPr>
              <w:spacing w:line="440" w:lineRule="exact"/>
              <w:rPr>
                <w:rFonts w:cs="Arial"/>
                <w:szCs w:val="21"/>
                <w:highlight w:val="none"/>
              </w:rPr>
            </w:pPr>
            <w:r>
              <w:rPr>
                <w:rFonts w:hint="eastAsia" w:cs="Arial"/>
                <w:szCs w:val="21"/>
                <w:highlight w:val="none"/>
              </w:rPr>
              <w:t xml:space="preserve">  投标函，</w:t>
            </w:r>
            <w:r>
              <w:rPr>
                <w:rFonts w:ascii="Arial" w:hAnsi="Arial"/>
                <w:highlight w:val="none"/>
              </w:rPr>
              <w:t>包括</w:t>
            </w:r>
            <w:r>
              <w:rPr>
                <w:rFonts w:ascii="Arial" w:hAnsi="Arial"/>
                <w:highlight w:val="none"/>
                <w:u w:val="single"/>
              </w:rPr>
              <w:t xml:space="preserve"> </w:t>
            </w:r>
            <w:r>
              <w:rPr>
                <w:rFonts w:hint="eastAsia" w:ascii="Arial" w:hAnsi="Arial"/>
                <w:highlight w:val="none"/>
                <w:u w:val="single"/>
              </w:rPr>
              <w:t>（1）、（2）、（3）、（4）</w:t>
            </w:r>
            <w:r>
              <w:rPr>
                <w:rFonts w:ascii="Arial" w:hAnsi="Arial"/>
                <w:highlight w:val="none"/>
              </w:rPr>
              <w:t>的内容</w:t>
            </w:r>
          </w:p>
          <w:p>
            <w:pPr>
              <w:spacing w:line="440" w:lineRule="exact"/>
              <w:ind w:firstLine="210" w:firstLineChars="100"/>
              <w:rPr>
                <w:rFonts w:ascii="Arial" w:hAnsi="Arial"/>
                <w:highlight w:val="none"/>
              </w:rPr>
            </w:pPr>
            <w:r>
              <w:rPr>
                <w:rFonts w:hint="eastAsia" w:cs="Arial"/>
                <w:szCs w:val="21"/>
                <w:highlight w:val="none"/>
              </w:rPr>
              <w:t>商务标，</w:t>
            </w:r>
            <w:r>
              <w:rPr>
                <w:rFonts w:ascii="Arial" w:hAnsi="Arial"/>
                <w:highlight w:val="none"/>
              </w:rPr>
              <w:t>包括</w:t>
            </w:r>
            <w:r>
              <w:rPr>
                <w:rFonts w:ascii="Arial" w:hAnsi="Arial"/>
                <w:highlight w:val="none"/>
                <w:u w:val="single"/>
              </w:rPr>
              <w:t xml:space="preserve"> </w:t>
            </w:r>
            <w:r>
              <w:rPr>
                <w:rFonts w:hint="eastAsia" w:ascii="Arial" w:hAnsi="Arial"/>
                <w:highlight w:val="none"/>
                <w:u w:val="single"/>
              </w:rPr>
              <w:t>（5）</w:t>
            </w:r>
            <w:r>
              <w:rPr>
                <w:rFonts w:ascii="Arial" w:hAnsi="Arial"/>
                <w:highlight w:val="none"/>
                <w:u w:val="single"/>
              </w:rPr>
              <w:t xml:space="preserve">  </w:t>
            </w:r>
            <w:r>
              <w:rPr>
                <w:rFonts w:ascii="Arial" w:hAnsi="Arial"/>
                <w:highlight w:val="none"/>
              </w:rPr>
              <w:t>的内容</w:t>
            </w:r>
          </w:p>
          <w:p>
            <w:pPr>
              <w:spacing w:line="440" w:lineRule="exact"/>
              <w:ind w:firstLine="210" w:firstLineChars="100"/>
              <w:rPr>
                <w:rFonts w:ascii="Arial" w:hAnsi="Arial"/>
                <w:highlight w:val="none"/>
              </w:rPr>
            </w:pPr>
            <w:r>
              <w:rPr>
                <w:rFonts w:hint="eastAsia" w:ascii="Arial" w:hAnsi="Arial"/>
                <w:highlight w:val="none"/>
              </w:rPr>
              <w:t>技术标，包括</w:t>
            </w:r>
            <w:r>
              <w:rPr>
                <w:rFonts w:hint="eastAsia" w:ascii="Arial" w:hAnsi="Arial"/>
                <w:highlight w:val="none"/>
                <w:u w:val="single"/>
              </w:rPr>
              <w:t>（6）、（7）、（8）</w:t>
            </w:r>
            <w:r>
              <w:rPr>
                <w:rFonts w:hint="eastAsia" w:ascii="Arial" w:hAnsi="Arial"/>
                <w:highlight w:val="none"/>
              </w:rPr>
              <w:t>的内容</w:t>
            </w:r>
          </w:p>
          <w:p>
            <w:pPr>
              <w:spacing w:line="440" w:lineRule="exact"/>
              <w:rPr>
                <w:rFonts w:ascii="Arial" w:hAnsi="Arial"/>
                <w:highlight w:val="none"/>
              </w:rPr>
            </w:pPr>
            <w:r>
              <w:rPr>
                <w:rFonts w:hint="eastAsia" w:ascii="Arial" w:hAnsi="Arial"/>
                <w:highlight w:val="none"/>
              </w:rPr>
              <w:t xml:space="preserve">  资格审查文件，包括</w:t>
            </w:r>
            <w:r>
              <w:rPr>
                <w:rFonts w:hint="eastAsia" w:ascii="Arial" w:hAnsi="Arial"/>
                <w:highlight w:val="none"/>
                <w:u w:val="single"/>
              </w:rPr>
              <w:t>（9）、（10）</w:t>
            </w:r>
            <w:r>
              <w:rPr>
                <w:rFonts w:hint="eastAsia" w:ascii="Arial" w:hAnsi="Arial"/>
                <w:highlight w:val="none"/>
              </w:rPr>
              <w:t>的内容</w:t>
            </w:r>
          </w:p>
          <w:p>
            <w:pPr>
              <w:spacing w:line="440" w:lineRule="exact"/>
              <w:rPr>
                <w:color w:val="000000"/>
                <w:highlight w:val="none"/>
              </w:rPr>
            </w:pPr>
            <w:r>
              <w:rPr>
                <w:rFonts w:hint="eastAsia" w:ascii="Arial" w:hAnsi="Arial"/>
                <w:highlight w:val="none"/>
              </w:rPr>
              <w:t xml:space="preserve">  </w:t>
            </w:r>
            <w:r>
              <w:rPr>
                <w:rFonts w:hint="eastAsia" w:cs="Arial"/>
                <w:szCs w:val="21"/>
                <w:highlight w:val="none"/>
              </w:rPr>
              <w:t>每册采用</w:t>
            </w:r>
            <w:r>
              <w:rPr>
                <w:rFonts w:hint="eastAsia" w:cs="Arial"/>
                <w:szCs w:val="21"/>
                <w:highlight w:val="none"/>
                <w:u w:val="single"/>
              </w:rPr>
              <w:t xml:space="preserve">  左侧胶装  </w:t>
            </w:r>
            <w:r>
              <w:rPr>
                <w:rFonts w:hint="eastAsia" w:cs="Arial"/>
                <w:szCs w:val="21"/>
                <w:highlight w:val="none"/>
              </w:rPr>
              <w:t>方式装订，装订应牢固、不易拆散和换页，不得采用活页装订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7" w:hRule="atLeast"/>
        </w:trPr>
        <w:tc>
          <w:tcPr>
            <w:tcW w:w="1139" w:type="dxa"/>
            <w:shd w:val="clear" w:color="auto" w:fill="auto"/>
            <w:vAlign w:val="center"/>
          </w:tcPr>
          <w:p>
            <w:pPr>
              <w:jc w:val="center"/>
              <w:rPr>
                <w:color w:val="000000"/>
                <w:highlight w:val="none"/>
              </w:rPr>
            </w:pPr>
            <w:r>
              <w:rPr>
                <w:rFonts w:hint="eastAsia"/>
                <w:color w:val="000000"/>
                <w:highlight w:val="none"/>
              </w:rPr>
              <w:t>4.1.2</w:t>
            </w:r>
          </w:p>
        </w:tc>
        <w:tc>
          <w:tcPr>
            <w:tcW w:w="3447" w:type="dxa"/>
            <w:gridSpan w:val="4"/>
            <w:shd w:val="clear" w:color="auto" w:fill="auto"/>
            <w:vAlign w:val="center"/>
          </w:tcPr>
          <w:p>
            <w:pPr>
              <w:rPr>
                <w:color w:val="000000"/>
                <w:highlight w:val="none"/>
              </w:rPr>
            </w:pPr>
            <w:r>
              <w:rPr>
                <w:rFonts w:hint="eastAsia"/>
                <w:color w:val="000000"/>
                <w:highlight w:val="none"/>
              </w:rPr>
              <w:t>封套上写明</w:t>
            </w:r>
          </w:p>
        </w:tc>
        <w:tc>
          <w:tcPr>
            <w:tcW w:w="4031" w:type="dxa"/>
            <w:shd w:val="clear" w:color="auto" w:fill="auto"/>
            <w:vAlign w:val="center"/>
          </w:tcPr>
          <w:p>
            <w:pPr>
              <w:spacing w:line="288" w:lineRule="auto"/>
              <w:rPr>
                <w:color w:val="000000"/>
                <w:highlight w:val="none"/>
              </w:rPr>
            </w:pPr>
            <w:r>
              <w:rPr>
                <w:rFonts w:hint="eastAsia"/>
                <w:color w:val="000000"/>
                <w:highlight w:val="none"/>
              </w:rPr>
              <w:t>招标人地址：</w:t>
            </w:r>
          </w:p>
          <w:p>
            <w:pPr>
              <w:spacing w:line="288" w:lineRule="auto"/>
              <w:rPr>
                <w:color w:val="000000"/>
                <w:highlight w:val="none"/>
              </w:rPr>
            </w:pPr>
            <w:r>
              <w:rPr>
                <w:rFonts w:hint="eastAsia"/>
                <w:color w:val="000000"/>
                <w:highlight w:val="none"/>
              </w:rPr>
              <w:t>招标人名称：</w:t>
            </w:r>
          </w:p>
          <w:p>
            <w:pPr>
              <w:spacing w:line="288" w:lineRule="auto"/>
              <w:rPr>
                <w:color w:val="000000"/>
                <w:highlight w:val="none"/>
              </w:rPr>
            </w:pPr>
            <w:r>
              <w:rPr>
                <w:rFonts w:hint="eastAsia"/>
                <w:color w:val="000000"/>
                <w:highlight w:val="none"/>
                <w:u w:val="single"/>
              </w:rPr>
              <w:t xml:space="preserve">        </w:t>
            </w:r>
            <w:r>
              <w:rPr>
                <w:rFonts w:hint="eastAsia"/>
                <w:color w:val="000000"/>
                <w:highlight w:val="none"/>
              </w:rPr>
              <w:t>（项目名称）投标文件在</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r>
              <w:rPr>
                <w:rFonts w:hint="eastAsia"/>
                <w:color w:val="000000"/>
                <w:highlight w:val="none"/>
                <w:u w:val="single"/>
              </w:rPr>
              <w:t xml:space="preserve">  </w:t>
            </w:r>
            <w:r>
              <w:rPr>
                <w:rFonts w:hint="eastAsia"/>
                <w:color w:val="000000"/>
                <w:highlight w:val="none"/>
              </w:rPr>
              <w:t>时</w:t>
            </w:r>
            <w:r>
              <w:rPr>
                <w:rFonts w:hint="eastAsia"/>
                <w:color w:val="000000"/>
                <w:highlight w:val="none"/>
                <w:u w:val="single"/>
              </w:rPr>
              <w:t xml:space="preserve">  </w:t>
            </w:r>
            <w:r>
              <w:rPr>
                <w:rFonts w:hint="eastAsia"/>
                <w:color w:val="000000"/>
                <w:highlight w:val="none"/>
              </w:rPr>
              <w:t>分前不得开启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2" w:hRule="atLeast"/>
        </w:trPr>
        <w:tc>
          <w:tcPr>
            <w:tcW w:w="1139" w:type="dxa"/>
            <w:shd w:val="clear" w:color="auto" w:fill="auto"/>
            <w:vAlign w:val="center"/>
          </w:tcPr>
          <w:p>
            <w:pPr>
              <w:jc w:val="center"/>
              <w:rPr>
                <w:color w:val="000000"/>
                <w:highlight w:val="none"/>
              </w:rPr>
            </w:pPr>
            <w:r>
              <w:rPr>
                <w:rFonts w:hint="eastAsia"/>
                <w:color w:val="000000"/>
                <w:highlight w:val="none"/>
              </w:rPr>
              <w:t>4.2.2</w:t>
            </w:r>
          </w:p>
        </w:tc>
        <w:tc>
          <w:tcPr>
            <w:tcW w:w="3447" w:type="dxa"/>
            <w:gridSpan w:val="4"/>
            <w:shd w:val="clear" w:color="auto" w:fill="auto"/>
            <w:vAlign w:val="center"/>
          </w:tcPr>
          <w:p>
            <w:pPr>
              <w:rPr>
                <w:color w:val="000000"/>
                <w:highlight w:val="none"/>
              </w:rPr>
            </w:pPr>
            <w:r>
              <w:rPr>
                <w:rFonts w:hint="eastAsia"/>
                <w:color w:val="000000"/>
                <w:highlight w:val="none"/>
              </w:rPr>
              <w:t>递交投标文件地点</w:t>
            </w:r>
          </w:p>
        </w:tc>
        <w:tc>
          <w:tcPr>
            <w:tcW w:w="4031" w:type="dxa"/>
            <w:shd w:val="clear" w:color="auto" w:fill="auto"/>
            <w:vAlign w:val="center"/>
          </w:tcPr>
          <w:p>
            <w:pPr>
              <w:kinsoku w:val="0"/>
              <w:overflowPunct w:val="0"/>
              <w:autoSpaceDE w:val="0"/>
              <w:autoSpaceDN w:val="0"/>
              <w:adjustRightInd w:val="0"/>
              <w:spacing w:line="360" w:lineRule="auto"/>
              <w:jc w:val="left"/>
              <w:textAlignment w:val="baseline"/>
              <w:rPr>
                <w:color w:val="000000"/>
                <w:highlight w:val="none"/>
              </w:rPr>
            </w:pPr>
            <w:r>
              <w:rPr>
                <w:rFonts w:hint="eastAsia"/>
                <w:color w:val="000000"/>
                <w:highlight w:val="none"/>
              </w:rPr>
              <w:t xml:space="preserve">黄石市民之家四楼开标室（湖北省黄石市大冶市园博园大道）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1139" w:type="dxa"/>
            <w:shd w:val="clear" w:color="auto" w:fill="auto"/>
            <w:vAlign w:val="center"/>
          </w:tcPr>
          <w:p>
            <w:pPr>
              <w:jc w:val="center"/>
              <w:rPr>
                <w:color w:val="000000"/>
                <w:highlight w:val="none"/>
              </w:rPr>
            </w:pPr>
            <w:r>
              <w:rPr>
                <w:rFonts w:hint="eastAsia"/>
                <w:color w:val="000000"/>
                <w:highlight w:val="none"/>
              </w:rPr>
              <w:t>4.2.3</w:t>
            </w:r>
          </w:p>
        </w:tc>
        <w:tc>
          <w:tcPr>
            <w:tcW w:w="3447" w:type="dxa"/>
            <w:gridSpan w:val="4"/>
            <w:shd w:val="clear" w:color="auto" w:fill="auto"/>
            <w:vAlign w:val="center"/>
          </w:tcPr>
          <w:p>
            <w:pPr>
              <w:rPr>
                <w:color w:val="000000"/>
                <w:highlight w:val="none"/>
              </w:rPr>
            </w:pPr>
            <w:r>
              <w:rPr>
                <w:rFonts w:hint="eastAsia"/>
                <w:color w:val="000000"/>
                <w:highlight w:val="none"/>
              </w:rPr>
              <w:t>是否退还投标文件</w:t>
            </w:r>
          </w:p>
        </w:tc>
        <w:tc>
          <w:tcPr>
            <w:tcW w:w="4031" w:type="dxa"/>
            <w:shd w:val="clear" w:color="auto" w:fill="auto"/>
            <w:vAlign w:val="center"/>
          </w:tcPr>
          <w:p>
            <w:pPr>
              <w:spacing w:line="288" w:lineRule="auto"/>
              <w:rPr>
                <w:color w:val="000000"/>
                <w:highlight w:val="none"/>
              </w:rPr>
            </w:pPr>
            <w:r>
              <w:rPr>
                <w:rFonts w:hint="eastAsia"/>
                <w:color w:val="000000"/>
                <w:highlight w:val="black"/>
              </w:rPr>
              <w:sym w:font="Wingdings 2" w:char="0052"/>
            </w:r>
            <w:r>
              <w:rPr>
                <w:rFonts w:hint="eastAsia"/>
                <w:color w:val="000000"/>
                <w:highlight w:val="none"/>
              </w:rPr>
              <w:t>否</w:t>
            </w:r>
          </w:p>
          <w:p>
            <w:pPr>
              <w:spacing w:line="288" w:lineRule="auto"/>
              <w:rPr>
                <w:color w:val="000000"/>
                <w:highlight w:val="none"/>
                <w:u w:val="single"/>
              </w:rPr>
            </w:pPr>
            <w:r>
              <w:rPr>
                <w:rFonts w:hint="eastAsia"/>
                <w:color w:val="000000"/>
                <w:highlight w:val="none"/>
              </w:rPr>
              <w:t>□是，退还安排：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trPr>
        <w:tc>
          <w:tcPr>
            <w:tcW w:w="1139" w:type="dxa"/>
            <w:shd w:val="clear" w:color="auto" w:fill="auto"/>
            <w:vAlign w:val="center"/>
          </w:tcPr>
          <w:p>
            <w:pPr>
              <w:jc w:val="center"/>
              <w:rPr>
                <w:color w:val="000000"/>
                <w:highlight w:val="none"/>
              </w:rPr>
            </w:pPr>
            <w:r>
              <w:rPr>
                <w:rFonts w:hint="eastAsia"/>
                <w:color w:val="000000"/>
                <w:highlight w:val="none"/>
              </w:rPr>
              <w:t>5.1</w:t>
            </w:r>
          </w:p>
        </w:tc>
        <w:tc>
          <w:tcPr>
            <w:tcW w:w="3447" w:type="dxa"/>
            <w:gridSpan w:val="4"/>
            <w:shd w:val="clear" w:color="auto" w:fill="auto"/>
            <w:vAlign w:val="center"/>
          </w:tcPr>
          <w:p>
            <w:pPr>
              <w:rPr>
                <w:color w:val="000000"/>
                <w:highlight w:val="none"/>
              </w:rPr>
            </w:pPr>
            <w:r>
              <w:rPr>
                <w:rFonts w:hint="eastAsia"/>
                <w:color w:val="000000"/>
                <w:highlight w:val="none"/>
              </w:rPr>
              <w:t>开标时间和地点</w:t>
            </w:r>
          </w:p>
        </w:tc>
        <w:tc>
          <w:tcPr>
            <w:tcW w:w="4031" w:type="dxa"/>
            <w:shd w:val="clear" w:color="auto" w:fill="auto"/>
            <w:vAlign w:val="center"/>
          </w:tcPr>
          <w:p>
            <w:pPr>
              <w:spacing w:line="288" w:lineRule="auto"/>
              <w:rPr>
                <w:color w:val="000000"/>
                <w:highlight w:val="none"/>
              </w:rPr>
            </w:pPr>
            <w:r>
              <w:rPr>
                <w:rFonts w:hint="eastAsia"/>
                <w:color w:val="000000"/>
                <w:highlight w:val="none"/>
              </w:rPr>
              <w:t>开标时间：同投标截止时间</w:t>
            </w:r>
          </w:p>
          <w:p>
            <w:pPr>
              <w:spacing w:line="288" w:lineRule="auto"/>
              <w:rPr>
                <w:color w:val="000000"/>
                <w:highlight w:val="none"/>
              </w:rPr>
            </w:pPr>
            <w:r>
              <w:rPr>
                <w:rFonts w:hint="eastAsia"/>
                <w:color w:val="000000"/>
                <w:highlight w:val="none"/>
              </w:rPr>
              <w:t>开标地点：同投标文件递交地点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1139" w:type="dxa"/>
            <w:shd w:val="clear" w:color="auto" w:fill="auto"/>
            <w:vAlign w:val="center"/>
          </w:tcPr>
          <w:p>
            <w:pPr>
              <w:jc w:val="center"/>
              <w:rPr>
                <w:color w:val="000000"/>
                <w:highlight w:val="none"/>
              </w:rPr>
            </w:pPr>
            <w:r>
              <w:rPr>
                <w:rFonts w:hint="eastAsia"/>
                <w:color w:val="000000"/>
                <w:highlight w:val="none"/>
              </w:rPr>
              <w:t>5.2</w:t>
            </w:r>
          </w:p>
        </w:tc>
        <w:tc>
          <w:tcPr>
            <w:tcW w:w="3447" w:type="dxa"/>
            <w:gridSpan w:val="4"/>
            <w:shd w:val="clear" w:color="auto" w:fill="auto"/>
            <w:vAlign w:val="center"/>
          </w:tcPr>
          <w:p>
            <w:pPr>
              <w:rPr>
                <w:color w:val="000000"/>
                <w:highlight w:val="none"/>
              </w:rPr>
            </w:pPr>
            <w:r>
              <w:rPr>
                <w:rFonts w:hint="eastAsia"/>
                <w:color w:val="000000"/>
                <w:highlight w:val="none"/>
              </w:rPr>
              <w:t>开标程序</w:t>
            </w:r>
          </w:p>
        </w:tc>
        <w:tc>
          <w:tcPr>
            <w:tcW w:w="4031" w:type="dxa"/>
            <w:shd w:val="clear" w:color="auto" w:fill="auto"/>
            <w:vAlign w:val="center"/>
          </w:tcPr>
          <w:p>
            <w:pPr>
              <w:spacing w:line="440" w:lineRule="exact"/>
              <w:rPr>
                <w:rFonts w:cs="Arial"/>
                <w:szCs w:val="21"/>
                <w:highlight w:val="none"/>
              </w:rPr>
            </w:pPr>
            <w:r>
              <w:rPr>
                <w:rFonts w:hint="eastAsia"/>
                <w:color w:val="000000"/>
                <w:highlight w:val="none"/>
              </w:rPr>
              <w:t>（</w:t>
            </w:r>
            <w:r>
              <w:rPr>
                <w:rFonts w:hint="eastAsia"/>
                <w:color w:val="000000"/>
                <w:highlight w:val="none"/>
                <w:lang w:val="en-US" w:eastAsia="zh-CN"/>
              </w:rPr>
              <w:t>1</w:t>
            </w:r>
            <w:r>
              <w:rPr>
                <w:rFonts w:hint="eastAsia"/>
                <w:color w:val="000000"/>
                <w:highlight w:val="none"/>
              </w:rPr>
              <w:t>）密封情况检查：</w:t>
            </w:r>
            <w:r>
              <w:rPr>
                <w:rFonts w:hint="eastAsia" w:cs="Arial"/>
                <w:szCs w:val="21"/>
                <w:highlight w:val="none"/>
                <w:u w:val="single"/>
              </w:rPr>
              <w:t>由投标人或者其推选的代表检查投标文件的密封情况。</w:t>
            </w:r>
          </w:p>
          <w:p>
            <w:pPr>
              <w:spacing w:line="288" w:lineRule="auto"/>
              <w:rPr>
                <w:color w:val="000000"/>
                <w:highlight w:val="none"/>
              </w:rPr>
            </w:pPr>
            <w:r>
              <w:rPr>
                <w:rFonts w:hint="eastAsia"/>
                <w:color w:val="000000"/>
                <w:highlight w:val="none"/>
              </w:rPr>
              <w:t>（</w:t>
            </w:r>
            <w:r>
              <w:rPr>
                <w:rFonts w:hint="eastAsia"/>
                <w:color w:val="000000"/>
                <w:highlight w:val="none"/>
                <w:lang w:val="en-US" w:eastAsia="zh-CN"/>
              </w:rPr>
              <w:t>2</w:t>
            </w:r>
            <w:r>
              <w:rPr>
                <w:rFonts w:hint="eastAsia"/>
                <w:color w:val="000000"/>
                <w:highlight w:val="none"/>
              </w:rPr>
              <w:t>）开标顺序：随机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7" w:hRule="atLeast"/>
        </w:trPr>
        <w:tc>
          <w:tcPr>
            <w:tcW w:w="1139" w:type="dxa"/>
            <w:shd w:val="clear" w:color="auto" w:fill="auto"/>
            <w:vAlign w:val="center"/>
          </w:tcPr>
          <w:p>
            <w:pPr>
              <w:jc w:val="center"/>
              <w:rPr>
                <w:color w:val="000000"/>
                <w:highlight w:val="none"/>
              </w:rPr>
            </w:pPr>
            <w:r>
              <w:rPr>
                <w:rFonts w:hint="eastAsia"/>
                <w:color w:val="000000"/>
                <w:highlight w:val="none"/>
              </w:rPr>
              <w:t>6.1.1</w:t>
            </w:r>
          </w:p>
        </w:tc>
        <w:tc>
          <w:tcPr>
            <w:tcW w:w="3447" w:type="dxa"/>
            <w:gridSpan w:val="4"/>
            <w:shd w:val="clear" w:color="auto" w:fill="auto"/>
            <w:vAlign w:val="center"/>
          </w:tcPr>
          <w:p>
            <w:pPr>
              <w:rPr>
                <w:color w:val="000000"/>
                <w:highlight w:val="none"/>
              </w:rPr>
            </w:pPr>
            <w:r>
              <w:rPr>
                <w:rFonts w:hint="eastAsia"/>
                <w:color w:val="000000"/>
                <w:highlight w:val="none"/>
              </w:rPr>
              <w:t>评标委员会的组建</w:t>
            </w:r>
          </w:p>
        </w:tc>
        <w:tc>
          <w:tcPr>
            <w:tcW w:w="4031" w:type="dxa"/>
            <w:shd w:val="clear" w:color="auto" w:fill="auto"/>
            <w:vAlign w:val="center"/>
          </w:tcPr>
          <w:p>
            <w:pPr>
              <w:spacing w:line="288" w:lineRule="auto"/>
              <w:rPr>
                <w:color w:val="000000"/>
                <w:highlight w:val="none"/>
              </w:rPr>
            </w:pPr>
            <w:r>
              <w:rPr>
                <w:rFonts w:hint="eastAsia"/>
                <w:color w:val="000000"/>
                <w:highlight w:val="none"/>
              </w:rPr>
              <w:t>评标委员会构成：</w:t>
            </w:r>
            <w:r>
              <w:rPr>
                <w:rFonts w:hint="eastAsia"/>
                <w:color w:val="000000"/>
                <w:highlight w:val="none"/>
                <w:u w:val="single"/>
              </w:rPr>
              <w:t xml:space="preserve"> 7</w:t>
            </w:r>
            <w:r>
              <w:rPr>
                <w:rFonts w:hint="eastAsia"/>
                <w:color w:val="000000"/>
                <w:highlight w:val="none"/>
              </w:rPr>
              <w:t>人，其中招标人代表</w:t>
            </w:r>
            <w:r>
              <w:rPr>
                <w:rFonts w:hint="eastAsia"/>
                <w:color w:val="000000"/>
                <w:highlight w:val="none"/>
                <w:u w:val="single"/>
              </w:rPr>
              <w:t xml:space="preserve"> 2</w:t>
            </w:r>
            <w:r>
              <w:rPr>
                <w:rFonts w:hint="eastAsia"/>
                <w:color w:val="000000"/>
                <w:highlight w:val="none"/>
              </w:rPr>
              <w:t>人，专家</w:t>
            </w:r>
            <w:r>
              <w:rPr>
                <w:rFonts w:hint="eastAsia"/>
                <w:color w:val="000000"/>
                <w:highlight w:val="none"/>
                <w:u w:val="single"/>
              </w:rPr>
              <w:t>5</w:t>
            </w:r>
            <w:r>
              <w:rPr>
                <w:rFonts w:hint="eastAsia"/>
                <w:color w:val="000000"/>
                <w:highlight w:val="none"/>
              </w:rPr>
              <w:t>人；</w:t>
            </w:r>
          </w:p>
          <w:p>
            <w:pPr>
              <w:spacing w:line="288" w:lineRule="auto"/>
              <w:rPr>
                <w:color w:val="000000"/>
                <w:highlight w:val="none"/>
              </w:rPr>
            </w:pPr>
            <w:r>
              <w:rPr>
                <w:rFonts w:hint="eastAsia"/>
                <w:color w:val="000000"/>
                <w:highlight w:val="none"/>
              </w:rPr>
              <w:t>评标专家确定方式：</w:t>
            </w:r>
            <w:r>
              <w:rPr>
                <w:rFonts w:hint="eastAsia"/>
                <w:color w:val="000000"/>
                <w:highlight w:val="none"/>
                <w:u w:val="single"/>
              </w:rPr>
              <w:t>在专家库中随机抽取</w:t>
            </w:r>
            <w:r>
              <w:rPr>
                <w:rFonts w:hint="eastAsia"/>
                <w:color w:val="000000"/>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1139" w:type="dxa"/>
            <w:shd w:val="clear" w:color="auto" w:fill="auto"/>
            <w:vAlign w:val="center"/>
          </w:tcPr>
          <w:p>
            <w:pPr>
              <w:jc w:val="center"/>
              <w:rPr>
                <w:color w:val="000000"/>
                <w:highlight w:val="none"/>
              </w:rPr>
            </w:pPr>
            <w:r>
              <w:rPr>
                <w:rFonts w:hint="eastAsia"/>
                <w:color w:val="000000"/>
                <w:highlight w:val="none"/>
              </w:rPr>
              <w:t>7.1</w:t>
            </w:r>
          </w:p>
        </w:tc>
        <w:tc>
          <w:tcPr>
            <w:tcW w:w="3447" w:type="dxa"/>
            <w:gridSpan w:val="4"/>
            <w:shd w:val="clear" w:color="auto" w:fill="auto"/>
            <w:vAlign w:val="center"/>
          </w:tcPr>
          <w:p>
            <w:pPr>
              <w:rPr>
                <w:color w:val="000000"/>
                <w:highlight w:val="none"/>
              </w:rPr>
            </w:pPr>
            <w:r>
              <w:rPr>
                <w:rFonts w:hint="eastAsia"/>
                <w:color w:val="000000"/>
                <w:highlight w:val="none"/>
              </w:rPr>
              <w:t>是否授权评标委员会确定中标人</w:t>
            </w:r>
          </w:p>
        </w:tc>
        <w:tc>
          <w:tcPr>
            <w:tcW w:w="4031" w:type="dxa"/>
            <w:shd w:val="clear" w:color="auto" w:fill="auto"/>
            <w:vAlign w:val="center"/>
          </w:tcPr>
          <w:p>
            <w:pPr>
              <w:spacing w:line="288" w:lineRule="auto"/>
              <w:rPr>
                <w:color w:val="000000"/>
                <w:highlight w:val="none"/>
              </w:rPr>
            </w:pPr>
            <w:r>
              <w:rPr>
                <w:rFonts w:hint="eastAsia"/>
                <w:color w:val="000000"/>
                <w:highlight w:val="none"/>
              </w:rPr>
              <w:t>□是</w:t>
            </w:r>
          </w:p>
          <w:p>
            <w:pPr>
              <w:spacing w:line="288" w:lineRule="auto"/>
              <w:rPr>
                <w:color w:val="000000"/>
                <w:highlight w:val="none"/>
              </w:rPr>
            </w:pPr>
            <w:r>
              <w:rPr>
                <w:rFonts w:hint="eastAsia"/>
                <w:color w:val="000000"/>
                <w:highlight w:val="black"/>
              </w:rPr>
              <w:sym w:font="Wingdings 2" w:char="0052"/>
            </w:r>
            <w:r>
              <w:rPr>
                <w:rFonts w:hint="eastAsia"/>
                <w:color w:val="000000"/>
                <w:highlight w:val="none"/>
              </w:rPr>
              <w:t>否，推荐的中标候选人数：</w:t>
            </w:r>
            <w:r>
              <w:rPr>
                <w:rFonts w:hint="eastAsia"/>
                <w:color w:val="000000"/>
                <w:highlight w:val="none"/>
                <w:u w:val="single"/>
              </w:rPr>
              <w:t xml:space="preserve">    3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1139" w:type="dxa"/>
            <w:shd w:val="clear" w:color="auto" w:fill="auto"/>
            <w:vAlign w:val="center"/>
          </w:tcPr>
          <w:p>
            <w:pPr>
              <w:jc w:val="center"/>
              <w:rPr>
                <w:color w:val="000000"/>
                <w:highlight w:val="none"/>
              </w:rPr>
            </w:pPr>
            <w:r>
              <w:rPr>
                <w:rFonts w:hint="eastAsia"/>
                <w:color w:val="000000"/>
                <w:highlight w:val="none"/>
              </w:rPr>
              <w:t>7.3.1</w:t>
            </w:r>
          </w:p>
        </w:tc>
        <w:tc>
          <w:tcPr>
            <w:tcW w:w="3447" w:type="dxa"/>
            <w:gridSpan w:val="4"/>
            <w:shd w:val="clear" w:color="auto" w:fill="auto"/>
            <w:vAlign w:val="center"/>
          </w:tcPr>
          <w:p>
            <w:pPr>
              <w:rPr>
                <w:color w:val="000000"/>
                <w:highlight w:val="none"/>
              </w:rPr>
            </w:pPr>
            <w:r>
              <w:rPr>
                <w:rFonts w:hint="eastAsia"/>
                <w:color w:val="000000"/>
                <w:highlight w:val="none"/>
              </w:rPr>
              <w:t>履约担保</w:t>
            </w:r>
          </w:p>
        </w:tc>
        <w:tc>
          <w:tcPr>
            <w:tcW w:w="4031" w:type="dxa"/>
            <w:shd w:val="clear" w:color="auto" w:fill="auto"/>
            <w:vAlign w:val="center"/>
          </w:tcPr>
          <w:p>
            <w:pPr>
              <w:spacing w:line="288" w:lineRule="auto"/>
              <w:rPr>
                <w:color w:val="000000"/>
                <w:highlight w:val="none"/>
              </w:rPr>
            </w:pPr>
            <w:r>
              <w:rPr>
                <w:rFonts w:hint="eastAsia"/>
                <w:color w:val="000000"/>
                <w:highlight w:val="none"/>
              </w:rPr>
              <w:t>履约担保的形式：保函</w:t>
            </w:r>
          </w:p>
          <w:p>
            <w:pPr>
              <w:spacing w:line="288" w:lineRule="auto"/>
              <w:rPr>
                <w:color w:val="000000"/>
                <w:highlight w:val="none"/>
              </w:rPr>
            </w:pPr>
            <w:r>
              <w:rPr>
                <w:rFonts w:hint="eastAsia"/>
                <w:color w:val="000000"/>
                <w:highlight w:val="none"/>
              </w:rPr>
              <w:t>履约担保的金额：中标金额10%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39" w:type="dxa"/>
            <w:shd w:val="clear" w:color="auto" w:fill="auto"/>
            <w:vAlign w:val="center"/>
          </w:tcPr>
          <w:p>
            <w:pPr>
              <w:ind w:firstLine="420" w:firstLineChars="200"/>
              <w:rPr>
                <w:highlight w:val="none"/>
              </w:rPr>
            </w:pPr>
            <w:r>
              <w:rPr>
                <w:highlight w:val="none"/>
              </w:rPr>
              <w:t>9.5</w:t>
            </w:r>
          </w:p>
        </w:tc>
        <w:tc>
          <w:tcPr>
            <w:tcW w:w="3447" w:type="dxa"/>
            <w:gridSpan w:val="4"/>
            <w:shd w:val="clear" w:color="auto" w:fill="auto"/>
            <w:vAlign w:val="center"/>
          </w:tcPr>
          <w:p>
            <w:pPr>
              <w:rPr>
                <w:highlight w:val="none"/>
              </w:rPr>
            </w:pPr>
          </w:p>
        </w:tc>
        <w:tc>
          <w:tcPr>
            <w:tcW w:w="4031" w:type="dxa"/>
            <w:shd w:val="clear" w:color="auto" w:fill="auto"/>
            <w:vAlign w:val="center"/>
          </w:tcPr>
          <w:p>
            <w:pPr>
              <w:rPr>
                <w:highlight w:val="none"/>
              </w:rPr>
            </w:pPr>
            <w:r>
              <w:rPr>
                <w:rFonts w:hint="eastAsia" w:cs="Arial"/>
                <w:szCs w:val="21"/>
                <w:highlight w:val="none"/>
              </w:rPr>
              <w:t>投标人或者其他利害关系人认为招标投标活动不符合法律、行政法规规定的，可以自知道或者应当知道之日起10日内向有关行政监督部门投诉。投诉应当有明确的请求和必要的证明材料。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17" w:type="dxa"/>
            <w:gridSpan w:val="6"/>
            <w:shd w:val="clear" w:color="auto" w:fill="auto"/>
            <w:vAlign w:val="center"/>
          </w:tcPr>
          <w:p>
            <w:pPr>
              <w:spacing w:line="312" w:lineRule="auto"/>
              <w:rPr>
                <w:rFonts w:ascii="黑体" w:eastAsia="黑体"/>
                <w:color w:val="000000"/>
                <w:sz w:val="24"/>
                <w:highlight w:val="none"/>
              </w:rPr>
            </w:pPr>
            <w:r>
              <w:rPr>
                <w:rFonts w:hint="eastAsia" w:ascii="黑体" w:eastAsia="黑体"/>
                <w:color w:val="000000"/>
                <w:sz w:val="24"/>
                <w:highlight w:val="none"/>
              </w:rPr>
              <w:t>10.  需要补充的其他内容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8617" w:type="dxa"/>
            <w:gridSpan w:val="6"/>
            <w:tcBorders>
              <w:top w:val="single" w:color="auto" w:sz="4" w:space="0"/>
              <w:left w:val="single" w:color="auto" w:sz="4" w:space="0"/>
              <w:bottom w:val="single" w:color="auto" w:sz="4" w:space="0"/>
              <w:right w:val="single" w:color="auto" w:sz="4" w:space="0"/>
            </w:tcBorders>
          </w:tcPr>
          <w:p>
            <w:pPr>
              <w:spacing w:line="440" w:lineRule="exact"/>
              <w:rPr>
                <w:rFonts w:cs="Arial"/>
                <w:b/>
                <w:bCs/>
                <w:szCs w:val="21"/>
                <w:highlight w:val="none"/>
              </w:rPr>
            </w:pPr>
            <w:bookmarkStart w:id="1" w:name="_Toc241459617"/>
            <w:r>
              <w:rPr>
                <w:rFonts w:hint="eastAsia" w:cs="Arial"/>
                <w:b/>
                <w:bCs/>
                <w:szCs w:val="21"/>
                <w:highlight w:val="none"/>
              </w:rPr>
              <w:t>10.1 词语定义</w:t>
            </w:r>
            <w:bookmarkEnd w:id="1"/>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2" w:hRule="exac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r>
              <w:rPr>
                <w:rFonts w:hint="eastAsia" w:cs="Arial"/>
                <w:b/>
                <w:bCs/>
                <w:szCs w:val="21"/>
                <w:highlight w:val="none"/>
              </w:rPr>
              <w:t>10.1.1</w:t>
            </w:r>
          </w:p>
        </w:tc>
        <w:tc>
          <w:tcPr>
            <w:tcW w:w="1892"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r>
              <w:rPr>
                <w:rFonts w:hint="eastAsia" w:cs="Arial"/>
                <w:szCs w:val="21"/>
                <w:highlight w:val="none"/>
              </w:rPr>
              <w:t>类似项目</w:t>
            </w:r>
          </w:p>
        </w:tc>
        <w:tc>
          <w:tcPr>
            <w:tcW w:w="5567"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jc w:val="left"/>
              <w:rPr>
                <w:rFonts w:hint="default"/>
                <w:szCs w:val="21"/>
                <w:highlight w:val="none"/>
                <w:u w:val="single"/>
                <w:lang w:val="en-US" w:eastAsia="zh-CN"/>
              </w:rPr>
            </w:pPr>
            <w:r>
              <w:rPr>
                <w:szCs w:val="21"/>
                <w:highlight w:val="none"/>
                <w:u w:val="single"/>
              </w:rPr>
              <w:t>类似项目指</w:t>
            </w:r>
            <w:r>
              <w:rPr>
                <w:rFonts w:hint="eastAsia"/>
                <w:szCs w:val="21"/>
                <w:highlight w:val="none"/>
                <w:u w:val="single"/>
              </w:rPr>
              <w:t>现代有轨电车</w:t>
            </w:r>
            <w:r>
              <w:rPr>
                <w:rFonts w:hint="eastAsia"/>
                <w:szCs w:val="21"/>
                <w:highlight w:val="none"/>
                <w:u w:val="single"/>
                <w:lang w:eastAsia="zh-CN"/>
              </w:rPr>
              <w:t>（</w:t>
            </w:r>
            <w:r>
              <w:rPr>
                <w:rFonts w:hint="eastAsia"/>
                <w:szCs w:val="21"/>
                <w:highlight w:val="none"/>
                <w:u w:val="single"/>
                <w:lang w:val="en-US" w:eastAsia="zh-CN"/>
              </w:rPr>
              <w:t>仅指钢轮钢轨</w:t>
            </w:r>
            <w:r>
              <w:rPr>
                <w:rFonts w:hint="eastAsia"/>
                <w:szCs w:val="21"/>
                <w:highlight w:val="none"/>
                <w:u w:val="single"/>
                <w:lang w:eastAsia="zh-CN"/>
              </w:rPr>
              <w:t>）</w:t>
            </w:r>
            <w:r>
              <w:rPr>
                <w:rFonts w:hint="eastAsia"/>
                <w:szCs w:val="21"/>
                <w:highlight w:val="none"/>
                <w:u w:val="single"/>
              </w:rPr>
              <w:t>或地铁或轻轨</w:t>
            </w:r>
            <w:r>
              <w:rPr>
                <w:rFonts w:hint="eastAsia"/>
                <w:szCs w:val="21"/>
                <w:highlight w:val="none"/>
                <w:u w:val="single"/>
                <w:lang w:eastAsia="zh-CN"/>
              </w:rPr>
              <w:t>（</w:t>
            </w:r>
            <w:r>
              <w:rPr>
                <w:rFonts w:hint="eastAsia"/>
                <w:szCs w:val="21"/>
                <w:highlight w:val="none"/>
                <w:u w:val="single"/>
                <w:lang w:val="en-US" w:eastAsia="zh-CN"/>
              </w:rPr>
              <w:t>不含单轨</w:t>
            </w:r>
            <w:r>
              <w:rPr>
                <w:rFonts w:hint="eastAsia"/>
                <w:szCs w:val="21"/>
                <w:highlight w:val="none"/>
                <w:u w:val="single"/>
                <w:lang w:eastAsia="zh-CN"/>
              </w:rPr>
              <w:t>）</w:t>
            </w:r>
            <w:r>
              <w:rPr>
                <w:rFonts w:hint="eastAsia"/>
                <w:szCs w:val="21"/>
                <w:highlight w:val="none"/>
                <w:u w:val="single"/>
              </w:rPr>
              <w:t>项目</w:t>
            </w:r>
            <w:r>
              <w:rPr>
                <w:rFonts w:hint="eastAsia"/>
                <w:szCs w:val="21"/>
                <w:highlight w:val="none"/>
                <w:u w:val="single"/>
                <w:lang w:val="en-US" w:eastAsia="zh-CN"/>
              </w:rPr>
              <w:t>的</w:t>
            </w:r>
            <w:r>
              <w:rPr>
                <w:szCs w:val="21"/>
                <w:highlight w:val="none"/>
                <w:u w:val="single"/>
              </w:rPr>
              <w:t>轨道工程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9" w:hRule="exac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r>
              <w:rPr>
                <w:rFonts w:hint="eastAsia" w:cs="Arial"/>
                <w:b/>
                <w:bCs/>
                <w:szCs w:val="21"/>
                <w:highlight w:val="none"/>
              </w:rPr>
              <w:t>10.1.2</w:t>
            </w:r>
          </w:p>
        </w:tc>
        <w:tc>
          <w:tcPr>
            <w:tcW w:w="1892"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r>
              <w:rPr>
                <w:rFonts w:hint="eastAsia" w:cs="Arial"/>
                <w:szCs w:val="21"/>
                <w:highlight w:val="none"/>
              </w:rPr>
              <w:t>业绩要求</w:t>
            </w:r>
          </w:p>
        </w:tc>
        <w:tc>
          <w:tcPr>
            <w:tcW w:w="5567"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见本招标文件招标公告。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8617" w:type="dxa"/>
            <w:gridSpan w:val="6"/>
            <w:tcBorders>
              <w:top w:val="single" w:color="auto" w:sz="4" w:space="0"/>
              <w:left w:val="single" w:color="auto" w:sz="4" w:space="0"/>
              <w:bottom w:val="single" w:color="auto" w:sz="4" w:space="0"/>
              <w:right w:val="single" w:color="auto" w:sz="4" w:space="0"/>
            </w:tcBorders>
          </w:tcPr>
          <w:p>
            <w:pPr>
              <w:spacing w:line="440" w:lineRule="exact"/>
              <w:rPr>
                <w:rFonts w:cs="Arial"/>
                <w:b/>
                <w:bCs/>
                <w:szCs w:val="21"/>
                <w:highlight w:val="none"/>
              </w:rPr>
            </w:pPr>
            <w:r>
              <w:rPr>
                <w:rFonts w:hint="eastAsia" w:cs="Arial"/>
                <w:bCs/>
                <w:szCs w:val="21"/>
                <w:highlight w:val="none"/>
              </w:rPr>
              <w:t>1</w:t>
            </w:r>
            <w:r>
              <w:rPr>
                <w:rFonts w:hint="eastAsia" w:cs="Arial"/>
                <w:b/>
                <w:bCs/>
                <w:szCs w:val="21"/>
                <w:highlight w:val="none"/>
              </w:rPr>
              <w:t>0.2 招标控制价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1158" w:type="dxa"/>
            <w:gridSpan w:val="2"/>
            <w:tcBorders>
              <w:top w:val="single" w:color="auto" w:sz="4" w:space="0"/>
              <w:left w:val="single" w:color="auto" w:sz="4" w:space="0"/>
              <w:bottom w:val="single" w:color="auto" w:sz="4" w:space="0"/>
              <w:right w:val="single" w:color="auto" w:sz="4" w:space="0"/>
            </w:tcBorders>
          </w:tcPr>
          <w:p>
            <w:pPr>
              <w:spacing w:line="440" w:lineRule="exact"/>
              <w:rPr>
                <w:rFonts w:cs="Arial"/>
                <w:bCs/>
                <w:szCs w:val="21"/>
                <w:highlight w:val="none"/>
              </w:rPr>
            </w:pPr>
          </w:p>
        </w:tc>
        <w:tc>
          <w:tcPr>
            <w:tcW w:w="1892"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bCs/>
                <w:szCs w:val="21"/>
                <w:highlight w:val="none"/>
              </w:rPr>
            </w:pPr>
            <w:r>
              <w:rPr>
                <w:rFonts w:hint="eastAsia" w:cs="Arial"/>
                <w:bCs/>
                <w:szCs w:val="21"/>
                <w:highlight w:val="none"/>
              </w:rPr>
              <w:t>招标控制价</w:t>
            </w:r>
          </w:p>
        </w:tc>
        <w:tc>
          <w:tcPr>
            <w:tcW w:w="5567" w:type="dxa"/>
            <w:gridSpan w:val="2"/>
            <w:tcBorders>
              <w:top w:val="single" w:color="auto" w:sz="4" w:space="0"/>
              <w:left w:val="single" w:color="auto" w:sz="4" w:space="0"/>
              <w:bottom w:val="single" w:color="auto" w:sz="4" w:space="0"/>
              <w:right w:val="single" w:color="auto" w:sz="4" w:space="0"/>
            </w:tcBorders>
            <w:vAlign w:val="center"/>
          </w:tcPr>
          <w:p>
            <w:pPr>
              <w:pStyle w:val="77"/>
              <w:topLinePunct/>
              <w:spacing w:line="400" w:lineRule="exact"/>
              <w:rPr>
                <w:rFonts w:hAnsi="宋体" w:cs="Arial"/>
                <w:sz w:val="21"/>
                <w:szCs w:val="21"/>
                <w:highlight w:val="none"/>
              </w:rPr>
            </w:pPr>
            <w:r>
              <w:rPr>
                <w:rFonts w:hAnsi="宋体" w:cs="Arial"/>
                <w:sz w:val="21"/>
                <w:szCs w:val="32"/>
                <w:highlight w:val="none"/>
              </w:rPr>
              <w:t>□</w:t>
            </w:r>
            <w:r>
              <w:rPr>
                <w:rFonts w:hint="eastAsia" w:hAnsi="宋体" w:cs="Arial"/>
                <w:sz w:val="21"/>
                <w:szCs w:val="32"/>
                <w:highlight w:val="none"/>
              </w:rPr>
              <w:t>不设招标控制价</w:t>
            </w:r>
          </w:p>
          <w:p>
            <w:pPr>
              <w:spacing w:line="440" w:lineRule="exact"/>
              <w:rPr>
                <w:rFonts w:cs="Arial"/>
                <w:szCs w:val="21"/>
                <w:highlight w:val="none"/>
              </w:rPr>
            </w:pPr>
            <w:r>
              <w:rPr>
                <w:rFonts w:hint="eastAsia"/>
                <w:color w:val="000000"/>
                <w:highlight w:val="black"/>
              </w:rPr>
              <w:sym w:font="Wingdings 2" w:char="0052"/>
            </w:r>
            <w:r>
              <w:rPr>
                <w:rFonts w:hint="eastAsia" w:cs="Arial"/>
                <w:szCs w:val="21"/>
                <w:highlight w:val="none"/>
              </w:rPr>
              <w:t>设招标控制价：</w:t>
            </w:r>
            <w:r>
              <w:rPr>
                <w:rFonts w:hint="eastAsia"/>
                <w:highlight w:val="none"/>
                <w:u w:val="single"/>
              </w:rPr>
              <w:t>312981787.31</w:t>
            </w:r>
            <w:r>
              <w:rPr>
                <w:rFonts w:hint="eastAsia"/>
                <w:highlight w:val="none"/>
              </w:rPr>
              <w:t>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2" w:name="_Toc241459618"/>
            <w:r>
              <w:rPr>
                <w:rFonts w:hint="eastAsia" w:cs="Arial"/>
                <w:b/>
                <w:szCs w:val="32"/>
                <w:highlight w:val="none"/>
              </w:rPr>
              <w:t xml:space="preserve">10.3 </w:t>
            </w:r>
            <w:r>
              <w:rPr>
                <w:rFonts w:cs="Arial"/>
                <w:b/>
                <w:szCs w:val="32"/>
                <w:highlight w:val="none"/>
              </w:rPr>
              <w:t>“</w:t>
            </w:r>
            <w:r>
              <w:rPr>
                <w:rFonts w:hint="eastAsia" w:cs="Arial"/>
                <w:b/>
                <w:szCs w:val="32"/>
                <w:highlight w:val="none"/>
              </w:rPr>
              <w:t>暗标</w:t>
            </w:r>
            <w:r>
              <w:rPr>
                <w:rFonts w:cs="Arial"/>
                <w:b/>
                <w:szCs w:val="32"/>
                <w:highlight w:val="none"/>
              </w:rPr>
              <w:t>”</w:t>
            </w:r>
            <w:r>
              <w:rPr>
                <w:rFonts w:hint="eastAsia" w:cs="Arial"/>
                <w:b/>
                <w:szCs w:val="32"/>
                <w:highlight w:val="none"/>
              </w:rPr>
              <w:t>评审</w:t>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8"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1892"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r>
              <w:rPr>
                <w:rFonts w:hint="eastAsia" w:cs="Arial"/>
                <w:szCs w:val="21"/>
                <w:highlight w:val="none"/>
              </w:rPr>
              <w:t>施工组织设计是否采用“暗标”评审方式</w:t>
            </w:r>
          </w:p>
        </w:tc>
        <w:tc>
          <w:tcPr>
            <w:tcW w:w="5567"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bookmarkStart w:id="2497" w:name="_GoBack"/>
            <w:r>
              <w:rPr>
                <w:rFonts w:hint="eastAsia"/>
                <w:color w:val="000000"/>
                <w:highlight w:val="black"/>
              </w:rPr>
              <w:sym w:font="Wingdings 2" w:char="0052"/>
            </w:r>
            <w:bookmarkEnd w:id="2497"/>
            <w:r>
              <w:rPr>
                <w:rFonts w:hint="eastAsia" w:cs="Arial"/>
                <w:szCs w:val="21"/>
                <w:highlight w:val="none"/>
              </w:rPr>
              <w:t>不采用</w:t>
            </w:r>
          </w:p>
          <w:p>
            <w:pPr>
              <w:spacing w:line="440" w:lineRule="exact"/>
              <w:rPr>
                <w:rFonts w:cs="Arial"/>
                <w:szCs w:val="21"/>
                <w:highlight w:val="none"/>
              </w:rPr>
            </w:pPr>
            <w:r>
              <w:rPr>
                <w:rFonts w:cs="Arial"/>
                <w:szCs w:val="32"/>
                <w:highlight w:val="none"/>
              </w:rPr>
              <w:t>□</w:t>
            </w:r>
            <w:r>
              <w:rPr>
                <w:rFonts w:hint="eastAsia" w:cs="Arial"/>
                <w:szCs w:val="21"/>
                <w:highlight w:val="none"/>
              </w:rPr>
              <w:t>采用</w:t>
            </w:r>
            <w:r>
              <w:rPr>
                <w:rFonts w:cs="Arial"/>
                <w:szCs w:val="21"/>
                <w:highlight w:val="none"/>
              </w:rPr>
              <w:t>，</w:t>
            </w:r>
            <w:r>
              <w:rPr>
                <w:rFonts w:hint="eastAsia" w:cs="Arial"/>
                <w:szCs w:val="21"/>
                <w:highlight w:val="none"/>
              </w:rPr>
              <w:t>投标人应严格按照第八章“投标文件格式”中“施工组织设计（技术暗标）编制及装订要求”编制和装订施工组织设计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szCs w:val="32"/>
                <w:highlight w:val="none"/>
              </w:rPr>
            </w:pPr>
            <w:bookmarkStart w:id="3" w:name="_Toc241459619"/>
            <w:r>
              <w:rPr>
                <w:rFonts w:hint="eastAsia" w:cs="Arial"/>
                <w:b/>
                <w:bCs/>
                <w:szCs w:val="21"/>
                <w:highlight w:val="none"/>
              </w:rPr>
              <w:t>10.4 投标文件电子版</w:t>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0"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1752" w:type="dxa"/>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szCs w:val="21"/>
                <w:highlight w:val="none"/>
              </w:rPr>
            </w:pPr>
            <w:r>
              <w:rPr>
                <w:rFonts w:hint="eastAsia" w:cs="Arial"/>
                <w:b/>
                <w:szCs w:val="21"/>
                <w:highlight w:val="none"/>
              </w:rPr>
              <w:t>是否要求投标人在递交投标文件时，同时递交投标文件电子版</w:t>
            </w:r>
          </w:p>
        </w:tc>
        <w:tc>
          <w:tcPr>
            <w:tcW w:w="5707"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r>
              <w:rPr>
                <w:rFonts w:cs="Arial"/>
                <w:szCs w:val="32"/>
                <w:highlight w:val="none"/>
              </w:rPr>
              <w:t>□</w:t>
            </w:r>
            <w:r>
              <w:rPr>
                <w:rFonts w:hint="eastAsia" w:cs="Arial"/>
                <w:szCs w:val="21"/>
                <w:highlight w:val="none"/>
              </w:rPr>
              <w:t>不要求</w:t>
            </w:r>
          </w:p>
          <w:p>
            <w:pPr>
              <w:spacing w:line="440" w:lineRule="exact"/>
              <w:rPr>
                <w:rFonts w:cs="Arial"/>
                <w:szCs w:val="21"/>
                <w:highlight w:val="none"/>
              </w:rPr>
            </w:pPr>
            <w:r>
              <w:rPr>
                <w:rFonts w:hint="eastAsia"/>
                <w:color w:val="000000"/>
                <w:highlight w:val="none"/>
              </w:rPr>
              <w:sym w:font="Wingdings 2" w:char="0052"/>
            </w:r>
            <w:r>
              <w:rPr>
                <w:rFonts w:hint="eastAsia" w:cs="Arial"/>
                <w:szCs w:val="21"/>
                <w:highlight w:val="none"/>
              </w:rPr>
              <w:t>要求</w:t>
            </w:r>
            <w:r>
              <w:rPr>
                <w:rFonts w:cs="Arial"/>
                <w:szCs w:val="21"/>
                <w:highlight w:val="none"/>
              </w:rPr>
              <w:t>，</w:t>
            </w:r>
            <w:r>
              <w:rPr>
                <w:rFonts w:hint="eastAsia" w:cs="Arial"/>
                <w:szCs w:val="21"/>
                <w:highlight w:val="none"/>
              </w:rPr>
              <w:t>投标文件电子版内容：</w:t>
            </w:r>
            <w:r>
              <w:rPr>
                <w:rFonts w:hint="eastAsia" w:cs="Arial"/>
                <w:szCs w:val="21"/>
                <w:highlight w:val="none"/>
                <w:u w:val="single"/>
              </w:rPr>
              <w:t xml:space="preserve"> 提供全套投标文件，包括：商务标、技术标等；  </w:t>
            </w:r>
          </w:p>
          <w:p>
            <w:pPr>
              <w:spacing w:line="440" w:lineRule="exact"/>
              <w:rPr>
                <w:rFonts w:cs="Arial"/>
                <w:szCs w:val="21"/>
                <w:highlight w:val="none"/>
              </w:rPr>
            </w:pPr>
            <w:r>
              <w:rPr>
                <w:rFonts w:hint="eastAsia" w:cs="Arial"/>
                <w:szCs w:val="21"/>
                <w:highlight w:val="none"/>
              </w:rPr>
              <w:t>投标文件电子版份数：</w:t>
            </w:r>
            <w:r>
              <w:rPr>
                <w:rFonts w:hint="eastAsia" w:cs="Arial"/>
                <w:szCs w:val="21"/>
                <w:highlight w:val="none"/>
                <w:u w:val="single"/>
              </w:rPr>
              <w:t xml:space="preserve"> 一份 </w:t>
            </w:r>
            <w:r>
              <w:rPr>
                <w:rFonts w:hint="eastAsia" w:cs="Arial"/>
                <w:szCs w:val="21"/>
                <w:highlight w:val="none"/>
              </w:rPr>
              <w:t>投标文件电子版形式：</w:t>
            </w:r>
            <w:r>
              <w:rPr>
                <w:rFonts w:hint="eastAsia"/>
                <w:highlight w:val="none"/>
                <w:u w:val="single"/>
              </w:rPr>
              <w:t>采用光盘，包含所有投标文件的word版和pdf版，其中商务标需要提供广联达版本及excel表格版）</w:t>
            </w:r>
          </w:p>
          <w:p>
            <w:pPr>
              <w:spacing w:line="440" w:lineRule="exact"/>
              <w:rPr>
                <w:kern w:val="0"/>
                <w:szCs w:val="21"/>
                <w:highlight w:val="none"/>
              </w:rPr>
            </w:pPr>
            <w:r>
              <w:rPr>
                <w:rFonts w:hint="eastAsia" w:cs="Arial"/>
                <w:szCs w:val="21"/>
                <w:highlight w:val="none"/>
              </w:rPr>
              <w:t>投标文件电子版密封方式：</w:t>
            </w:r>
            <w:r>
              <w:rPr>
                <w:rFonts w:ascii="Arial" w:hAnsi="Arial" w:cs="Arial"/>
                <w:bCs/>
                <w:szCs w:val="21"/>
                <w:highlight w:val="none"/>
              </w:rPr>
              <w:t>单独放入一个</w:t>
            </w:r>
            <w:r>
              <w:rPr>
                <w:rFonts w:hint="eastAsia" w:ascii="Arial" w:hAnsi="Arial" w:cs="Arial"/>
                <w:bCs/>
                <w:szCs w:val="21"/>
                <w:highlight w:val="none"/>
              </w:rPr>
              <w:t>密封袋</w:t>
            </w:r>
            <w:r>
              <w:rPr>
                <w:rFonts w:ascii="Arial" w:hAnsi="Arial" w:cs="Arial"/>
                <w:bCs/>
                <w:szCs w:val="21"/>
                <w:highlight w:val="none"/>
              </w:rPr>
              <w:t>中，</w:t>
            </w:r>
            <w:r>
              <w:rPr>
                <w:rFonts w:hint="eastAsia" w:ascii="Arial" w:hAnsi="Arial" w:cs="Arial"/>
                <w:bCs/>
                <w:szCs w:val="21"/>
                <w:highlight w:val="none"/>
              </w:rPr>
              <w:t>加贴封条，并在封套封口处加盖投标人单位章，</w:t>
            </w:r>
            <w:r>
              <w:rPr>
                <w:rFonts w:ascii="Arial" w:hAnsi="Arial" w:cs="Arial"/>
                <w:szCs w:val="21"/>
                <w:highlight w:val="none"/>
              </w:rPr>
              <w:t>在</w:t>
            </w:r>
            <w:r>
              <w:rPr>
                <w:rFonts w:hint="eastAsia" w:ascii="Arial" w:hAnsi="Arial" w:cs="Arial"/>
                <w:szCs w:val="21"/>
                <w:highlight w:val="none"/>
              </w:rPr>
              <w:t>封套上标记“</w:t>
            </w:r>
            <w:r>
              <w:rPr>
                <w:rFonts w:ascii="Arial" w:hAnsi="Arial" w:cs="Arial"/>
                <w:szCs w:val="21"/>
                <w:highlight w:val="none"/>
              </w:rPr>
              <w:t>投标文件</w:t>
            </w:r>
            <w:r>
              <w:rPr>
                <w:rFonts w:hint="eastAsia" w:ascii="Arial" w:hAnsi="Arial" w:cs="Arial"/>
                <w:szCs w:val="21"/>
                <w:highlight w:val="none"/>
              </w:rPr>
              <w:t>电子版”</w:t>
            </w:r>
            <w:r>
              <w:rPr>
                <w:rFonts w:ascii="Arial" w:hAnsi="Arial" w:cs="Arial"/>
                <w:szCs w:val="21"/>
                <w:highlight w:val="none"/>
              </w:rPr>
              <w:t>字样</w:t>
            </w:r>
            <w:r>
              <w:rPr>
                <w:rFonts w:hint="eastAsia" w:ascii="Arial" w:hAnsi="Arial" w:cs="Arial"/>
                <w:szCs w:val="21"/>
                <w:highlight w:val="none"/>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4" w:name="_Toc241459621"/>
            <w:r>
              <w:rPr>
                <w:rFonts w:hint="eastAsia" w:cs="Arial"/>
                <w:b/>
                <w:bCs/>
                <w:szCs w:val="21"/>
                <w:highlight w:val="none"/>
              </w:rPr>
              <w:t>10.5 投标人代表出席开标会</w:t>
            </w:r>
            <w:bookmarkEnd w:id="4"/>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360" w:lineRule="auto"/>
              <w:rPr>
                <w:rFonts w:cs="Arial"/>
                <w:szCs w:val="32"/>
                <w:highlight w:val="none"/>
              </w:rPr>
            </w:pPr>
            <w:r>
              <w:rPr>
                <w:rFonts w:hint="eastAsia" w:cs="Arial"/>
                <w:szCs w:val="21"/>
                <w:highlight w:val="none"/>
              </w:rPr>
              <w:t>按照本须知第5.1款的规定，招标人邀请所有投标人的法定代表人或其委托代理人参加开标会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5" w:name="_Toc241459622"/>
            <w:r>
              <w:rPr>
                <w:rFonts w:hint="eastAsia" w:cs="Arial"/>
                <w:b/>
                <w:bCs/>
                <w:szCs w:val="21"/>
                <w:highlight w:val="none"/>
              </w:rPr>
              <w:t xml:space="preserve">10.6 </w:t>
            </w:r>
            <w:r>
              <w:rPr>
                <w:rFonts w:cs="Arial"/>
                <w:b/>
                <w:bCs/>
                <w:szCs w:val="21"/>
                <w:highlight w:val="none"/>
              </w:rPr>
              <w:t>中标公示</w:t>
            </w:r>
            <w:bookmarkEnd w:id="5"/>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cs="Arial"/>
                <w:szCs w:val="21"/>
                <w:highlight w:val="none"/>
              </w:rPr>
            </w:pPr>
            <w:r>
              <w:rPr>
                <w:rFonts w:hint="eastAsia" w:ascii="Arial" w:hAnsi="Arial"/>
                <w:szCs w:val="21"/>
                <w:highlight w:val="none"/>
              </w:rPr>
              <w:t>在中标通知书发出前，招标人将中标候选人的情况在本招标项目招标公告发布的同一媒介予以公示，公示期不少于3日（截止日应当为工作日）。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6" w:name="_Toc241459623"/>
            <w:r>
              <w:rPr>
                <w:rFonts w:hint="eastAsia" w:cs="Arial"/>
                <w:b/>
                <w:bCs/>
                <w:szCs w:val="21"/>
                <w:highlight w:val="none"/>
              </w:rPr>
              <w:t>10.7</w:t>
            </w:r>
            <w:r>
              <w:rPr>
                <w:rFonts w:cs="Arial"/>
                <w:b/>
                <w:bCs/>
                <w:szCs w:val="21"/>
                <w:highlight w:val="none"/>
              </w:rPr>
              <w:t>知识产权</w:t>
            </w:r>
            <w:bookmarkEnd w:id="6"/>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szCs w:val="21"/>
                <w:highlight w:val="none"/>
              </w:rPr>
            </w:pPr>
            <w:r>
              <w:rPr>
                <w:rFonts w:ascii="Arial" w:hAnsi="Arial" w:cs="Arial"/>
                <w:szCs w:val="21"/>
                <w:highlight w:val="none"/>
              </w:rPr>
              <w:t>构成本招标文件各个组成部分的文件，未经招标人书面同意，投标人不得擅自复印和用于非本招标</w:t>
            </w:r>
            <w:r>
              <w:rPr>
                <w:rFonts w:hint="eastAsia" w:ascii="Arial" w:hAnsi="Arial" w:cs="Arial"/>
                <w:szCs w:val="21"/>
                <w:highlight w:val="none"/>
              </w:rPr>
              <w:t>项目</w:t>
            </w:r>
            <w:r>
              <w:rPr>
                <w:rFonts w:ascii="Arial" w:hAnsi="Arial" w:cs="Arial"/>
                <w:szCs w:val="21"/>
                <w:highlight w:val="none"/>
              </w:rPr>
              <w:t>所需的其他目的</w:t>
            </w:r>
            <w:r>
              <w:rPr>
                <w:rFonts w:hint="eastAsia" w:ascii="Arial" w:hAnsi="Arial" w:cs="Arial"/>
                <w:szCs w:val="21"/>
                <w:highlight w:val="none"/>
              </w:rPr>
              <w:t>。</w:t>
            </w:r>
            <w:r>
              <w:rPr>
                <w:rFonts w:ascii="Arial" w:hAnsi="Arial" w:cs="Arial"/>
                <w:szCs w:val="21"/>
                <w:highlight w:val="none"/>
              </w:rPr>
              <w:t>招标人全部或者部分使用</w:t>
            </w:r>
            <w:r>
              <w:rPr>
                <w:rFonts w:hint="eastAsia" w:ascii="Arial" w:hAnsi="Arial" w:cs="Arial"/>
                <w:szCs w:val="21"/>
                <w:highlight w:val="none"/>
              </w:rPr>
              <w:t>未</w:t>
            </w:r>
            <w:r>
              <w:rPr>
                <w:rFonts w:ascii="Arial" w:hAnsi="Arial" w:cs="Arial"/>
                <w:szCs w:val="21"/>
                <w:highlight w:val="none"/>
              </w:rPr>
              <w:t>中标</w:t>
            </w:r>
            <w:r>
              <w:rPr>
                <w:rFonts w:hint="eastAsia" w:ascii="Arial" w:hAnsi="Arial" w:cs="Arial"/>
                <w:szCs w:val="21"/>
                <w:highlight w:val="none"/>
              </w:rPr>
              <w:t>人</w:t>
            </w:r>
            <w:r>
              <w:rPr>
                <w:rFonts w:ascii="Arial" w:hAnsi="Arial" w:cs="Arial"/>
                <w:szCs w:val="21"/>
                <w:highlight w:val="none"/>
              </w:rPr>
              <w:t>投标文件中的技术成果或技术方案时，需征得其书面同意，并不得擅自复印或提供给</w:t>
            </w:r>
            <w:r>
              <w:rPr>
                <w:rFonts w:hint="eastAsia" w:ascii="Arial" w:hAnsi="Arial" w:cs="Arial"/>
                <w:szCs w:val="21"/>
                <w:highlight w:val="none"/>
              </w:rPr>
              <w:t>第三</w:t>
            </w:r>
            <w:r>
              <w:rPr>
                <w:rFonts w:ascii="Arial" w:hAnsi="Arial" w:cs="Arial"/>
                <w:szCs w:val="21"/>
                <w:highlight w:val="none"/>
              </w:rPr>
              <w:t>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7" w:name="_Toc241459624"/>
            <w:r>
              <w:rPr>
                <w:rFonts w:hint="eastAsia" w:cs="Arial"/>
                <w:b/>
                <w:bCs/>
                <w:szCs w:val="21"/>
                <w:highlight w:val="none"/>
              </w:rPr>
              <w:t>10.8重新招标的其他情形</w:t>
            </w:r>
            <w:bookmarkEnd w:id="7"/>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99"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cs="Arial"/>
                <w:szCs w:val="21"/>
                <w:highlight w:val="none"/>
              </w:rPr>
            </w:pPr>
            <w:r>
              <w:rPr>
                <w:rFonts w:hint="eastAsia"/>
                <w:highlight w:val="none"/>
              </w:rPr>
              <w:t>除投标人须知正文第8条规定的情形外，除非已经产生中标候选人，在投标有效期内同意延长投标有效期的投标人少于三个的，招标人应当依法重新招标。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8" w:name="_Toc241459625"/>
            <w:r>
              <w:rPr>
                <w:rFonts w:hint="eastAsia" w:cs="Arial"/>
                <w:b/>
                <w:bCs/>
                <w:szCs w:val="21"/>
                <w:highlight w:val="none"/>
              </w:rPr>
              <w:t>10.</w:t>
            </w:r>
            <w:bookmarkEnd w:id="8"/>
            <w:bookmarkStart w:id="9" w:name="_Toc241459626"/>
            <w:r>
              <w:rPr>
                <w:rFonts w:hint="eastAsia" w:cs="Arial"/>
                <w:b/>
                <w:bCs/>
                <w:szCs w:val="21"/>
                <w:highlight w:val="none"/>
              </w:rPr>
              <w:t>9 同义词语</w:t>
            </w:r>
            <w:bookmarkEnd w:id="9"/>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45"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cs="Arial"/>
                <w:szCs w:val="21"/>
                <w:highlight w:val="none"/>
              </w:rPr>
            </w:pPr>
            <w:r>
              <w:rPr>
                <w:rFonts w:hint="eastAsia" w:ascii="Arial" w:hAnsi="Arial" w:cs="Arial"/>
                <w:szCs w:val="21"/>
                <w:highlight w:val="none"/>
              </w:rPr>
              <w:t>构成招标文件组成部分的“通用合同条款”、“专用合同条款”、“技术标准和要求”和“工程量清单”等章节中出现的措辞“发包人”和“承包人”，在招标投标阶段应当分别按“招标人”和“投标人”进行理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10" w:name="_Toc241459627"/>
            <w:r>
              <w:rPr>
                <w:rFonts w:hint="eastAsia" w:cs="Arial"/>
                <w:b/>
                <w:bCs/>
                <w:szCs w:val="21"/>
                <w:highlight w:val="none"/>
              </w:rPr>
              <w:t xml:space="preserve">10.11 </w:t>
            </w:r>
            <w:r>
              <w:rPr>
                <w:rFonts w:cs="Arial"/>
                <w:b/>
                <w:bCs/>
                <w:szCs w:val="21"/>
                <w:highlight w:val="none"/>
              </w:rPr>
              <w:t>监</w:t>
            </w:r>
            <w:r>
              <w:rPr>
                <w:rFonts w:hint="eastAsia" w:cs="Arial"/>
                <w:b/>
                <w:bCs/>
                <w:szCs w:val="21"/>
                <w:highlight w:val="none"/>
              </w:rPr>
              <w:t xml:space="preserve">  </w:t>
            </w:r>
            <w:r>
              <w:rPr>
                <w:rFonts w:cs="Arial"/>
                <w:b/>
                <w:bCs/>
                <w:szCs w:val="21"/>
                <w:highlight w:val="none"/>
              </w:rPr>
              <w:t>督</w:t>
            </w:r>
            <w:bookmarkEnd w:id="1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21"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cs="Arial"/>
                <w:szCs w:val="21"/>
                <w:highlight w:val="none"/>
              </w:rPr>
            </w:pPr>
            <w:r>
              <w:rPr>
                <w:rFonts w:ascii="Arial" w:hAnsi="Arial" w:cs="Arial"/>
                <w:szCs w:val="21"/>
                <w:highlight w:val="none"/>
              </w:rPr>
              <w:t>本</w:t>
            </w:r>
            <w:r>
              <w:rPr>
                <w:rFonts w:hint="eastAsia" w:ascii="Arial" w:hAnsi="Arial" w:cs="Arial"/>
                <w:szCs w:val="21"/>
                <w:highlight w:val="none"/>
              </w:rPr>
              <w:t>项目</w:t>
            </w:r>
            <w:r>
              <w:rPr>
                <w:rFonts w:ascii="Arial" w:hAnsi="Arial" w:cs="Arial"/>
                <w:szCs w:val="21"/>
                <w:highlight w:val="none"/>
              </w:rPr>
              <w:t>的招标投标活动及其相关当事人接受</w:t>
            </w:r>
            <w:r>
              <w:rPr>
                <w:rFonts w:hint="eastAsia" w:ascii="Arial" w:hAnsi="Arial" w:cs="Arial"/>
                <w:szCs w:val="21"/>
                <w:highlight w:val="none"/>
              </w:rPr>
              <w:t>有管辖权的建设工程</w:t>
            </w:r>
            <w:r>
              <w:rPr>
                <w:rFonts w:ascii="Arial" w:hAnsi="Arial" w:cs="Arial"/>
                <w:szCs w:val="21"/>
                <w:highlight w:val="none"/>
              </w:rPr>
              <w:t>招</w:t>
            </w:r>
            <w:r>
              <w:rPr>
                <w:rFonts w:hint="eastAsia" w:ascii="Arial" w:hAnsi="Arial" w:cs="Arial"/>
                <w:szCs w:val="21"/>
                <w:highlight w:val="none"/>
              </w:rPr>
              <w:t>标</w:t>
            </w:r>
            <w:r>
              <w:rPr>
                <w:rFonts w:ascii="Arial" w:hAnsi="Arial" w:cs="Arial"/>
                <w:szCs w:val="21"/>
                <w:highlight w:val="none"/>
              </w:rPr>
              <w:t>投标</w:t>
            </w:r>
            <w:r>
              <w:rPr>
                <w:rFonts w:hint="eastAsia" w:ascii="Arial" w:hAnsi="Arial" w:cs="Arial"/>
                <w:szCs w:val="21"/>
                <w:highlight w:val="none"/>
              </w:rPr>
              <w:t>行政</w:t>
            </w:r>
            <w:r>
              <w:rPr>
                <w:rFonts w:ascii="Arial" w:hAnsi="Arial" w:cs="Arial"/>
                <w:szCs w:val="21"/>
                <w:highlight w:val="none"/>
              </w:rPr>
              <w:t>监</w:t>
            </w:r>
            <w:r>
              <w:rPr>
                <w:rFonts w:hint="eastAsia" w:ascii="Arial" w:hAnsi="Arial" w:cs="Arial"/>
                <w:szCs w:val="21"/>
                <w:highlight w:val="none"/>
              </w:rPr>
              <w:t>督</w:t>
            </w:r>
            <w:r>
              <w:rPr>
                <w:rFonts w:ascii="Arial" w:hAnsi="Arial" w:cs="Arial"/>
                <w:szCs w:val="21"/>
                <w:highlight w:val="none"/>
              </w:rPr>
              <w:t>部门依法实施的监督</w:t>
            </w:r>
            <w:r>
              <w:rPr>
                <w:rFonts w:hint="eastAsia" w:ascii="Arial" w:hAnsi="Arial" w:cs="Arial"/>
                <w:szCs w:val="21"/>
                <w:highlight w:val="none"/>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67" w:hRule="exact"/>
        </w:trPr>
        <w:tc>
          <w:tcPr>
            <w:tcW w:w="8617" w:type="dxa"/>
            <w:gridSpan w:val="6"/>
            <w:tcBorders>
              <w:top w:val="single" w:color="auto" w:sz="4" w:space="0"/>
              <w:left w:val="single" w:color="auto" w:sz="4" w:space="0"/>
              <w:bottom w:val="single" w:color="auto" w:sz="4" w:space="0"/>
              <w:right w:val="single" w:color="auto" w:sz="4" w:space="0"/>
            </w:tcBorders>
            <w:vAlign w:val="center"/>
          </w:tcPr>
          <w:p>
            <w:pPr>
              <w:spacing w:line="440" w:lineRule="exact"/>
              <w:rPr>
                <w:rFonts w:cs="Arial"/>
                <w:b/>
                <w:bCs/>
                <w:szCs w:val="21"/>
                <w:highlight w:val="none"/>
              </w:rPr>
            </w:pPr>
            <w:bookmarkStart w:id="11" w:name="_Toc241459628"/>
            <w:r>
              <w:rPr>
                <w:rFonts w:hint="eastAsia" w:cs="Arial"/>
                <w:b/>
                <w:bCs/>
                <w:szCs w:val="21"/>
                <w:highlight w:val="none"/>
              </w:rPr>
              <w:t>10.12</w:t>
            </w:r>
            <w:r>
              <w:rPr>
                <w:rFonts w:cs="Arial"/>
                <w:b/>
                <w:bCs/>
                <w:szCs w:val="21"/>
                <w:highlight w:val="none"/>
              </w:rPr>
              <w:t>解释权</w:t>
            </w:r>
            <w:bookmarkEnd w:id="11"/>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szCs w:val="21"/>
                <w:highlight w:val="none"/>
              </w:rPr>
            </w:pP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440" w:lineRule="exact"/>
              <w:rPr>
                <w:rFonts w:ascii="Arial" w:hAnsi="Arial" w:cs="Arial"/>
                <w:szCs w:val="21"/>
                <w:highlight w:val="none"/>
              </w:rPr>
            </w:pPr>
            <w:r>
              <w:rPr>
                <w:rFonts w:hint="eastAsia" w:ascii="Arial" w:hAnsi="Arial" w:cs="Arial"/>
                <w:szCs w:val="21"/>
                <w:highlight w:val="none"/>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招标公告（投标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w:t>
            </w:r>
            <w:r>
              <w:rPr>
                <w:rFonts w:ascii="Arial" w:hAnsi="Arial" w:cs="Arial"/>
                <w:szCs w:val="21"/>
                <w:highlight w:val="none"/>
              </w:rPr>
              <w:t>由招标人负责解释</w:t>
            </w:r>
            <w:r>
              <w:rPr>
                <w:rFonts w:hint="eastAsia" w:ascii="Arial" w:hAnsi="Arial" w:cs="Arial"/>
                <w:szCs w:val="21"/>
                <w:highlight w:val="none"/>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cs="Arial"/>
                <w:bCs/>
                <w:szCs w:val="21"/>
                <w:highlight w:val="none"/>
              </w:rPr>
            </w:pPr>
            <w:r>
              <w:rPr>
                <w:rFonts w:hint="eastAsia" w:cs="Arial"/>
                <w:bCs/>
                <w:szCs w:val="21"/>
                <w:highlight w:val="none"/>
              </w:rPr>
              <w:t>10.15.2</w:t>
            </w:r>
          </w:p>
        </w:tc>
        <w:tc>
          <w:tcPr>
            <w:tcW w:w="7459" w:type="dxa"/>
            <w:gridSpan w:val="4"/>
            <w:tcBorders>
              <w:top w:val="single" w:color="auto" w:sz="4" w:space="0"/>
              <w:left w:val="single" w:color="auto" w:sz="4" w:space="0"/>
              <w:bottom w:val="single" w:color="auto" w:sz="4" w:space="0"/>
              <w:right w:val="single" w:color="auto" w:sz="4" w:space="0"/>
            </w:tcBorders>
            <w:vAlign w:val="center"/>
          </w:tcPr>
          <w:p>
            <w:pPr>
              <w:spacing w:line="360" w:lineRule="auto"/>
              <w:rPr>
                <w:rFonts w:cs="Arial"/>
                <w:szCs w:val="21"/>
                <w:highlight w:val="none"/>
              </w:rPr>
            </w:pPr>
            <w:r>
              <w:rPr>
                <w:rFonts w:hint="eastAsia" w:cs="Arial"/>
                <w:szCs w:val="21"/>
                <w:highlight w:val="none"/>
              </w:rPr>
              <w:t>本招标项目招标方式：</w:t>
            </w:r>
          </w:p>
          <w:p>
            <w:pPr>
              <w:spacing w:line="360" w:lineRule="auto"/>
              <w:rPr>
                <w:rFonts w:cs="Arial"/>
                <w:szCs w:val="21"/>
                <w:highlight w:val="none"/>
              </w:rPr>
            </w:pPr>
            <w:r>
              <w:rPr>
                <w:rFonts w:hint="eastAsia"/>
                <w:color w:val="000000" w:themeColor="text1"/>
                <w:highlight w:val="black"/>
                <w14:textFill>
                  <w14:solidFill>
                    <w14:schemeClr w14:val="tx1"/>
                  </w14:solidFill>
                </w14:textFill>
              </w:rPr>
              <w:sym w:font="Wingdings 2" w:char="0052"/>
            </w:r>
            <w:r>
              <w:rPr>
                <w:rFonts w:hint="eastAsia" w:cs="Arial"/>
                <w:szCs w:val="21"/>
                <w:highlight w:val="none"/>
              </w:rPr>
              <w:t>公开招标</w:t>
            </w:r>
          </w:p>
          <w:p>
            <w:pPr>
              <w:spacing w:line="360" w:lineRule="auto"/>
              <w:rPr>
                <w:rFonts w:cs="Arial"/>
                <w:szCs w:val="21"/>
                <w:highlight w:val="none"/>
              </w:rPr>
            </w:pPr>
            <w:r>
              <w:rPr>
                <w:rFonts w:hint="eastAsia" w:cs="Arial"/>
                <w:szCs w:val="21"/>
                <w:highlight w:val="none"/>
              </w:rPr>
              <w:t xml:space="preserve"> </w:t>
            </w:r>
            <w:r>
              <w:rPr>
                <w:rFonts w:hint="eastAsia" w:cs="Arial"/>
                <w:iCs/>
                <w:szCs w:val="28"/>
                <w:highlight w:val="none"/>
              </w:rPr>
              <w:t>本招标项目投标文件的递交方式：</w:t>
            </w:r>
          </w:p>
          <w:p>
            <w:pPr>
              <w:spacing w:line="360" w:lineRule="auto"/>
              <w:rPr>
                <w:szCs w:val="21"/>
                <w:highlight w:val="none"/>
              </w:rPr>
            </w:pPr>
            <w:r>
              <w:rPr>
                <w:rFonts w:hint="eastAsia" w:cs="Arial"/>
                <w:iCs/>
                <w:szCs w:val="28"/>
                <w:highlight w:val="none"/>
              </w:rPr>
              <w:t xml:space="preserve">   </w:t>
            </w:r>
            <w:r>
              <w:rPr>
                <w:rFonts w:hint="eastAsia"/>
                <w:color w:val="000000"/>
                <w:highlight w:val="black"/>
              </w:rPr>
              <w:sym w:font="Wingdings 2" w:char="0052"/>
            </w:r>
            <w:r>
              <w:rPr>
                <w:rFonts w:hint="eastAsia"/>
                <w:szCs w:val="21"/>
                <w:highlight w:val="none"/>
              </w:rPr>
              <w:t>现场递交</w:t>
            </w:r>
          </w:p>
          <w:p>
            <w:pPr>
              <w:spacing w:line="360" w:lineRule="auto"/>
              <w:rPr>
                <w:rFonts w:cs="Arial"/>
                <w:szCs w:val="21"/>
                <w:highlight w:val="none"/>
              </w:rPr>
            </w:pPr>
            <w:r>
              <w:rPr>
                <w:rFonts w:hint="eastAsia" w:cs="Arial"/>
                <w:szCs w:val="21"/>
                <w:highlight w:val="none"/>
              </w:rPr>
              <w:t xml:space="preserve"> 是否电子辅助评标 </w:t>
            </w:r>
          </w:p>
          <w:p>
            <w:pPr>
              <w:spacing w:line="360" w:lineRule="auto"/>
              <w:rPr>
                <w:rFonts w:cs="Arial"/>
                <w:szCs w:val="21"/>
                <w:highlight w:val="none"/>
              </w:rPr>
            </w:pPr>
            <w:r>
              <w:rPr>
                <w:rFonts w:hint="eastAsia"/>
                <w:color w:val="000000"/>
                <w:highlight w:val="black"/>
              </w:rPr>
              <w:sym w:font="Wingdings 2" w:char="0052"/>
            </w:r>
            <w:r>
              <w:rPr>
                <w:rFonts w:hint="eastAsia" w:cs="Arial"/>
                <w:szCs w:val="21"/>
                <w:highlight w:val="none"/>
              </w:rPr>
              <w:t>不采用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888" w:hRule="atLeast"/>
        </w:trPr>
        <w:tc>
          <w:tcPr>
            <w:tcW w:w="1158"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rPr>
                <w:rFonts w:hint="default" w:eastAsia="宋体" w:cs="Arial"/>
                <w:bCs/>
                <w:szCs w:val="21"/>
                <w:highlight w:val="none"/>
                <w:lang w:val="en-US" w:eastAsia="zh-CN"/>
              </w:rPr>
            </w:pPr>
            <w:r>
              <w:rPr>
                <w:rFonts w:hint="eastAsia" w:cs="Arial"/>
                <w:bCs/>
                <w:szCs w:val="21"/>
                <w:highlight w:val="none"/>
                <w:lang w:val="en-US" w:eastAsia="zh-CN"/>
              </w:rPr>
              <w:t>10.16</w:t>
            </w:r>
          </w:p>
        </w:tc>
        <w:tc>
          <w:tcPr>
            <w:tcW w:w="7459" w:type="dxa"/>
            <w:gridSpan w:val="4"/>
            <w:tcBorders>
              <w:top w:val="single" w:color="auto" w:sz="4" w:space="0"/>
              <w:left w:val="single" w:color="auto" w:sz="4" w:space="0"/>
              <w:bottom w:val="single" w:color="auto" w:sz="4" w:space="0"/>
              <w:right w:val="single" w:color="auto" w:sz="4" w:space="0"/>
            </w:tcBorders>
            <w:vAlign w:val="center"/>
          </w:tcPr>
          <w:tbl>
            <w:tblPr>
              <w:tblW w:w="7157" w:type="dxa"/>
              <w:tblInd w:w="-20" w:type="dxa"/>
              <w:shd w:val="clear"/>
              <w:tblLayout w:type="fixed"/>
              <w:tblCellMar>
                <w:top w:w="0" w:type="dxa"/>
                <w:left w:w="0" w:type="dxa"/>
                <w:bottom w:w="0" w:type="dxa"/>
                <w:right w:w="0" w:type="dxa"/>
              </w:tblCellMar>
            </w:tblPr>
            <w:tblGrid>
              <w:gridCol w:w="5"/>
              <w:gridCol w:w="511"/>
              <w:gridCol w:w="516"/>
              <w:gridCol w:w="814"/>
              <w:gridCol w:w="3456"/>
              <w:gridCol w:w="1669"/>
              <w:gridCol w:w="186"/>
            </w:tblGrid>
            <w:tr>
              <w:tblPrEx>
                <w:shd w:val="clear"/>
                <w:tblCellMar>
                  <w:top w:w="0" w:type="dxa"/>
                  <w:left w:w="0" w:type="dxa"/>
                  <w:bottom w:w="0" w:type="dxa"/>
                  <w:right w:w="0" w:type="dxa"/>
                </w:tblCellMar>
              </w:tblPrEx>
              <w:trPr>
                <w:gridBefore w:val="1"/>
                <w:gridAfter w:val="1"/>
                <w:wBefore w:w="5" w:type="dxa"/>
                <w:wAfter w:w="186" w:type="dxa"/>
                <w:trHeight w:val="660" w:hRule="atLeast"/>
              </w:trPr>
              <w:tc>
                <w:tcPr>
                  <w:tcW w:w="6966" w:type="dxa"/>
                  <w:gridSpan w:val="5"/>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bdr w:val="none" w:color="auto" w:sz="0" w:space="0"/>
                      <w:lang w:val="en-US" w:eastAsia="zh-CN" w:bidi="ar"/>
                    </w:rPr>
                    <w:t>黄石现代有轨电车项目轨道设备推荐品牌</w:t>
                  </w:r>
                </w:p>
              </w:tc>
            </w:tr>
            <w:tr>
              <w:tblPrEx>
                <w:shd w:val="clear"/>
                <w:tblCellMar>
                  <w:top w:w="0" w:type="dxa"/>
                  <w:left w:w="0" w:type="dxa"/>
                  <w:bottom w:w="0" w:type="dxa"/>
                  <w:right w:w="0" w:type="dxa"/>
                </w:tblCellMar>
              </w:tblPrEx>
              <w:trPr>
                <w:trHeight w:val="432" w:hRule="atLeast"/>
              </w:trPr>
              <w:tc>
                <w:tcPr>
                  <w:tcW w:w="516" w:type="dxa"/>
                  <w:gridSpan w:val="2"/>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专业</w:t>
                  </w:r>
                </w:p>
              </w:tc>
              <w:tc>
                <w:tcPr>
                  <w:tcW w:w="51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序号</w:t>
                  </w:r>
                </w:p>
              </w:tc>
              <w:tc>
                <w:tcPr>
                  <w:tcW w:w="814"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设备名称</w:t>
                  </w: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推荐品牌</w:t>
                  </w:r>
                </w:p>
              </w:tc>
              <w:tc>
                <w:tcPr>
                  <w:tcW w:w="1855" w:type="dxa"/>
                  <w:gridSpan w:val="2"/>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投标人投标时须响应推荐的设备品牌及相同档次以上的设备品牌</w:t>
                  </w:r>
                </w:p>
              </w:tc>
            </w:tr>
            <w:tr>
              <w:tblPrEx>
                <w:tblCellMar>
                  <w:top w:w="0" w:type="dxa"/>
                  <w:left w:w="0" w:type="dxa"/>
                  <w:bottom w:w="0" w:type="dxa"/>
                  <w:right w:w="0" w:type="dxa"/>
                </w:tblCellMar>
              </w:tblPrEx>
              <w:trPr>
                <w:trHeight w:val="261" w:hRule="atLeast"/>
              </w:trPr>
              <w:tc>
                <w:tcPr>
                  <w:tcW w:w="516" w:type="dxa"/>
                  <w:gridSpan w:val="2"/>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轨道</w:t>
                  </w:r>
                </w:p>
              </w:tc>
              <w:tc>
                <w:tcPr>
                  <w:tcW w:w="516"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w:t>
                  </w:r>
                </w:p>
              </w:tc>
              <w:tc>
                <w:tcPr>
                  <w:tcW w:w="814"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钢轨</w:t>
                  </w: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攀钢集团有限公司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343"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鞍钢股份大型厂</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30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包头钢铁（集团）有限责任公司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61"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武汉钢铁集团公司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6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鞍山紫竹科技型钢有限公司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323"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w:t>
                  </w:r>
                </w:p>
              </w:tc>
              <w:tc>
                <w:tcPr>
                  <w:tcW w:w="814"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扣件</w:t>
                  </w: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福斯罗集团</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32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安徽省巢湖铸造厂有限责任公司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0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陕西长美科技</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31"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太仓中博铁路紧固件有限公司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363"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3</w:t>
                  </w:r>
                </w:p>
              </w:tc>
              <w:tc>
                <w:tcPr>
                  <w:tcW w:w="814"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道岔</w:t>
                  </w: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安徽芜湖科吉富道岔有限公司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25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中铁山桥</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282"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中铁宝桥</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CellMar>
                  <w:top w:w="0" w:type="dxa"/>
                  <w:left w:w="0" w:type="dxa"/>
                  <w:bottom w:w="0" w:type="dxa"/>
                  <w:right w:w="0" w:type="dxa"/>
                </w:tblCellMar>
              </w:tblPrEx>
              <w:trPr>
                <w:trHeight w:val="323"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铁科（北京）轨道装备技术有限公司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tblCellMar>
                  <w:top w:w="0" w:type="dxa"/>
                  <w:left w:w="0" w:type="dxa"/>
                  <w:bottom w:w="0" w:type="dxa"/>
                  <w:right w:w="0" w:type="dxa"/>
                </w:tblCellMar>
              </w:tblPrEx>
              <w:trPr>
                <w:trHeight w:val="500" w:hRule="atLeast"/>
              </w:trPr>
              <w:tc>
                <w:tcPr>
                  <w:tcW w:w="516" w:type="dxa"/>
                  <w:gridSpan w:val="2"/>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16"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814"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456"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奥钢联（轨道）技术有限公司</w:t>
                  </w:r>
                </w:p>
              </w:tc>
              <w:tc>
                <w:tcPr>
                  <w:tcW w:w="1855" w:type="dxa"/>
                  <w:gridSpan w:val="2"/>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bl>
          <w:p>
            <w:pPr>
              <w:spacing w:line="360" w:lineRule="auto"/>
              <w:rPr>
                <w:rFonts w:hint="eastAsia"/>
                <w:color w:val="000000"/>
                <w:highlight w:val="black"/>
              </w:rPr>
            </w:pPr>
          </w:p>
        </w:tc>
      </w:tr>
    </w:tbl>
    <w:p>
      <w:pPr>
        <w:rPr>
          <w:rFonts w:asciiTheme="minorEastAsia" w:hAnsiTheme="minorEastAsia" w:eastAsiaTheme="minorEastAsia"/>
          <w:szCs w:val="21"/>
          <w:highlight w:val="none"/>
        </w:rPr>
      </w:pPr>
      <w:bookmarkStart w:id="12" w:name="_Toc184635071"/>
      <w:r>
        <w:rPr>
          <w:rFonts w:hint="eastAsia" w:asciiTheme="minorEastAsia" w:hAnsiTheme="minorEastAsia" w:eastAsiaTheme="minorEastAsia"/>
          <w:szCs w:val="21"/>
          <w:highlight w:val="none"/>
        </w:rPr>
        <w:br w:type="page"/>
      </w:r>
    </w:p>
    <w:p>
      <w:pPr>
        <w:pStyle w:val="4"/>
        <w:rPr>
          <w:rFonts w:asciiTheme="minorEastAsia" w:hAnsiTheme="minorEastAsia" w:eastAsiaTheme="minorEastAsia"/>
          <w:sz w:val="21"/>
          <w:szCs w:val="21"/>
          <w:highlight w:val="none"/>
        </w:rPr>
      </w:pPr>
      <w:bookmarkStart w:id="13" w:name="_Toc5572"/>
      <w:r>
        <w:rPr>
          <w:rFonts w:hint="eastAsia" w:asciiTheme="minorEastAsia" w:hAnsiTheme="minorEastAsia" w:eastAsiaTheme="minorEastAsia"/>
          <w:sz w:val="21"/>
          <w:szCs w:val="21"/>
          <w:highlight w:val="none"/>
        </w:rPr>
        <w:t>1 ．总则</w:t>
      </w:r>
      <w:bookmarkEnd w:id="12"/>
      <w:bookmarkEnd w:id="13"/>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1.1 项目概况</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1.1.1 根据《 中华人民共和国招标投标法》 等有关法律、法规和规章的规定，本招标项目己具备招标条件，现对本标段施工进行招标。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1.1.2 本招标项目招标人：见投标人须知前附表。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1.1.3 本标段招标代理机构：见投标人须知前附表。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1.1.4 本招标项目名称：见投标人须知前附表。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1.1.5 本标段建设地点：见投标人须知前附表。</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1.2 资金来源和落实情况</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1.2.1 本招标项目的资金来源：见投标人须知前附表。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1.2.2 本招标项目的出资比例：见投标人须知前附表。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1.2.3 本招标项目的资金落实情况：见投标人须知前附表。</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1.3 招标范围、计划工期和质量要求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1.3.1 本次招标范围：见投标人须知前附表。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1.3.2 本标段的计划工期：见投标人须知前附表。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1.3.3 本标段的质量要求：见投标人须知前附表。</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1.4 投标人资格要求（适用于已进行资格预审的）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投标人应是收到招标人发出投标邀请书的单位。</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1.4 投标人资格要求（适用于未进行资格预审的）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1.4.1 投标人应具备承担本标段施工的资质条件、能力和信誉。</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(l）资质条件：见投标人须知前附表；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(2）财务要求：见投标人须知前附表；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(3）业绩要求：见投标人须知前附表；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(4）信誉要求：见投标人须知前附表；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(5）项目经理资格：见投标人须知前附表；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(6）其他要求：见投标人须知前附表。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1.4.2 投标人须知前附表规定接受联合体投标的，除应符合本章第1.4.1项和投标人须知前附表的要求外，还应遵守以下规定：</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(1）联合体各方应按招标文件提供的格式签订联合体协议书，明确联合体牵头人和各方权利义务；</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(2）由同一专业的单位组成的联合体，按照资质等级较低的单位确定资质等级；</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(3）联合体各方不得再以自己名义单独或参加其他联合体在同一标段中投标。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1.4.3 投标人不得存在下列情形之一：</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 xml:space="preserve">(l）为招标人不具有独立法人资格的附属机构（单位）; </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(2）为本标段前期准备提供设计或咨询服务的，但设计施工总承包的除外；</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(3）为本标段的监理人；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(4）为本标段的代建人；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(5）为本标段提供招标代理服务的；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(6）与本标段的监理人或代建人或招标代理机构同为一个法定代表人的；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(7）与本标段的监理人或代建人或招标代理机构相互控股或参股的；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(8）与本标段的监理人或代建人或招标代理机构相互任职或工作的；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(9）被责令停业的；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(10）被暂停或取消投标资格的；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(11）财产被接管或冻结的；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(12）在最近三年内有骗取中标或严重违约或重大工程质量问题的。</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1.5 费用承担</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投标人准备和参加投标活动发生的费用自理。</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1.6 保密</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参与招标投标活动的各方应对招标文件和投标文件中的商业和技术等秘密保密，违者应对由此造成的后果承担法律责任。</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1.7 语言文字</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除专用术语外，与招标投标有关的语言均使用中文。必要时专用术语应附有中文注释。</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1.8 计量单位</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所有计量均采用中华人民共和国法定计量单位。</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1.9 踏勘现场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1.9.1 投标人须知前附表规定组织踏勘现场的，招标人按投标人须知前附表规定的时间、地点组织投标人踏勘项目现场。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1.9.2 投标人踏勘现场发生的费用自理。</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1.9 .3 除招标人的原因外，投标人自行负责在踏勘现场中所发生的人员伤亡和财产损失。</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1.9.4 招标人在踏勘现场中介绍的工程场地和相关的周边环境情况，供投标人在编制投标文件时参考，招标人不对投标人据此作出的判断和决策负责。</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1.10 投标预备会</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1.10.1 投标人须知前附表规定召开投标预备会的，招标人按投标人须知前附表规定的时间和地点召开投标预备会，澄清投标人提出的问题。</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1.10.2 投标人应在投标人须知前附表规定的时间前，以书面形式将提出的问题送达招标人，以便招标人在会议期间澄清。</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1.10.3 投标预备会后，招标人在投标人须知前附表规定的时间内，将对投标人所提问颗的澄清，以书面方式通知所有购买招标文件的投标人。该澄清内容为招标文件的组成部分。</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1.11 分包</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投标人拟在中标后将中标项目的部分非主体、非关键性工作进行分包的，应符合投标人须知前附表规定的分包内容、分包金额和接受分包的第三人资质要求等限制性条件。</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1.12 偏离</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投标人须知前附表允许投标文件偏离招标文件某些要求的，偏离应当符合招标文件规定的偏离范围和幅度。</w:t>
      </w:r>
    </w:p>
    <w:p>
      <w:pPr>
        <w:pStyle w:val="4"/>
        <w:rPr>
          <w:rFonts w:asciiTheme="minorEastAsia" w:hAnsiTheme="minorEastAsia" w:eastAsiaTheme="minorEastAsia"/>
          <w:sz w:val="21"/>
          <w:szCs w:val="21"/>
          <w:highlight w:val="none"/>
        </w:rPr>
      </w:pPr>
      <w:bookmarkStart w:id="14" w:name="_Toc10839"/>
      <w:bookmarkStart w:id="15" w:name="_Toc184635072"/>
      <w:r>
        <w:rPr>
          <w:rFonts w:hint="eastAsia" w:asciiTheme="minorEastAsia" w:hAnsiTheme="minorEastAsia" w:eastAsiaTheme="minorEastAsia"/>
          <w:sz w:val="21"/>
          <w:szCs w:val="21"/>
          <w:highlight w:val="none"/>
        </w:rPr>
        <w:t>2．招标文件</w:t>
      </w:r>
      <w:bookmarkEnd w:id="14"/>
      <w:bookmarkEnd w:id="15"/>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2.1 招标文件的组成</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本招标文件包括：</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 xml:space="preserve">(1）招标公告（或投标邀请书）; </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(2）投标人须知；</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(3）评标办法；</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(4）合同条款及格式；</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(5）工程量清单；</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(6）图纸；</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(7）技术标准和要求；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(8）投标文件格式；</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(9）投标人须知前附表规定的其他材料。</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根据本章第1.10 款、第2.2 款和第2.3 款对招标文件所作的澄清、修改，构成招标文件的组成部分。</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2.2 招标文件的澄清</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2.2.1 投标人应仔细阅读和检查招标文件的全部内容。如发现缺页或附件不全，应及时向招标人提出，以便补齐。如有疑问，应在投标人须知前附表规定的时间前以书面形式（包括信函、电报、传真等可以有形地表现所载内容的形式，下同），要求招标人对招标文件予以澄清。</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2.2.2 招标文件的澄清将在投标人须知前附表规定的投标截止时间巧天前以书面形式发给所有购买招标文件的投标人，但不指明澄清问题的来源。如果澄清发出的时间距投标截l 上时间不足巧天，相应延长投标截止时间。</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2.2.3 投标人在收到澄清后，应在投标人须知前附表规定的时间内以书面形式通知招标人，确认己收到该澄清。</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2.3 招标文件的修改</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2.3.1 在投标截止时间巧天前，招标人可以书面形式修改招标文件，并通知所有已购买招标文件的投标人。如果修改招标文件的时间距投标截止时间不足巧天，相应延长投标截止时间。</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2.3.2 投标人收到修改内容后，应在投标人须知前附表规定的时间内以书面形式通知招标人，确认己收到该修改。</w:t>
      </w:r>
    </w:p>
    <w:p>
      <w:pPr>
        <w:pStyle w:val="4"/>
        <w:rPr>
          <w:rFonts w:asciiTheme="minorEastAsia" w:hAnsiTheme="minorEastAsia" w:eastAsiaTheme="minorEastAsia"/>
          <w:sz w:val="21"/>
          <w:szCs w:val="21"/>
          <w:highlight w:val="none"/>
        </w:rPr>
      </w:pPr>
      <w:bookmarkStart w:id="16" w:name="_Toc17758"/>
      <w:bookmarkStart w:id="17" w:name="_Toc184635073"/>
      <w:r>
        <w:rPr>
          <w:rFonts w:hint="eastAsia" w:asciiTheme="minorEastAsia" w:hAnsiTheme="minorEastAsia" w:eastAsiaTheme="minorEastAsia"/>
          <w:sz w:val="21"/>
          <w:szCs w:val="21"/>
          <w:highlight w:val="none"/>
        </w:rPr>
        <w:t>3．投标文件</w:t>
      </w:r>
      <w:bookmarkEnd w:id="16"/>
      <w:bookmarkEnd w:id="17"/>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3.1 投标文件的组成</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3.1.1 投标文件应包括下列内容：</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(l）投标函及投标函附录；</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(2）法定代表人身份证明或附有法定代表人身份证明的授权委托书；</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(3）联合体协议书；</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(4）投标保证金；</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(5）已标价工程量清单；</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(6）施工组织设计；</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(7）项目管理机构；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(8）拟分包项目情况表；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(9）资格审查资料；</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(10）投标人须知前附表规定的其他材料。</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3.1.2 投标人须知前附表规定不接受联合体投标的，或投标人没有组成联合体的，投标文件不包括本章第3.1.1 (3）目所指的联合体协议书。</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3.2 投标报价</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3.2.1 投标人应按第五章“工程量清单”的要求填写相应表格。</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3.2.2 投标人在投标截止时间前修改投标函中的投标总报价，应同时修改第五章“工程量清单”中的相应报价。此修改须符合本章第4.3 款的有关要求。</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3.3 投标有效期</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3.3.1 在投标人须知前附表规定的投标有效期内，投标人不得要求撤销或修改其投标文件。</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3.3.2 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3.4 投标保证金</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3.4.1 投标人在递交投标文件的同时，应按投标人须知前附表规定的金额、担保形式和第八章“投标文件格式”规定的投标保证金格式递交投标保证金，并作为其投标文件的组成部分。联合体投标的，其投标保证金由牵头人递交，并应符合投标人须知前附表的规定。</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3.4.2 投标人不按本章第3.4.1 项要求提交投标保证金的，其投标文件作废标处理。</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3.4.3 招标人与中标人签订合同后5 个工作日内，向未中标的投标人和中标人退还投标保证金。</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3.4.4 有下列情形之一的，投标保证金将不予退还：</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(1）投标人在规定的投标有效期内撤销或修改其投标文件；</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(2）中标人在收到中标通知书后，无正当理由拒签合同协议书或未按招标文件规定提交履约担保。</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3.5 资格审查资料（适用于已进行资格预审的）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投标人在编制投标文件时，应按新情况更新或补充其在申请资格预审时提供的资料，以证实其各项资格条件仍能继续满足资格预审文件的要求，具备承担本标段施工的资质条件、能力和信誉。</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3.5 资格审查资料（适用于未进行资格预审的）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3.5.1 “投标人基本情况表”应附投标人营业执照副本及其年检合格的证明材料、资质证书副本和安全生产许可证等材料的复印件。</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3.5.2 “近年财务状况表”应附经会计师事务所或审计机构审计的财务会计报表，包括资产负债表、现金流量表、利润表和财务情况说明书的复印件，具体年份要求见投标人须知前附表。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3.5.3 “近年完成的类似项目情况表”应附中标通知书和（或）合同协议书、工程接收证书〔工程竣工验收证书）的复印件，具体年份要求见投标人须知前附表。每张表格只填写一个项目，并标明序号。</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3.5.4 “正在施工和新承接的项目情况表”应附中标通知书和（或）合同协议书复印件。每张表格只填写一个项目，并标明序号。</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3.5.5 “近年发生的诉讼及仲裁情况”应说明相关情况，并附法院或仲裁机构作出的判决、裁决等有关法律文书复印件，具体年份要求见投标人须知前附表。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3.5.6 投标人须知前附表规定接受联合体投标的，本章第3.5.1 项至第3.5.5 项规定的表格和资料应包括联合体各方相关情况。</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3.6 备选投标方案</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除投标人须知前附表另有规定外，投标人不得递交备选投标方案。允许投标人递交备选投标方案的，只有中标人所递交的备选投标方案方可予以考虑。评标委员会认为中标人的各选投标方案优于其按照招标文件要求编制的投标方案的，招标人可以接受该备选投标方案。</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3.7 投标文件的编制</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3.7.1 投标文件应按第八章“投标文件格式”进行编写，如有必要，可以增加附页，作为投标文件的组成部分。其中，投标函附录在满足招标文件实质性要求的基础上，可以提出比招标文件要求更有利于招标人的承诺。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3.7.2 投标文件应当对招标文件有关工期、投标有效期、质量要求、技术标准和要求、招标范围等实质性内容作出响应。</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3.7.3 投标文件应用不褪色的材料书写或打印，并由投标人的法定代表人或其委托代理人签字或盖单位章。委托代理人签字的，投标文件应附法定代表人签署的授权委托书。投标文件应尽量避免涂改、行间插字或删除。如果出现上述情况，改动之处应加盖单位章或由投标人的法定代表人或其授权的代理人签字确认。签字或盖章的具体要求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3.7.4 投标文件正本一份，副本份数见投标人须知前附表。正本和副本的封面上应清楚地标记“正本”或“副本”的字样。当副本和正本不一致时，以正本为准。</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3.7.5 投标文件的正本与副本应分别装订成册，并编制目录，具体装订要求见投标人须知前附表规定。</w:t>
      </w:r>
    </w:p>
    <w:p>
      <w:pPr>
        <w:pStyle w:val="4"/>
        <w:rPr>
          <w:rFonts w:asciiTheme="minorEastAsia" w:hAnsiTheme="minorEastAsia" w:eastAsiaTheme="minorEastAsia"/>
          <w:sz w:val="21"/>
          <w:szCs w:val="21"/>
          <w:highlight w:val="none"/>
        </w:rPr>
      </w:pPr>
      <w:bookmarkStart w:id="18" w:name="_Toc13112"/>
      <w:bookmarkStart w:id="19" w:name="_Toc184635074"/>
      <w:r>
        <w:rPr>
          <w:rFonts w:hint="eastAsia" w:asciiTheme="minorEastAsia" w:hAnsiTheme="minorEastAsia" w:eastAsiaTheme="minorEastAsia"/>
          <w:sz w:val="21"/>
          <w:szCs w:val="21"/>
          <w:highlight w:val="none"/>
        </w:rPr>
        <w:t>4．投标</w:t>
      </w:r>
      <w:bookmarkEnd w:id="18"/>
      <w:bookmarkEnd w:id="19"/>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4.1 投标文件的密封和标记</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4.1.1 投标文件的正本与副本应分开包装，加贴封条，并在封套的封口处加盖投标人单位章。</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4.1.2 投标文件的封套上应清楚地标记“正本”或“副本”字样，封套上应写明的其他内容见投标人须知前附表。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4.1.3 未按本章第4.1.1 项或第4.1.2 项要求密封和加写标记的投标文件，招标人不予受理。</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4.2 投标文件的递交</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4.2.1 投标人应在本章第2.2.2 项规定的投标截止时间前递交投标文件。</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4.2.2 投标人递交投标文件的地点：见投标人须知前附表。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4.2.3 除投标人须知前附表另有规定外，投标人所递交的投标文件不予退还。</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4.2.4 招标人收到投标文件后，向投标人出具签收凭证。</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4.2.5 逾期送达的或者未送达指定地点的投标文件，招标人不予受理。</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4.3 投标文件的修改与撤回</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4.3.1 在本章第2.2.2 项规定的投标截止时间前，投标人可以修改或撤回已递交的投标文件，但应以书面形式通知招标人。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4.3.2 投标人修改或撤回已递交投标文件的书面通知应按照本章第3.7.3 项的要求签字或盖章。招标人收到书面通知后，向投标人出具签收凭证。</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4.3.3 修改的内容为投标文件的组成部分。修改的投标文件应按照本章第3 条、第4 条规定进行编制、密封、标记和递交，并标明“修改”字样。</w:t>
      </w:r>
    </w:p>
    <w:p>
      <w:pPr>
        <w:pStyle w:val="4"/>
        <w:rPr>
          <w:rFonts w:asciiTheme="minorEastAsia" w:hAnsiTheme="minorEastAsia" w:eastAsiaTheme="minorEastAsia"/>
          <w:sz w:val="21"/>
          <w:szCs w:val="21"/>
          <w:highlight w:val="none"/>
        </w:rPr>
      </w:pPr>
      <w:bookmarkStart w:id="20" w:name="_Toc184635075"/>
      <w:bookmarkStart w:id="21" w:name="_Toc4431"/>
      <w:r>
        <w:rPr>
          <w:rFonts w:hint="eastAsia" w:asciiTheme="minorEastAsia" w:hAnsiTheme="minorEastAsia" w:eastAsiaTheme="minorEastAsia"/>
          <w:sz w:val="21"/>
          <w:szCs w:val="21"/>
          <w:highlight w:val="none"/>
        </w:rPr>
        <w:t>5．开标</w:t>
      </w:r>
      <w:bookmarkEnd w:id="20"/>
      <w:bookmarkEnd w:id="21"/>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5.1 开标时间和地点</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招标人在本章第2.2.2 项规定的投标截止时间（开标时间）和投标人须知前附表规定的地点公开开标，并邀请所有投标人的法定代表人或其委托代理人准时参加。</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5.2 开标程序</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主持人按下列程序进行开标：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(l）宣布开标纪律；</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(2）公布在投标截止时间前递交投标文件的投标人名称，并点名确认投标人是否派人到场；</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(3）宣布开标人、唱标人、记录人、监标人等有关人员姓名；</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(4）按照投标人须知前附表规定检查投标文件的密封情况；</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(5）按照投标人须知前附表的规定确定并宣布投标文件开标顺序；</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(6）设有标底的，公布标底；</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(7）按照宣布的开标顺序当众开标，公布投标人名称、标段名称、投标保证金的递交情况、投标报价、质量目标、工期及其他内容，并记录在案；</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(8）投标人代表、招标人代表、监标人、记录人等有关人员在开标记录上签字确认；</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(9）开标结束。</w:t>
      </w:r>
    </w:p>
    <w:p>
      <w:pPr>
        <w:pStyle w:val="4"/>
        <w:rPr>
          <w:rFonts w:asciiTheme="minorEastAsia" w:hAnsiTheme="minorEastAsia" w:eastAsiaTheme="minorEastAsia"/>
          <w:sz w:val="21"/>
          <w:szCs w:val="21"/>
          <w:highlight w:val="none"/>
        </w:rPr>
      </w:pPr>
      <w:bookmarkStart w:id="22" w:name="_Toc184635076"/>
      <w:bookmarkStart w:id="23" w:name="_Toc4811"/>
      <w:r>
        <w:rPr>
          <w:rFonts w:hint="eastAsia" w:asciiTheme="minorEastAsia" w:hAnsiTheme="minorEastAsia" w:eastAsiaTheme="minorEastAsia"/>
          <w:sz w:val="21"/>
          <w:szCs w:val="21"/>
          <w:highlight w:val="none"/>
        </w:rPr>
        <w:t>6．评标</w:t>
      </w:r>
      <w:bookmarkEnd w:id="22"/>
      <w:bookmarkEnd w:id="23"/>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6.1 评标委员会</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6.1.2 评标委员会成员有下列情形之一的，应当回避：</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(1）招标人或投标人的主要负责人的近亲属；</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(2）项目主管部门或者行政监督部门的人员：</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(3）与投标人有经济利益关系，可能影响对投标公正评审的；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(4）曾因在招标、评标以及其他与招标投标有关活动中从事违法行为而受过行政处罚或刑事处罚的。</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6.2 评标原则</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评标活动遵循公平、公正、科学和择优的原则。</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6.3 评标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评标委员会按照第三章“评标办法”规定的方法、评审因素、标准和程序对投标文件进行评审。第三章“评标办法”没有规定的方法、评审因素和标准，不作为评标依据。</w:t>
      </w:r>
    </w:p>
    <w:p>
      <w:pPr>
        <w:pStyle w:val="4"/>
        <w:rPr>
          <w:rFonts w:asciiTheme="minorEastAsia" w:hAnsiTheme="minorEastAsia" w:eastAsiaTheme="minorEastAsia"/>
          <w:sz w:val="21"/>
          <w:szCs w:val="21"/>
          <w:highlight w:val="none"/>
        </w:rPr>
      </w:pPr>
      <w:bookmarkStart w:id="24" w:name="_Toc184635077"/>
      <w:bookmarkStart w:id="25" w:name="_Toc17155"/>
      <w:r>
        <w:rPr>
          <w:rFonts w:hint="eastAsia" w:asciiTheme="minorEastAsia" w:hAnsiTheme="minorEastAsia" w:eastAsiaTheme="minorEastAsia"/>
          <w:sz w:val="21"/>
          <w:szCs w:val="21"/>
          <w:highlight w:val="none"/>
        </w:rPr>
        <w:t>7．合同授予</w:t>
      </w:r>
      <w:bookmarkEnd w:id="24"/>
      <w:bookmarkEnd w:id="25"/>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7.1 定标方式</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除投标人须知前附表规定评标委员会直接确定中标人外，招标人依据评标委员会推荐的中标候选人确定中标人，评标委员会推荐中标候选人的人数见投标人须知前附表。</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7.2 中标通知</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在本章第3.3 款规定的投标有效期内，招标人以书面形式向中标人发出中标通知书，同时将中标结果通知未中标的投标人。</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7.3 履约担保</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7.3.1 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7.3.2 中标人不能按本章第7.3.1 项要求提交履约担保的，视为放弃中标，其投标保证金不予退还，给招标人造成的损失超过投标保证金数额的，中标人还应当对超过部分予以赔偿。</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7.4 签订合同</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7.4.1 招标人和中标人应当自中标通知书发出之日起30 天内，根据招标文件和中标人的投标文件订立书面合同。中标人无正当理由拒签合同的，招标人取消其中标资格，其投标保证金不予退还；给招标人造成的损失超过投标保证金数额的，中标人还应当对超过部分予以赔偿。</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7.4.2 发出中标通知书后，招标人无正当理由拒签合同的，招标人向中标人退还投标保证金；给中标人造成损失的，还应当赔偿损失。</w:t>
      </w:r>
    </w:p>
    <w:p>
      <w:pPr>
        <w:pStyle w:val="4"/>
        <w:rPr>
          <w:rFonts w:asciiTheme="minorEastAsia" w:hAnsiTheme="minorEastAsia" w:eastAsiaTheme="minorEastAsia"/>
          <w:sz w:val="21"/>
          <w:szCs w:val="21"/>
          <w:highlight w:val="none"/>
        </w:rPr>
      </w:pPr>
      <w:bookmarkStart w:id="26" w:name="_Toc15492"/>
      <w:bookmarkStart w:id="27" w:name="_Toc184635078"/>
      <w:r>
        <w:rPr>
          <w:rFonts w:hint="eastAsia" w:asciiTheme="minorEastAsia" w:hAnsiTheme="minorEastAsia" w:eastAsiaTheme="minorEastAsia"/>
          <w:sz w:val="21"/>
          <w:szCs w:val="21"/>
          <w:highlight w:val="none"/>
        </w:rPr>
        <w:t>8．重新招标和不再招标</w:t>
      </w:r>
      <w:bookmarkEnd w:id="26"/>
      <w:bookmarkEnd w:id="27"/>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8.1 重新招标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有下列情形之一的，招标人将重新招标：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(l）投标截止时间止，投标人少于3 个的；</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(2）经评标委员会评审后否决所有投标的。</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8.2 不再招标</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重新招标后投标人仍少于3 个或者所有投标被否决的，属于必须审批或核准的工程建设项目，经原审批或核准部门批准后不再进行招标。</w:t>
      </w:r>
    </w:p>
    <w:p>
      <w:pPr>
        <w:pStyle w:val="4"/>
        <w:rPr>
          <w:rFonts w:asciiTheme="minorEastAsia" w:hAnsiTheme="minorEastAsia" w:eastAsiaTheme="minorEastAsia"/>
          <w:sz w:val="21"/>
          <w:szCs w:val="21"/>
          <w:highlight w:val="none"/>
        </w:rPr>
      </w:pPr>
      <w:bookmarkStart w:id="28" w:name="_Toc30962"/>
      <w:bookmarkStart w:id="29" w:name="_Toc184635079"/>
      <w:r>
        <w:rPr>
          <w:rFonts w:hint="eastAsia" w:asciiTheme="minorEastAsia" w:hAnsiTheme="minorEastAsia" w:eastAsiaTheme="minorEastAsia"/>
          <w:sz w:val="21"/>
          <w:szCs w:val="21"/>
          <w:highlight w:val="none"/>
        </w:rPr>
        <w:t>9．纪律和监督</w:t>
      </w:r>
      <w:bookmarkEnd w:id="28"/>
      <w:bookmarkEnd w:id="29"/>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9.1 对招标人的纪律要求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招标人不得泄漏招标投标活动中应当保密的情况和资料，不得与投标人串通损害国家利益、社会公共利益或者他人合法权益。</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9.2 对投标人的纪律要求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9.3 对评标委员会成员的纪律要求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9.4 对与评标活动有关的工作人员的纪律要求</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p>
    <w:p>
      <w:pPr>
        <w:pStyle w:val="5"/>
        <w:rPr>
          <w:rFonts w:asciiTheme="minorEastAsia" w:hAnsiTheme="minorEastAsia" w:eastAsiaTheme="minorEastAsia"/>
          <w:sz w:val="21"/>
          <w:szCs w:val="21"/>
          <w:highlight w:val="none"/>
        </w:rPr>
      </w:pPr>
      <w:r>
        <w:rPr>
          <w:rFonts w:hint="eastAsia" w:asciiTheme="minorEastAsia" w:hAnsiTheme="minorEastAsia" w:eastAsiaTheme="minorEastAsia"/>
          <w:sz w:val="21"/>
          <w:szCs w:val="21"/>
          <w:highlight w:val="none"/>
        </w:rPr>
        <w:t>9.5 投诉</w:t>
      </w:r>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投标人和其他利害关系人认为本次招标活动违反法律、法规和规章规定的，有权向有关行政监督部门投诉。</w:t>
      </w:r>
    </w:p>
    <w:p>
      <w:pPr>
        <w:pStyle w:val="4"/>
        <w:rPr>
          <w:rFonts w:asciiTheme="minorEastAsia" w:hAnsiTheme="minorEastAsia" w:eastAsiaTheme="minorEastAsia"/>
          <w:sz w:val="21"/>
          <w:szCs w:val="21"/>
          <w:highlight w:val="none"/>
        </w:rPr>
      </w:pPr>
      <w:bookmarkStart w:id="30" w:name="_Toc12940"/>
      <w:bookmarkStart w:id="31" w:name="_Toc184635080"/>
      <w:r>
        <w:rPr>
          <w:rFonts w:hint="eastAsia" w:asciiTheme="minorEastAsia" w:hAnsiTheme="minorEastAsia" w:eastAsiaTheme="minorEastAsia"/>
          <w:sz w:val="21"/>
          <w:szCs w:val="21"/>
          <w:highlight w:val="none"/>
        </w:rPr>
        <w:t>10、需要补充的其他内容</w:t>
      </w:r>
      <w:bookmarkEnd w:id="30"/>
      <w:bookmarkEnd w:id="31"/>
    </w:p>
    <w:p>
      <w:pPr>
        <w:spacing w:line="360" w:lineRule="auto"/>
        <w:ind w:firstLine="420" w:firstLineChars="200"/>
        <w:rPr>
          <w:rFonts w:asciiTheme="minorEastAsia" w:hAnsiTheme="minorEastAsia" w:eastAsiaTheme="minorEastAsia"/>
          <w:szCs w:val="21"/>
          <w:highlight w:val="none"/>
        </w:rPr>
      </w:pPr>
      <w:r>
        <w:rPr>
          <w:rFonts w:hint="eastAsia" w:asciiTheme="minorEastAsia" w:hAnsiTheme="minorEastAsia" w:eastAsiaTheme="minorEastAsia"/>
          <w:szCs w:val="21"/>
          <w:highlight w:val="none"/>
        </w:rPr>
        <w:t>需要补充的其他内容：见投标人须知前附表。</w:t>
      </w:r>
    </w:p>
    <w:p>
      <w:pPr>
        <w:spacing w:before="312" w:beforeLines="100"/>
        <w:rPr>
          <w:rFonts w:ascii="黑体" w:eastAsia="黑体"/>
          <w:color w:val="000000"/>
          <w:sz w:val="24"/>
          <w:highlight w:val="none"/>
        </w:rPr>
      </w:pPr>
      <w:r>
        <w:rPr>
          <w:rFonts w:ascii="黑体" w:eastAsia="黑体"/>
          <w:color w:val="000000"/>
          <w:sz w:val="24"/>
          <w:highlight w:val="none"/>
        </w:rPr>
        <w:br w:type="page"/>
      </w:r>
      <w:r>
        <w:rPr>
          <w:rFonts w:hint="eastAsia" w:ascii="黑体" w:eastAsia="黑体"/>
          <w:color w:val="000000"/>
          <w:sz w:val="24"/>
          <w:highlight w:val="none"/>
        </w:rPr>
        <w:t>附表一：开标记录表</w:t>
      </w:r>
    </w:p>
    <w:p>
      <w:pPr>
        <w:spacing w:before="312" w:beforeLines="100" w:after="312" w:afterLines="100" w:line="400" w:lineRule="exact"/>
        <w:ind w:firstLine="1960" w:firstLineChars="700"/>
        <w:rPr>
          <w:rFonts w:ascii="黑体" w:eastAsia="黑体"/>
          <w:color w:val="000000"/>
          <w:sz w:val="28"/>
          <w:szCs w:val="28"/>
          <w:highlight w:val="none"/>
        </w:rPr>
      </w:pPr>
      <w:r>
        <w:rPr>
          <w:rFonts w:hint="eastAsia" w:ascii="黑体" w:eastAsia="黑体"/>
          <w:color w:val="000000"/>
          <w:sz w:val="28"/>
          <w:szCs w:val="28"/>
          <w:highlight w:val="none"/>
          <w:u w:val="single"/>
        </w:rPr>
        <w:t xml:space="preserve">       </w:t>
      </w:r>
      <w:r>
        <w:rPr>
          <w:rFonts w:hint="eastAsia" w:ascii="黑体" w:eastAsia="黑体"/>
          <w:color w:val="000000"/>
          <w:sz w:val="28"/>
          <w:szCs w:val="28"/>
          <w:highlight w:val="none"/>
        </w:rPr>
        <w:t>（项目名称）开标记录表</w:t>
      </w:r>
    </w:p>
    <w:p>
      <w:pPr>
        <w:spacing w:line="400" w:lineRule="exact"/>
        <w:ind w:firstLine="105" w:firstLineChars="50"/>
        <w:rPr>
          <w:rFonts w:ascii="黑体" w:eastAsia="黑体"/>
          <w:color w:val="000000"/>
          <w:highlight w:val="none"/>
        </w:rPr>
      </w:pPr>
      <w:r>
        <w:rPr>
          <w:rFonts w:hint="eastAsia" w:ascii="黑体" w:eastAsia="黑体"/>
          <w:color w:val="000000"/>
          <w:highlight w:val="none"/>
        </w:rPr>
        <w:t>开标时间：</w:t>
      </w:r>
      <w:r>
        <w:rPr>
          <w:rFonts w:hint="eastAsia" w:ascii="黑体" w:eastAsia="黑体"/>
          <w:color w:val="000000"/>
          <w:highlight w:val="none"/>
          <w:u w:val="single"/>
        </w:rPr>
        <w:t xml:space="preserve">      </w:t>
      </w:r>
      <w:r>
        <w:rPr>
          <w:rFonts w:hint="eastAsia" w:ascii="黑体" w:eastAsia="黑体"/>
          <w:color w:val="000000"/>
          <w:highlight w:val="none"/>
        </w:rPr>
        <w:t>年</w:t>
      </w:r>
      <w:r>
        <w:rPr>
          <w:rFonts w:hint="eastAsia" w:ascii="黑体" w:eastAsia="黑体"/>
          <w:color w:val="000000"/>
          <w:highlight w:val="none"/>
          <w:u w:val="single"/>
        </w:rPr>
        <w:t xml:space="preserve">    </w:t>
      </w:r>
      <w:r>
        <w:rPr>
          <w:rFonts w:hint="eastAsia" w:ascii="黑体" w:eastAsia="黑体"/>
          <w:color w:val="000000"/>
          <w:highlight w:val="none"/>
        </w:rPr>
        <w:t>月</w:t>
      </w:r>
      <w:r>
        <w:rPr>
          <w:rFonts w:hint="eastAsia" w:ascii="黑体" w:eastAsia="黑体"/>
          <w:color w:val="000000"/>
          <w:highlight w:val="none"/>
          <w:u w:val="single"/>
        </w:rPr>
        <w:t xml:space="preserve">    </w:t>
      </w:r>
      <w:r>
        <w:rPr>
          <w:rFonts w:hint="eastAsia" w:ascii="黑体" w:eastAsia="黑体"/>
          <w:color w:val="000000"/>
          <w:highlight w:val="none"/>
        </w:rPr>
        <w:t>日</w:t>
      </w:r>
      <w:r>
        <w:rPr>
          <w:rFonts w:hint="eastAsia" w:ascii="黑体" w:eastAsia="黑体"/>
          <w:color w:val="000000"/>
          <w:highlight w:val="none"/>
          <w:u w:val="single"/>
        </w:rPr>
        <w:t xml:space="preserve">    </w:t>
      </w:r>
      <w:r>
        <w:rPr>
          <w:rFonts w:hint="eastAsia" w:ascii="黑体" w:eastAsia="黑体"/>
          <w:color w:val="000000"/>
          <w:highlight w:val="none"/>
        </w:rPr>
        <w:t>时</w:t>
      </w:r>
      <w:r>
        <w:rPr>
          <w:rFonts w:hint="eastAsia" w:ascii="黑体" w:eastAsia="黑体"/>
          <w:color w:val="000000"/>
          <w:highlight w:val="none"/>
          <w:u w:val="single"/>
        </w:rPr>
        <w:t xml:space="preserve">    </w:t>
      </w:r>
      <w:r>
        <w:rPr>
          <w:rFonts w:hint="eastAsia" w:ascii="黑体" w:eastAsia="黑体"/>
          <w:color w:val="000000"/>
          <w:highlight w:val="none"/>
        </w:rPr>
        <w:t>分</w:t>
      </w:r>
    </w:p>
    <w:p>
      <w:pPr>
        <w:spacing w:line="400" w:lineRule="exact"/>
        <w:ind w:firstLine="105" w:firstLineChars="50"/>
        <w:rPr>
          <w:rFonts w:ascii="黑体" w:eastAsia="黑体"/>
          <w:color w:val="000000"/>
          <w:highlight w:val="none"/>
        </w:rPr>
      </w:pPr>
      <w:r>
        <w:rPr>
          <w:rFonts w:hint="eastAsia" w:ascii="黑体" w:eastAsia="黑体"/>
          <w:color w:val="000000"/>
          <w:highlight w:val="none"/>
        </w:rPr>
        <w:t>开标地点：</w:t>
      </w:r>
      <w:r>
        <w:rPr>
          <w:rFonts w:hint="eastAsia" w:ascii="黑体" w:eastAsia="黑体"/>
          <w:color w:val="000000"/>
          <w:highlight w:val="none"/>
          <w:u w:val="single"/>
        </w:rPr>
        <w:t xml:space="preserve">                                </w:t>
      </w:r>
    </w:p>
    <w:p>
      <w:pPr>
        <w:spacing w:line="400" w:lineRule="exact"/>
        <w:ind w:firstLine="105" w:firstLineChars="50"/>
        <w:rPr>
          <w:rFonts w:ascii="黑体" w:eastAsia="黑体"/>
          <w:color w:val="000000"/>
          <w:highlight w:val="none"/>
        </w:rPr>
      </w:pPr>
      <w:r>
        <w:rPr>
          <w:rFonts w:hint="eastAsia" w:ascii="黑体" w:eastAsia="黑体"/>
          <w:color w:val="000000"/>
          <w:highlight w:val="none"/>
        </w:rPr>
        <w:t>（一）唱标记录</w:t>
      </w:r>
    </w:p>
    <w:tbl>
      <w:tblPr>
        <w:tblStyle w:val="50"/>
        <w:tblW w:w="86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922"/>
        <w:gridCol w:w="1078"/>
        <w:gridCol w:w="1262"/>
        <w:gridCol w:w="1390"/>
        <w:gridCol w:w="1105"/>
        <w:gridCol w:w="748"/>
        <w:gridCol w:w="750"/>
        <w:gridCol w:w="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5" w:hRule="atLeast"/>
        </w:trPr>
        <w:tc>
          <w:tcPr>
            <w:tcW w:w="666"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序号</w:t>
            </w:r>
          </w:p>
        </w:tc>
        <w:tc>
          <w:tcPr>
            <w:tcW w:w="922"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投标人</w:t>
            </w:r>
          </w:p>
        </w:tc>
        <w:tc>
          <w:tcPr>
            <w:tcW w:w="1078"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密封情况</w:t>
            </w:r>
          </w:p>
        </w:tc>
        <w:tc>
          <w:tcPr>
            <w:tcW w:w="1262"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投标保证金</w:t>
            </w:r>
          </w:p>
        </w:tc>
        <w:tc>
          <w:tcPr>
            <w:tcW w:w="1390"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投标报价（元）</w:t>
            </w:r>
          </w:p>
        </w:tc>
        <w:tc>
          <w:tcPr>
            <w:tcW w:w="1105"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质量目标</w:t>
            </w:r>
          </w:p>
        </w:tc>
        <w:tc>
          <w:tcPr>
            <w:tcW w:w="748"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工期</w:t>
            </w:r>
          </w:p>
        </w:tc>
        <w:tc>
          <w:tcPr>
            <w:tcW w:w="750"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备注</w:t>
            </w:r>
          </w:p>
        </w:tc>
        <w:tc>
          <w:tcPr>
            <w:tcW w:w="750" w:type="dxa"/>
            <w:shd w:val="clear" w:color="auto" w:fill="auto"/>
            <w:tcMar>
              <w:left w:w="28" w:type="dxa"/>
              <w:right w:w="28" w:type="dxa"/>
            </w:tcMar>
            <w:vAlign w:val="center"/>
          </w:tcPr>
          <w:p>
            <w:pPr>
              <w:jc w:val="center"/>
              <w:rPr>
                <w:rFonts w:ascii="黑体" w:eastAsia="黑体"/>
                <w:color w:val="000000"/>
                <w:highlight w:val="none"/>
              </w:rPr>
            </w:pPr>
            <w:r>
              <w:rPr>
                <w:rFonts w:hint="eastAsia" w:ascii="黑体" w:eastAsia="黑体"/>
                <w:color w:val="000000"/>
                <w:highlight w:val="none"/>
              </w:rPr>
              <w:t>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5"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4" w:hRule="atLeast"/>
        </w:trPr>
        <w:tc>
          <w:tcPr>
            <w:tcW w:w="666" w:type="dxa"/>
            <w:shd w:val="clear" w:color="auto" w:fill="auto"/>
            <w:tcMar>
              <w:left w:w="28" w:type="dxa"/>
              <w:right w:w="28" w:type="dxa"/>
            </w:tcMar>
            <w:vAlign w:val="center"/>
          </w:tcPr>
          <w:p>
            <w:pPr>
              <w:rPr>
                <w:highlight w:val="none"/>
              </w:rPr>
            </w:pPr>
          </w:p>
        </w:tc>
        <w:tc>
          <w:tcPr>
            <w:tcW w:w="922" w:type="dxa"/>
            <w:shd w:val="clear" w:color="auto" w:fill="auto"/>
            <w:tcMar>
              <w:left w:w="28" w:type="dxa"/>
              <w:right w:w="28" w:type="dxa"/>
            </w:tcMar>
            <w:vAlign w:val="center"/>
          </w:tcPr>
          <w:p>
            <w:pPr>
              <w:rPr>
                <w:highlight w:val="none"/>
              </w:rPr>
            </w:pPr>
          </w:p>
        </w:tc>
        <w:tc>
          <w:tcPr>
            <w:tcW w:w="1078" w:type="dxa"/>
            <w:shd w:val="clear" w:color="auto" w:fill="auto"/>
            <w:tcMar>
              <w:left w:w="28" w:type="dxa"/>
              <w:right w:w="28" w:type="dxa"/>
            </w:tcMar>
            <w:vAlign w:val="center"/>
          </w:tcPr>
          <w:p>
            <w:pPr>
              <w:rPr>
                <w:highlight w:val="none"/>
              </w:rPr>
            </w:pPr>
          </w:p>
        </w:tc>
        <w:tc>
          <w:tcPr>
            <w:tcW w:w="1262" w:type="dxa"/>
            <w:shd w:val="clear" w:color="auto" w:fill="auto"/>
            <w:tcMar>
              <w:left w:w="28" w:type="dxa"/>
              <w:right w:w="28" w:type="dxa"/>
            </w:tcMar>
            <w:vAlign w:val="center"/>
          </w:tcPr>
          <w:p>
            <w:pPr>
              <w:rPr>
                <w:highlight w:val="none"/>
              </w:rPr>
            </w:pPr>
          </w:p>
        </w:tc>
        <w:tc>
          <w:tcPr>
            <w:tcW w:w="1390" w:type="dxa"/>
            <w:shd w:val="clear" w:color="auto" w:fill="auto"/>
            <w:tcMar>
              <w:left w:w="28" w:type="dxa"/>
              <w:right w:w="28" w:type="dxa"/>
            </w:tcMar>
            <w:vAlign w:val="center"/>
          </w:tcPr>
          <w:p>
            <w:pPr>
              <w:rPr>
                <w:highlight w:val="none"/>
              </w:rPr>
            </w:pPr>
          </w:p>
        </w:tc>
        <w:tc>
          <w:tcPr>
            <w:tcW w:w="1105" w:type="dxa"/>
            <w:shd w:val="clear" w:color="auto" w:fill="auto"/>
            <w:tcMar>
              <w:left w:w="28" w:type="dxa"/>
              <w:right w:w="28" w:type="dxa"/>
            </w:tcMar>
            <w:vAlign w:val="center"/>
          </w:tcPr>
          <w:p>
            <w:pPr>
              <w:rPr>
                <w:highlight w:val="none"/>
              </w:rPr>
            </w:pPr>
          </w:p>
        </w:tc>
        <w:tc>
          <w:tcPr>
            <w:tcW w:w="748"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c>
          <w:tcPr>
            <w:tcW w:w="750" w:type="dxa"/>
            <w:shd w:val="clear" w:color="auto" w:fill="auto"/>
            <w:tcMar>
              <w:left w:w="28" w:type="dxa"/>
              <w:right w:w="2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666" w:type="dxa"/>
            <w:gridSpan w:val="3"/>
            <w:shd w:val="clear" w:color="auto" w:fill="auto"/>
            <w:tcMar>
              <w:left w:w="28" w:type="dxa"/>
              <w:right w:w="28" w:type="dxa"/>
            </w:tcMar>
            <w:vAlign w:val="center"/>
          </w:tcPr>
          <w:p>
            <w:pPr>
              <w:spacing w:line="400" w:lineRule="exact"/>
              <w:jc w:val="center"/>
              <w:rPr>
                <w:color w:val="000000"/>
                <w:highlight w:val="none"/>
              </w:rPr>
            </w:pPr>
            <w:r>
              <w:rPr>
                <w:rFonts w:hint="eastAsia"/>
                <w:color w:val="000000"/>
                <w:highlight w:val="none"/>
              </w:rPr>
              <w:t>招标人编制的标底（如果有）</w:t>
            </w:r>
          </w:p>
        </w:tc>
        <w:tc>
          <w:tcPr>
            <w:tcW w:w="6004" w:type="dxa"/>
            <w:gridSpan w:val="6"/>
            <w:shd w:val="clear" w:color="auto" w:fill="auto"/>
            <w:tcMar>
              <w:left w:w="28" w:type="dxa"/>
              <w:right w:w="28" w:type="dxa"/>
            </w:tcMar>
            <w:vAlign w:val="center"/>
          </w:tcPr>
          <w:p>
            <w:pPr>
              <w:rPr>
                <w:highlight w:val="none"/>
              </w:rPr>
            </w:pPr>
          </w:p>
        </w:tc>
      </w:tr>
    </w:tbl>
    <w:p>
      <w:pPr>
        <w:spacing w:line="400" w:lineRule="exact"/>
        <w:rPr>
          <w:rFonts w:ascii="黑体" w:eastAsia="黑体"/>
          <w:color w:val="000000"/>
          <w:highlight w:val="none"/>
        </w:rPr>
      </w:pPr>
      <w:r>
        <w:rPr>
          <w:rFonts w:hint="eastAsia" w:ascii="黑体" w:eastAsia="黑体"/>
          <w:color w:val="000000"/>
          <w:highlight w:val="none"/>
        </w:rPr>
        <w:t xml:space="preserve"> （二）开标过程中的其他事项记录</w:t>
      </w:r>
    </w:p>
    <w:p>
      <w:pPr>
        <w:spacing w:line="400" w:lineRule="exact"/>
        <w:rPr>
          <w:color w:val="000000"/>
          <w:highlight w:val="none"/>
        </w:rPr>
      </w:pPr>
      <w:r>
        <w:rPr>
          <w:rFonts w:hint="eastAsia"/>
          <w:color w:val="000000"/>
          <w:highlight w:val="none"/>
        </w:rPr>
        <w:t xml:space="preserve"> （三）出席开标会的单位和人员（附签到表）</w:t>
      </w:r>
    </w:p>
    <w:p>
      <w:pPr>
        <w:spacing w:line="400" w:lineRule="exact"/>
        <w:rPr>
          <w:rFonts w:ascii="黑体" w:eastAsia="黑体"/>
          <w:color w:val="000000"/>
          <w:highlight w:val="none"/>
          <w:u w:val="single"/>
        </w:rPr>
      </w:pPr>
      <w:r>
        <w:rPr>
          <w:rFonts w:hint="eastAsia" w:ascii="黑体" w:eastAsia="黑体"/>
          <w:color w:val="000000"/>
          <w:highlight w:val="none"/>
        </w:rPr>
        <w:t>招标人代表：</w:t>
      </w:r>
      <w:r>
        <w:rPr>
          <w:rFonts w:hint="eastAsia" w:ascii="黑体" w:eastAsia="黑体"/>
          <w:color w:val="000000"/>
          <w:highlight w:val="none"/>
          <w:u w:val="single"/>
        </w:rPr>
        <w:t xml:space="preserve">                </w:t>
      </w:r>
      <w:r>
        <w:rPr>
          <w:rFonts w:hint="eastAsia" w:ascii="黑体" w:eastAsia="黑体"/>
          <w:color w:val="000000"/>
          <w:highlight w:val="none"/>
        </w:rPr>
        <w:t>记录人：</w:t>
      </w:r>
      <w:r>
        <w:rPr>
          <w:rFonts w:hint="eastAsia" w:ascii="黑体" w:eastAsia="黑体"/>
          <w:color w:val="000000"/>
          <w:highlight w:val="none"/>
          <w:u w:val="single"/>
        </w:rPr>
        <w:t xml:space="preserve">                 </w:t>
      </w:r>
      <w:r>
        <w:rPr>
          <w:rFonts w:hint="eastAsia" w:ascii="黑体" w:eastAsia="黑体"/>
          <w:color w:val="000000"/>
          <w:highlight w:val="none"/>
        </w:rPr>
        <w:t>监标人：</w:t>
      </w:r>
      <w:r>
        <w:rPr>
          <w:rFonts w:hint="eastAsia" w:ascii="黑体" w:eastAsia="黑体"/>
          <w:color w:val="000000"/>
          <w:highlight w:val="none"/>
          <w:u w:val="single"/>
        </w:rPr>
        <w:t xml:space="preserve">               </w:t>
      </w:r>
    </w:p>
    <w:p>
      <w:pPr>
        <w:spacing w:line="400" w:lineRule="exact"/>
        <w:ind w:firstLine="3780" w:firstLineChars="1800"/>
        <w:rPr>
          <w:color w:val="000000"/>
          <w:highlight w:val="none"/>
        </w:rPr>
      </w:pP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00" w:lineRule="exact"/>
        <w:rPr>
          <w:rFonts w:ascii="黑体" w:eastAsia="黑体"/>
          <w:color w:val="000000"/>
          <w:sz w:val="24"/>
          <w:highlight w:val="none"/>
        </w:rPr>
      </w:pPr>
      <w:r>
        <w:rPr>
          <w:rFonts w:ascii="黑体" w:eastAsia="黑体"/>
          <w:color w:val="000000"/>
          <w:sz w:val="24"/>
          <w:highlight w:val="none"/>
        </w:rPr>
        <w:br w:type="page"/>
      </w:r>
      <w:r>
        <w:rPr>
          <w:rFonts w:hint="eastAsia" w:ascii="黑体" w:eastAsia="黑体"/>
          <w:color w:val="000000"/>
          <w:sz w:val="24"/>
          <w:highlight w:val="none"/>
        </w:rPr>
        <w:t>附表二：问题澄清通知</w:t>
      </w:r>
    </w:p>
    <w:p>
      <w:pPr>
        <w:spacing w:before="312" w:beforeLines="100" w:after="312" w:afterLines="100" w:line="400" w:lineRule="exact"/>
        <w:jc w:val="center"/>
        <w:rPr>
          <w:rFonts w:ascii="黑体" w:eastAsia="黑体"/>
          <w:color w:val="000000"/>
          <w:sz w:val="28"/>
          <w:szCs w:val="28"/>
          <w:highlight w:val="none"/>
        </w:rPr>
      </w:pPr>
      <w:r>
        <w:rPr>
          <w:rFonts w:hint="eastAsia" w:ascii="黑体" w:eastAsia="黑体"/>
          <w:color w:val="000000"/>
          <w:sz w:val="28"/>
          <w:szCs w:val="28"/>
          <w:highlight w:val="none"/>
        </w:rPr>
        <w:t>问题澄清通知</w:t>
      </w:r>
    </w:p>
    <w:p>
      <w:pPr>
        <w:spacing w:line="400" w:lineRule="exact"/>
        <w:ind w:firstLine="5355" w:firstLineChars="2550"/>
        <w:rPr>
          <w:color w:val="000000"/>
          <w:highlight w:val="none"/>
          <w:u w:val="single"/>
        </w:rPr>
      </w:pPr>
      <w:r>
        <w:rPr>
          <w:rFonts w:hint="eastAsia"/>
          <w:color w:val="000000"/>
          <w:highlight w:val="none"/>
        </w:rPr>
        <w:t>编号：</w:t>
      </w:r>
      <w:r>
        <w:rPr>
          <w:rFonts w:hint="eastAsia"/>
          <w:color w:val="000000"/>
          <w:highlight w:val="none"/>
          <w:u w:val="single"/>
        </w:rPr>
        <w:t xml:space="preserve">                  </w:t>
      </w:r>
    </w:p>
    <w:p>
      <w:pPr>
        <w:spacing w:line="480" w:lineRule="exact"/>
        <w:ind w:firstLine="420" w:firstLineChars="200"/>
        <w:rPr>
          <w:color w:val="000000"/>
          <w:highlight w:val="none"/>
        </w:rPr>
      </w:pPr>
      <w:r>
        <w:rPr>
          <w:rFonts w:hint="eastAsia"/>
          <w:color w:val="000000"/>
          <w:highlight w:val="none"/>
          <w:u w:val="single"/>
        </w:rPr>
        <w:t xml:space="preserve">                           </w:t>
      </w:r>
      <w:r>
        <w:rPr>
          <w:rFonts w:hint="eastAsia"/>
          <w:color w:val="000000"/>
          <w:highlight w:val="none"/>
        </w:rPr>
        <w:t>（投标人名称）：</w:t>
      </w:r>
    </w:p>
    <w:p>
      <w:pPr>
        <w:spacing w:line="480" w:lineRule="exact"/>
        <w:ind w:firstLine="420" w:firstLineChars="200"/>
        <w:rPr>
          <w:color w:val="000000"/>
          <w:highlight w:val="none"/>
        </w:rPr>
      </w:pPr>
      <w:r>
        <w:rPr>
          <w:rFonts w:hint="eastAsia"/>
          <w:color w:val="000000"/>
          <w:highlight w:val="none"/>
          <w:u w:val="single"/>
        </w:rPr>
        <w:t xml:space="preserve">             </w:t>
      </w:r>
      <w:r>
        <w:rPr>
          <w:rFonts w:hint="eastAsia"/>
          <w:color w:val="000000"/>
          <w:highlight w:val="none"/>
        </w:rPr>
        <w:t>（项目名称）招标的评标委员会，对你方的投标文件进行了仔细的审查，现需你方对本通知所附质疑问卷中的问题以书面形式予以澄清、说明或者补正。</w:t>
      </w:r>
    </w:p>
    <w:p>
      <w:pPr>
        <w:spacing w:line="480" w:lineRule="exact"/>
        <w:ind w:firstLine="420" w:firstLineChars="200"/>
        <w:rPr>
          <w:color w:val="000000"/>
          <w:highlight w:val="none"/>
        </w:rPr>
      </w:pPr>
      <w:r>
        <w:rPr>
          <w:rFonts w:hint="eastAsia"/>
          <w:color w:val="000000"/>
          <w:highlight w:val="none"/>
        </w:rPr>
        <w:t>请将上述问题的澄清、说明或者补正于</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r>
        <w:rPr>
          <w:rFonts w:hint="eastAsia"/>
          <w:color w:val="000000"/>
          <w:highlight w:val="none"/>
          <w:u w:val="single"/>
        </w:rPr>
        <w:t xml:space="preserve">     </w:t>
      </w:r>
      <w:r>
        <w:rPr>
          <w:rFonts w:hint="eastAsia"/>
          <w:color w:val="000000"/>
          <w:highlight w:val="none"/>
        </w:rPr>
        <w:t>时前密封递交至（详细地址）或传真至</w:t>
      </w:r>
      <w:r>
        <w:rPr>
          <w:rFonts w:hint="eastAsia"/>
          <w:color w:val="000000"/>
          <w:highlight w:val="none"/>
          <w:u w:val="single"/>
        </w:rPr>
        <w:t xml:space="preserve">      </w:t>
      </w:r>
      <w:r>
        <w:rPr>
          <w:rFonts w:hint="eastAsia"/>
          <w:color w:val="000000"/>
          <w:highlight w:val="none"/>
        </w:rPr>
        <w:t>（传真号码）。采用传真方式的，应在</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80" w:lineRule="exact"/>
        <w:rPr>
          <w:color w:val="000000"/>
          <w:highlight w:val="none"/>
        </w:rPr>
      </w:pPr>
      <w:r>
        <w:rPr>
          <w:rFonts w:hint="eastAsia"/>
          <w:color w:val="000000"/>
          <w:highlight w:val="none"/>
          <w:u w:val="single"/>
        </w:rPr>
        <w:t xml:space="preserve">     </w:t>
      </w:r>
      <w:r>
        <w:rPr>
          <w:rFonts w:hint="eastAsia"/>
          <w:color w:val="000000"/>
          <w:highlight w:val="none"/>
        </w:rPr>
        <w:t>时前将原件递交至</w:t>
      </w:r>
      <w:r>
        <w:rPr>
          <w:rFonts w:hint="eastAsia"/>
          <w:color w:val="000000"/>
          <w:highlight w:val="none"/>
          <w:u w:val="single"/>
        </w:rPr>
        <w:t xml:space="preserve">                         </w:t>
      </w:r>
      <w:r>
        <w:rPr>
          <w:rFonts w:hint="eastAsia"/>
          <w:color w:val="000000"/>
          <w:highlight w:val="none"/>
        </w:rPr>
        <w:t xml:space="preserve"> （详细地址）。</w:t>
      </w:r>
    </w:p>
    <w:p>
      <w:pPr>
        <w:spacing w:line="480" w:lineRule="exact"/>
        <w:rPr>
          <w:color w:val="000000"/>
          <w:highlight w:val="none"/>
        </w:rPr>
      </w:pPr>
      <w:r>
        <w:rPr>
          <w:rFonts w:hint="eastAsia"/>
          <w:color w:val="000000"/>
          <w:highlight w:val="none"/>
        </w:rPr>
        <w:t>附件：质疑问卷</w:t>
      </w:r>
    </w:p>
    <w:p>
      <w:pPr>
        <w:spacing w:line="480" w:lineRule="exact"/>
        <w:ind w:firstLine="3570" w:firstLineChars="1700"/>
        <w:rPr>
          <w:color w:val="000000"/>
          <w:highlight w:val="none"/>
        </w:rPr>
      </w:pPr>
      <w:r>
        <w:rPr>
          <w:rFonts w:hint="eastAsia"/>
          <w:color w:val="000000"/>
          <w:highlight w:val="none"/>
          <w:u w:val="single"/>
        </w:rPr>
        <w:t xml:space="preserve">     </w:t>
      </w:r>
      <w:r>
        <w:rPr>
          <w:rFonts w:hint="eastAsia"/>
          <w:color w:val="000000"/>
          <w:highlight w:val="none"/>
        </w:rPr>
        <w:t xml:space="preserve"> （项目名称）</w:t>
      </w:r>
      <w:r>
        <w:rPr>
          <w:rFonts w:hint="eastAsia"/>
          <w:color w:val="000000"/>
          <w:highlight w:val="none"/>
          <w:u w:val="single"/>
        </w:rPr>
        <w:t xml:space="preserve">      </w:t>
      </w:r>
      <w:r>
        <w:rPr>
          <w:rFonts w:hint="eastAsia" w:ascii="黑体" w:eastAsia="黑体"/>
          <w:color w:val="000000"/>
          <w:highlight w:val="none"/>
        </w:rPr>
        <w:t>标段施工招标评标委员会</w:t>
      </w:r>
    </w:p>
    <w:p>
      <w:pPr>
        <w:spacing w:line="480" w:lineRule="exact"/>
        <w:ind w:firstLine="2625" w:firstLineChars="1250"/>
        <w:rPr>
          <w:color w:val="000000"/>
          <w:highlight w:val="none"/>
        </w:rPr>
      </w:pPr>
      <w:r>
        <w:rPr>
          <w:rFonts w:hint="eastAsia"/>
          <w:color w:val="000000"/>
          <w:highlight w:val="none"/>
        </w:rPr>
        <w:t xml:space="preserve">  （经评标委员会授权的招标人代表签字或招标人加盖单位章）</w:t>
      </w:r>
    </w:p>
    <w:p>
      <w:pPr>
        <w:spacing w:line="480" w:lineRule="exact"/>
        <w:ind w:firstLine="4620" w:firstLineChars="2200"/>
        <w:rPr>
          <w:color w:val="000000"/>
          <w:highlight w:val="none"/>
        </w:rPr>
      </w:pP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80" w:lineRule="exact"/>
        <w:rPr>
          <w:rFonts w:ascii="黑体" w:eastAsia="黑体"/>
          <w:color w:val="000000"/>
          <w:sz w:val="24"/>
          <w:highlight w:val="none"/>
        </w:rPr>
      </w:pPr>
      <w:r>
        <w:rPr>
          <w:color w:val="000000"/>
          <w:highlight w:val="none"/>
        </w:rPr>
        <w:br w:type="page"/>
      </w:r>
      <w:r>
        <w:rPr>
          <w:rFonts w:hint="eastAsia" w:ascii="黑体" w:eastAsia="黑体"/>
          <w:color w:val="000000"/>
          <w:sz w:val="24"/>
          <w:highlight w:val="none"/>
        </w:rPr>
        <w:t>附表三：问题的澄清</w:t>
      </w:r>
    </w:p>
    <w:p>
      <w:pPr>
        <w:spacing w:before="312" w:beforeLines="100" w:after="312" w:afterLines="100" w:line="480" w:lineRule="exact"/>
        <w:jc w:val="center"/>
        <w:rPr>
          <w:rFonts w:ascii="黑体" w:eastAsia="黑体"/>
          <w:color w:val="000000"/>
          <w:sz w:val="28"/>
          <w:szCs w:val="28"/>
          <w:highlight w:val="none"/>
        </w:rPr>
      </w:pPr>
      <w:r>
        <w:rPr>
          <w:rFonts w:hint="eastAsia" w:ascii="黑体" w:eastAsia="黑体"/>
          <w:color w:val="000000"/>
          <w:sz w:val="28"/>
          <w:szCs w:val="28"/>
          <w:highlight w:val="none"/>
        </w:rPr>
        <w:t>问题的澄清、说明或补正</w:t>
      </w:r>
    </w:p>
    <w:p>
      <w:pPr>
        <w:spacing w:line="400" w:lineRule="exact"/>
        <w:ind w:firstLine="5355" w:firstLineChars="2550"/>
        <w:rPr>
          <w:color w:val="000000"/>
          <w:highlight w:val="none"/>
          <w:u w:val="single"/>
        </w:rPr>
      </w:pPr>
      <w:r>
        <w:rPr>
          <w:rFonts w:hint="eastAsia"/>
          <w:color w:val="000000"/>
          <w:highlight w:val="none"/>
        </w:rPr>
        <w:t>编号：</w:t>
      </w:r>
      <w:r>
        <w:rPr>
          <w:rFonts w:hint="eastAsia"/>
          <w:color w:val="000000"/>
          <w:highlight w:val="none"/>
          <w:u w:val="single"/>
        </w:rPr>
        <w:t xml:space="preserve">                  </w:t>
      </w:r>
    </w:p>
    <w:p>
      <w:pPr>
        <w:spacing w:line="480" w:lineRule="exact"/>
        <w:rPr>
          <w:color w:val="000000"/>
          <w:highlight w:val="none"/>
        </w:rPr>
      </w:pPr>
      <w:r>
        <w:rPr>
          <w:rFonts w:hint="eastAsia"/>
          <w:color w:val="000000"/>
          <w:highlight w:val="none"/>
        </w:rPr>
        <w:t xml:space="preserve">  </w:t>
      </w:r>
      <w:r>
        <w:rPr>
          <w:rFonts w:hint="eastAsia"/>
          <w:color w:val="000000"/>
          <w:highlight w:val="none"/>
          <w:u w:val="single"/>
        </w:rPr>
        <w:t xml:space="preserve">            </w:t>
      </w:r>
      <w:r>
        <w:rPr>
          <w:rFonts w:hint="eastAsia"/>
          <w:color w:val="000000"/>
          <w:highlight w:val="none"/>
        </w:rPr>
        <w:t>（项目名称）施工招标评标委员会：</w:t>
      </w:r>
    </w:p>
    <w:p>
      <w:pPr>
        <w:spacing w:line="480" w:lineRule="exact"/>
        <w:ind w:firstLine="420" w:firstLineChars="200"/>
        <w:rPr>
          <w:color w:val="000000"/>
          <w:highlight w:val="none"/>
        </w:rPr>
      </w:pPr>
      <w:r>
        <w:rPr>
          <w:rFonts w:hint="eastAsia"/>
          <w:color w:val="000000"/>
          <w:highlight w:val="none"/>
        </w:rPr>
        <w:t>问题澄清通知（编号：</w:t>
      </w:r>
      <w:r>
        <w:rPr>
          <w:rFonts w:hint="eastAsia"/>
          <w:color w:val="000000"/>
          <w:highlight w:val="none"/>
          <w:u w:val="single"/>
        </w:rPr>
        <w:t xml:space="preserve">      </w:t>
      </w:r>
      <w:r>
        <w:rPr>
          <w:rFonts w:hint="eastAsia"/>
          <w:color w:val="000000"/>
          <w:highlight w:val="none"/>
        </w:rPr>
        <w:t>）已收悉，现澄清、说明或者补正如下：</w:t>
      </w:r>
    </w:p>
    <w:p>
      <w:pPr>
        <w:spacing w:line="480" w:lineRule="exact"/>
        <w:ind w:firstLine="420" w:firstLineChars="200"/>
        <w:rPr>
          <w:color w:val="000000"/>
          <w:highlight w:val="none"/>
        </w:rPr>
      </w:pPr>
      <w:r>
        <w:rPr>
          <w:rFonts w:hint="eastAsia"/>
          <w:color w:val="000000"/>
          <w:highlight w:val="none"/>
        </w:rPr>
        <w:t>1.</w:t>
      </w:r>
    </w:p>
    <w:p>
      <w:pPr>
        <w:spacing w:line="480" w:lineRule="exact"/>
        <w:ind w:firstLine="420" w:firstLineChars="200"/>
        <w:rPr>
          <w:color w:val="000000"/>
          <w:highlight w:val="none"/>
        </w:rPr>
      </w:pPr>
      <w:r>
        <w:rPr>
          <w:rFonts w:hint="eastAsia"/>
          <w:color w:val="000000"/>
          <w:highlight w:val="none"/>
        </w:rPr>
        <w:t>2.</w:t>
      </w:r>
    </w:p>
    <w:p>
      <w:pPr>
        <w:spacing w:line="480" w:lineRule="exact"/>
        <w:ind w:firstLine="420" w:firstLineChars="200"/>
        <w:rPr>
          <w:color w:val="000000"/>
          <w:highlight w:val="none"/>
        </w:rPr>
      </w:pPr>
      <w:r>
        <w:rPr>
          <w:rFonts w:hint="eastAsia"/>
          <w:color w:val="000000"/>
          <w:highlight w:val="none"/>
        </w:rPr>
        <w:t>……</w:t>
      </w:r>
    </w:p>
    <w:p>
      <w:pPr>
        <w:wordWrap w:val="0"/>
        <w:spacing w:line="480" w:lineRule="exact"/>
        <w:ind w:firstLine="420" w:firstLineChars="200"/>
        <w:jc w:val="right"/>
        <w:rPr>
          <w:color w:val="000000"/>
          <w:highlight w:val="none"/>
        </w:rPr>
      </w:pPr>
      <w:r>
        <w:rPr>
          <w:rFonts w:hint="eastAsia" w:ascii="黑体" w:eastAsia="黑体"/>
          <w:color w:val="000000"/>
          <w:highlight w:val="none"/>
        </w:rPr>
        <w:t>投标人：</w:t>
      </w:r>
      <w:r>
        <w:rPr>
          <w:rFonts w:hint="eastAsia"/>
          <w:color w:val="000000"/>
          <w:highlight w:val="none"/>
          <w:u w:val="single"/>
        </w:rPr>
        <w:t xml:space="preserve">                           </w:t>
      </w:r>
      <w:r>
        <w:rPr>
          <w:rFonts w:hint="eastAsia"/>
          <w:color w:val="000000"/>
          <w:highlight w:val="none"/>
        </w:rPr>
        <w:t xml:space="preserve">（盖单位章） </w:t>
      </w:r>
    </w:p>
    <w:p>
      <w:pPr>
        <w:wordWrap w:val="0"/>
        <w:spacing w:before="156" w:beforeLines="50" w:after="156" w:afterLines="50" w:line="480" w:lineRule="exact"/>
        <w:ind w:right="210"/>
        <w:jc w:val="right"/>
        <w:rPr>
          <w:color w:val="000000"/>
          <w:highlight w:val="none"/>
        </w:rPr>
      </w:pPr>
      <w:r>
        <w:rPr>
          <w:rFonts w:hint="eastAsia" w:ascii="黑体" w:eastAsia="黑体"/>
          <w:color w:val="000000"/>
          <w:highlight w:val="none"/>
        </w:rPr>
        <w:t>法定代表人或其委托代理人：</w:t>
      </w:r>
      <w:r>
        <w:rPr>
          <w:rFonts w:hint="eastAsia"/>
          <w:color w:val="000000"/>
          <w:highlight w:val="none"/>
          <w:u w:val="single"/>
        </w:rPr>
        <w:t xml:space="preserve">      </w:t>
      </w:r>
      <w:r>
        <w:rPr>
          <w:rFonts w:hint="eastAsia"/>
          <w:color w:val="000000"/>
          <w:highlight w:val="none"/>
        </w:rPr>
        <w:t xml:space="preserve">（签字）      </w:t>
      </w:r>
    </w:p>
    <w:p>
      <w:pPr>
        <w:spacing w:line="480" w:lineRule="exact"/>
        <w:ind w:firstLine="5775" w:firstLineChars="2750"/>
        <w:rPr>
          <w:color w:val="000000"/>
          <w:highlight w:val="none"/>
        </w:rPr>
      </w:pP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80" w:lineRule="exact"/>
        <w:rPr>
          <w:rFonts w:ascii="黑体" w:eastAsia="黑体"/>
          <w:color w:val="000000"/>
          <w:sz w:val="24"/>
          <w:highlight w:val="none"/>
        </w:rPr>
      </w:pPr>
      <w:r>
        <w:rPr>
          <w:color w:val="000000"/>
          <w:highlight w:val="none"/>
        </w:rPr>
        <w:br w:type="page"/>
      </w:r>
      <w:r>
        <w:rPr>
          <w:rFonts w:hint="eastAsia" w:ascii="黑体" w:eastAsia="黑体"/>
          <w:color w:val="000000"/>
          <w:sz w:val="24"/>
          <w:highlight w:val="none"/>
        </w:rPr>
        <w:t>附表四：中标通知书</w:t>
      </w:r>
    </w:p>
    <w:p>
      <w:pPr>
        <w:spacing w:before="312" w:beforeLines="100" w:after="312" w:afterLines="100" w:line="480" w:lineRule="exact"/>
        <w:jc w:val="center"/>
        <w:rPr>
          <w:rFonts w:ascii="黑体" w:eastAsia="黑体"/>
          <w:color w:val="000000"/>
          <w:sz w:val="28"/>
          <w:szCs w:val="28"/>
          <w:highlight w:val="none"/>
        </w:rPr>
      </w:pPr>
      <w:r>
        <w:rPr>
          <w:rFonts w:hint="eastAsia" w:ascii="黑体" w:eastAsia="黑体"/>
          <w:color w:val="000000"/>
          <w:sz w:val="28"/>
          <w:szCs w:val="28"/>
          <w:highlight w:val="none"/>
        </w:rPr>
        <w:t>中标通知书</w:t>
      </w:r>
    </w:p>
    <w:p>
      <w:pPr>
        <w:spacing w:line="480" w:lineRule="exact"/>
        <w:rPr>
          <w:color w:val="000000"/>
          <w:highlight w:val="none"/>
        </w:rPr>
      </w:pPr>
      <w:r>
        <w:rPr>
          <w:rFonts w:hint="eastAsia"/>
          <w:color w:val="000000"/>
          <w:highlight w:val="none"/>
          <w:u w:val="single"/>
        </w:rPr>
        <w:t xml:space="preserve">               </w:t>
      </w:r>
      <w:r>
        <w:rPr>
          <w:rFonts w:hint="eastAsia"/>
          <w:color w:val="000000"/>
          <w:highlight w:val="none"/>
        </w:rPr>
        <w:t>（中标人名称）：</w:t>
      </w:r>
    </w:p>
    <w:p>
      <w:pPr>
        <w:spacing w:line="480" w:lineRule="exact"/>
        <w:ind w:firstLine="420" w:firstLineChars="200"/>
        <w:rPr>
          <w:color w:val="000000"/>
          <w:highlight w:val="none"/>
        </w:rPr>
      </w:pPr>
      <w:r>
        <w:rPr>
          <w:rFonts w:hint="eastAsia"/>
          <w:color w:val="000000"/>
          <w:highlight w:val="none"/>
        </w:rPr>
        <w:t>你方于</w:t>
      </w:r>
      <w:r>
        <w:rPr>
          <w:rFonts w:hint="eastAsia"/>
          <w:color w:val="000000"/>
          <w:highlight w:val="none"/>
          <w:u w:val="single"/>
        </w:rPr>
        <w:t xml:space="preserve">             </w:t>
      </w:r>
      <w:r>
        <w:rPr>
          <w:rFonts w:hint="eastAsia"/>
          <w:color w:val="000000"/>
          <w:highlight w:val="none"/>
        </w:rPr>
        <w:t>（投标日期）所递交的</w:t>
      </w:r>
      <w:r>
        <w:rPr>
          <w:rFonts w:hint="eastAsia"/>
          <w:color w:val="000000"/>
          <w:highlight w:val="none"/>
          <w:u w:val="single"/>
        </w:rPr>
        <w:t xml:space="preserve">          </w:t>
      </w:r>
      <w:r>
        <w:rPr>
          <w:rFonts w:hint="eastAsia"/>
          <w:color w:val="000000"/>
          <w:highlight w:val="none"/>
        </w:rPr>
        <w:t>（项目名称）投标文件已被我方接受，被确定为中标人。</w:t>
      </w:r>
    </w:p>
    <w:p>
      <w:pPr>
        <w:spacing w:line="480" w:lineRule="exact"/>
        <w:ind w:firstLine="420" w:firstLineChars="200"/>
        <w:rPr>
          <w:color w:val="000000"/>
          <w:highlight w:val="none"/>
        </w:rPr>
      </w:pPr>
      <w:r>
        <w:rPr>
          <w:rFonts w:hint="eastAsia"/>
          <w:color w:val="000000"/>
          <w:highlight w:val="none"/>
        </w:rPr>
        <w:t>中标价：</w:t>
      </w:r>
      <w:r>
        <w:rPr>
          <w:rFonts w:hint="eastAsia"/>
          <w:color w:val="000000"/>
          <w:highlight w:val="none"/>
          <w:u w:val="single"/>
        </w:rPr>
        <w:t xml:space="preserve">                     </w:t>
      </w:r>
      <w:r>
        <w:rPr>
          <w:rFonts w:hint="eastAsia"/>
          <w:color w:val="000000"/>
          <w:highlight w:val="none"/>
        </w:rPr>
        <w:t>元。</w:t>
      </w:r>
    </w:p>
    <w:p>
      <w:pPr>
        <w:spacing w:line="480" w:lineRule="exact"/>
        <w:ind w:firstLine="420" w:firstLineChars="200"/>
        <w:rPr>
          <w:color w:val="000000"/>
          <w:highlight w:val="none"/>
        </w:rPr>
      </w:pPr>
      <w:r>
        <w:rPr>
          <w:rFonts w:hint="eastAsia"/>
          <w:color w:val="000000"/>
          <w:highlight w:val="none"/>
        </w:rPr>
        <w:t>工    期：</w:t>
      </w:r>
      <w:r>
        <w:rPr>
          <w:rFonts w:hint="eastAsia"/>
          <w:color w:val="000000"/>
          <w:highlight w:val="none"/>
          <w:u w:val="single"/>
        </w:rPr>
        <w:t xml:space="preserve">                     </w:t>
      </w:r>
      <w:r>
        <w:rPr>
          <w:rFonts w:hint="eastAsia"/>
          <w:color w:val="000000"/>
          <w:highlight w:val="none"/>
        </w:rPr>
        <w:t>日历天。</w:t>
      </w:r>
    </w:p>
    <w:p>
      <w:pPr>
        <w:spacing w:line="480" w:lineRule="exact"/>
        <w:ind w:firstLine="420" w:firstLineChars="200"/>
        <w:rPr>
          <w:color w:val="000000"/>
          <w:highlight w:val="none"/>
        </w:rPr>
      </w:pPr>
      <w:r>
        <w:rPr>
          <w:rFonts w:hint="eastAsia"/>
          <w:color w:val="000000"/>
          <w:highlight w:val="none"/>
        </w:rPr>
        <w:t>工程质量：符合</w:t>
      </w:r>
      <w:r>
        <w:rPr>
          <w:rFonts w:hint="eastAsia"/>
          <w:color w:val="000000"/>
          <w:highlight w:val="none"/>
          <w:u w:val="single"/>
        </w:rPr>
        <w:t xml:space="preserve">                         </w:t>
      </w:r>
      <w:r>
        <w:rPr>
          <w:rFonts w:hint="eastAsia"/>
          <w:color w:val="000000"/>
          <w:highlight w:val="none"/>
        </w:rPr>
        <w:t>标准。</w:t>
      </w:r>
    </w:p>
    <w:p>
      <w:pPr>
        <w:spacing w:line="480" w:lineRule="exact"/>
        <w:ind w:firstLine="420" w:firstLineChars="200"/>
        <w:rPr>
          <w:color w:val="000000"/>
          <w:highlight w:val="none"/>
        </w:rPr>
      </w:pPr>
      <w:r>
        <w:rPr>
          <w:rFonts w:hint="eastAsia"/>
          <w:color w:val="000000"/>
          <w:highlight w:val="none"/>
        </w:rPr>
        <w:t>项目经理：</w:t>
      </w:r>
      <w:r>
        <w:rPr>
          <w:rFonts w:hint="eastAsia"/>
          <w:color w:val="000000"/>
          <w:highlight w:val="none"/>
          <w:u w:val="single"/>
        </w:rPr>
        <w:t xml:space="preserve">               </w:t>
      </w:r>
      <w:r>
        <w:rPr>
          <w:rFonts w:hint="eastAsia"/>
          <w:color w:val="000000"/>
          <w:highlight w:val="none"/>
        </w:rPr>
        <w:t>（姓名）。</w:t>
      </w:r>
    </w:p>
    <w:p>
      <w:pPr>
        <w:spacing w:line="480" w:lineRule="exact"/>
        <w:ind w:firstLine="420" w:firstLineChars="200"/>
        <w:rPr>
          <w:color w:val="000000"/>
          <w:highlight w:val="none"/>
        </w:rPr>
      </w:pPr>
      <w:r>
        <w:rPr>
          <w:rFonts w:hint="eastAsia"/>
          <w:color w:val="000000"/>
          <w:highlight w:val="none"/>
        </w:rPr>
        <w:t>请你方在接到本通知书后的</w:t>
      </w:r>
      <w:r>
        <w:rPr>
          <w:rFonts w:hint="eastAsia"/>
          <w:color w:val="000000"/>
          <w:highlight w:val="none"/>
          <w:u w:val="single"/>
        </w:rPr>
        <w:t xml:space="preserve">       </w:t>
      </w:r>
      <w:r>
        <w:rPr>
          <w:rFonts w:hint="eastAsia"/>
          <w:color w:val="000000"/>
          <w:highlight w:val="none"/>
        </w:rPr>
        <w:t>日内到</w:t>
      </w:r>
      <w:r>
        <w:rPr>
          <w:rFonts w:hint="eastAsia"/>
          <w:color w:val="000000"/>
          <w:highlight w:val="none"/>
          <w:u w:val="single"/>
        </w:rPr>
        <w:t xml:space="preserve">                         </w:t>
      </w:r>
      <w:r>
        <w:rPr>
          <w:rFonts w:hint="eastAsia"/>
          <w:color w:val="000000"/>
          <w:highlight w:val="none"/>
        </w:rPr>
        <w:t>（指定地点）与我方签订施工承包合同，在此之前按招标文件第二章“投标人须知”第7.3款规定向我方提交履约担保。</w:t>
      </w:r>
    </w:p>
    <w:p>
      <w:pPr>
        <w:spacing w:line="480" w:lineRule="exact"/>
        <w:ind w:firstLine="420" w:firstLineChars="200"/>
        <w:rPr>
          <w:color w:val="000000"/>
          <w:highlight w:val="none"/>
        </w:rPr>
      </w:pPr>
      <w:r>
        <w:rPr>
          <w:rFonts w:hint="eastAsia"/>
          <w:color w:val="000000"/>
          <w:highlight w:val="none"/>
        </w:rPr>
        <w:t>特此通知。</w:t>
      </w:r>
    </w:p>
    <w:p>
      <w:pPr>
        <w:wordWrap w:val="0"/>
        <w:spacing w:line="480" w:lineRule="exact"/>
        <w:ind w:firstLine="420" w:firstLineChars="200"/>
        <w:jc w:val="right"/>
        <w:rPr>
          <w:color w:val="000000"/>
          <w:highlight w:val="none"/>
        </w:rPr>
      </w:pPr>
      <w:r>
        <w:rPr>
          <w:rFonts w:hint="eastAsia" w:ascii="黑体" w:eastAsia="黑体"/>
          <w:color w:val="000000"/>
          <w:highlight w:val="none"/>
        </w:rPr>
        <w:t>招标人：</w:t>
      </w:r>
      <w:r>
        <w:rPr>
          <w:rFonts w:hint="eastAsia"/>
          <w:color w:val="000000"/>
          <w:highlight w:val="none"/>
          <w:u w:val="single"/>
        </w:rPr>
        <w:t xml:space="preserve">                  </w:t>
      </w:r>
      <w:r>
        <w:rPr>
          <w:rFonts w:hint="eastAsia"/>
          <w:color w:val="000000"/>
          <w:highlight w:val="none"/>
        </w:rPr>
        <w:t xml:space="preserve">（盖单位章）    </w:t>
      </w:r>
    </w:p>
    <w:p>
      <w:pPr>
        <w:wordWrap w:val="0"/>
        <w:spacing w:line="480" w:lineRule="exact"/>
        <w:jc w:val="right"/>
        <w:rPr>
          <w:color w:val="000000"/>
          <w:highlight w:val="none"/>
        </w:rPr>
      </w:pPr>
      <w:r>
        <w:rPr>
          <w:rFonts w:hint="eastAsia" w:ascii="黑体" w:eastAsia="黑体"/>
          <w:color w:val="000000"/>
          <w:highlight w:val="none"/>
        </w:rPr>
        <w:t>法定代表人：</w:t>
      </w:r>
      <w:r>
        <w:rPr>
          <w:rFonts w:hint="eastAsia"/>
          <w:color w:val="000000"/>
          <w:highlight w:val="none"/>
          <w:u w:val="single"/>
        </w:rPr>
        <w:t xml:space="preserve">               </w:t>
      </w:r>
      <w:r>
        <w:rPr>
          <w:rFonts w:hint="eastAsia"/>
          <w:color w:val="000000"/>
          <w:highlight w:val="none"/>
        </w:rPr>
        <w:t xml:space="preserve">（签字）       </w:t>
      </w:r>
    </w:p>
    <w:p>
      <w:pPr>
        <w:spacing w:line="480" w:lineRule="exact"/>
        <w:ind w:firstLine="5145" w:firstLineChars="2450"/>
        <w:rPr>
          <w:color w:val="000000"/>
          <w:highlight w:val="none"/>
        </w:rPr>
      </w:pPr>
      <w:r>
        <w:rPr>
          <w:rFonts w:hint="eastAsia"/>
          <w:color w:val="000000"/>
          <w:highlight w:val="none"/>
        </w:rPr>
        <w:t xml:space="preserve"> </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80" w:lineRule="exact"/>
        <w:rPr>
          <w:rFonts w:ascii="黑体" w:eastAsia="黑体"/>
          <w:color w:val="000000"/>
          <w:sz w:val="24"/>
          <w:highlight w:val="none"/>
        </w:rPr>
      </w:pPr>
      <w:r>
        <w:rPr>
          <w:color w:val="000000"/>
          <w:highlight w:val="none"/>
        </w:rPr>
        <w:br w:type="page"/>
      </w:r>
      <w:r>
        <w:rPr>
          <w:rFonts w:hint="eastAsia" w:ascii="黑体" w:eastAsia="黑体"/>
          <w:color w:val="000000"/>
          <w:sz w:val="24"/>
          <w:highlight w:val="none"/>
        </w:rPr>
        <w:t>附表五：中标结果通知书</w:t>
      </w:r>
    </w:p>
    <w:p>
      <w:pPr>
        <w:spacing w:before="312" w:beforeLines="100" w:after="312" w:afterLines="100" w:line="480" w:lineRule="exact"/>
        <w:jc w:val="center"/>
        <w:rPr>
          <w:rFonts w:ascii="黑体" w:eastAsia="黑体"/>
          <w:color w:val="000000"/>
          <w:sz w:val="28"/>
          <w:szCs w:val="28"/>
          <w:highlight w:val="none"/>
        </w:rPr>
      </w:pPr>
      <w:r>
        <w:rPr>
          <w:rFonts w:hint="eastAsia" w:ascii="黑体" w:eastAsia="黑体"/>
          <w:color w:val="000000"/>
          <w:sz w:val="28"/>
          <w:szCs w:val="28"/>
          <w:highlight w:val="none"/>
        </w:rPr>
        <w:t>中标结果通知书</w:t>
      </w:r>
    </w:p>
    <w:p>
      <w:pPr>
        <w:spacing w:line="480" w:lineRule="exact"/>
        <w:rPr>
          <w:color w:val="000000"/>
          <w:highlight w:val="none"/>
        </w:rPr>
      </w:pPr>
      <w:r>
        <w:rPr>
          <w:rFonts w:hint="eastAsia"/>
          <w:color w:val="000000"/>
          <w:highlight w:val="none"/>
          <w:u w:val="single"/>
        </w:rPr>
        <w:t xml:space="preserve">                      </w:t>
      </w:r>
      <w:r>
        <w:rPr>
          <w:rFonts w:hint="eastAsia"/>
          <w:color w:val="000000"/>
          <w:highlight w:val="none"/>
        </w:rPr>
        <w:t>（未中标人名称）：</w:t>
      </w:r>
    </w:p>
    <w:p>
      <w:pPr>
        <w:spacing w:line="480" w:lineRule="exact"/>
        <w:ind w:firstLine="420" w:firstLineChars="200"/>
        <w:rPr>
          <w:color w:val="000000"/>
          <w:highlight w:val="none"/>
        </w:rPr>
      </w:pPr>
      <w:r>
        <w:rPr>
          <w:rFonts w:hint="eastAsia"/>
          <w:color w:val="000000"/>
          <w:highlight w:val="none"/>
        </w:rPr>
        <w:t>我方已接受</w:t>
      </w:r>
      <w:r>
        <w:rPr>
          <w:rFonts w:hint="eastAsia"/>
          <w:color w:val="000000"/>
          <w:highlight w:val="none"/>
          <w:u w:val="single"/>
        </w:rPr>
        <w:t xml:space="preserve">                   </w:t>
      </w:r>
      <w:r>
        <w:rPr>
          <w:rFonts w:hint="eastAsia"/>
          <w:color w:val="000000"/>
          <w:highlight w:val="none"/>
        </w:rPr>
        <w:t>（中标人名称）于</w:t>
      </w:r>
      <w:r>
        <w:rPr>
          <w:rFonts w:hint="eastAsia"/>
          <w:color w:val="000000"/>
          <w:highlight w:val="none"/>
          <w:u w:val="single"/>
        </w:rPr>
        <w:t xml:space="preserve">                       </w:t>
      </w:r>
      <w:r>
        <w:rPr>
          <w:rFonts w:hint="eastAsia"/>
          <w:color w:val="000000"/>
          <w:highlight w:val="none"/>
        </w:rPr>
        <w:t>（投标日期）所递交的</w:t>
      </w:r>
      <w:r>
        <w:rPr>
          <w:rFonts w:hint="eastAsia"/>
          <w:color w:val="000000"/>
          <w:highlight w:val="none"/>
          <w:u w:val="single"/>
        </w:rPr>
        <w:t xml:space="preserve">           </w:t>
      </w:r>
      <w:r>
        <w:rPr>
          <w:rFonts w:hint="eastAsia"/>
          <w:color w:val="000000"/>
          <w:highlight w:val="none"/>
        </w:rPr>
        <w:t>（项目名称）投标文件，确定</w:t>
      </w:r>
      <w:r>
        <w:rPr>
          <w:rFonts w:hint="eastAsia"/>
          <w:color w:val="000000"/>
          <w:highlight w:val="none"/>
          <w:u w:val="single"/>
        </w:rPr>
        <w:t xml:space="preserve">         </w:t>
      </w:r>
      <w:r>
        <w:rPr>
          <w:rFonts w:hint="eastAsia"/>
          <w:color w:val="000000"/>
          <w:highlight w:val="none"/>
        </w:rPr>
        <w:t>（中标人名称）为中标人。</w:t>
      </w:r>
    </w:p>
    <w:p>
      <w:pPr>
        <w:spacing w:line="480" w:lineRule="exact"/>
        <w:ind w:firstLine="420" w:firstLineChars="200"/>
        <w:rPr>
          <w:color w:val="000000"/>
          <w:highlight w:val="none"/>
        </w:rPr>
      </w:pPr>
      <w:r>
        <w:rPr>
          <w:rFonts w:hint="eastAsia"/>
          <w:color w:val="000000"/>
          <w:highlight w:val="none"/>
        </w:rPr>
        <w:t>感谢你单位对我方工作的大力支持!</w:t>
      </w:r>
    </w:p>
    <w:p>
      <w:pPr>
        <w:wordWrap w:val="0"/>
        <w:spacing w:line="480" w:lineRule="exact"/>
        <w:ind w:firstLine="420" w:firstLineChars="200"/>
        <w:jc w:val="right"/>
        <w:rPr>
          <w:color w:val="000000"/>
          <w:highlight w:val="none"/>
        </w:rPr>
      </w:pPr>
      <w:r>
        <w:rPr>
          <w:rFonts w:hint="eastAsia" w:ascii="黑体" w:eastAsia="黑体"/>
          <w:color w:val="000000"/>
          <w:highlight w:val="none"/>
        </w:rPr>
        <w:t>招标人：</w:t>
      </w:r>
      <w:r>
        <w:rPr>
          <w:rFonts w:hint="eastAsia"/>
          <w:color w:val="000000"/>
          <w:highlight w:val="none"/>
          <w:u w:val="single"/>
        </w:rPr>
        <w:t xml:space="preserve">               </w:t>
      </w:r>
      <w:r>
        <w:rPr>
          <w:rFonts w:hint="eastAsia"/>
          <w:color w:val="000000"/>
          <w:highlight w:val="none"/>
        </w:rPr>
        <w:t xml:space="preserve">（盖单位章）        </w:t>
      </w:r>
    </w:p>
    <w:p>
      <w:pPr>
        <w:wordWrap w:val="0"/>
        <w:spacing w:line="480" w:lineRule="exact"/>
        <w:ind w:firstLine="420" w:firstLineChars="200"/>
        <w:jc w:val="right"/>
        <w:rPr>
          <w:color w:val="000000"/>
          <w:highlight w:val="none"/>
        </w:rPr>
      </w:pPr>
      <w:r>
        <w:rPr>
          <w:rFonts w:hint="eastAsia" w:ascii="黑体" w:eastAsia="黑体"/>
          <w:color w:val="000000"/>
          <w:highlight w:val="none"/>
        </w:rPr>
        <w:t>法定代表人：</w:t>
      </w:r>
      <w:r>
        <w:rPr>
          <w:rFonts w:hint="eastAsia"/>
          <w:color w:val="000000"/>
          <w:highlight w:val="none"/>
          <w:u w:val="single"/>
        </w:rPr>
        <w:t xml:space="preserve">              </w:t>
      </w:r>
      <w:r>
        <w:rPr>
          <w:rFonts w:hint="eastAsia"/>
          <w:color w:val="000000"/>
          <w:highlight w:val="none"/>
        </w:rPr>
        <w:t xml:space="preserve"> （签字）        </w:t>
      </w:r>
    </w:p>
    <w:p>
      <w:pPr>
        <w:spacing w:line="480" w:lineRule="exact"/>
        <w:ind w:firstLine="4689" w:firstLineChars="2233"/>
        <w:rPr>
          <w:color w:val="000000"/>
          <w:highlight w:val="none"/>
        </w:rPr>
      </w:pP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w:t>
      </w:r>
    </w:p>
    <w:p>
      <w:pPr>
        <w:spacing w:line="480" w:lineRule="exact"/>
        <w:rPr>
          <w:rFonts w:ascii="黑体" w:eastAsia="黑体"/>
          <w:color w:val="000000"/>
          <w:sz w:val="24"/>
          <w:highlight w:val="none"/>
        </w:rPr>
      </w:pPr>
      <w:r>
        <w:rPr>
          <w:color w:val="000000"/>
          <w:highlight w:val="none"/>
        </w:rPr>
        <w:br w:type="page"/>
      </w:r>
      <w:r>
        <w:rPr>
          <w:rFonts w:hint="eastAsia" w:ascii="黑体" w:eastAsia="黑体"/>
          <w:color w:val="000000"/>
          <w:sz w:val="24"/>
          <w:highlight w:val="none"/>
        </w:rPr>
        <w:t>附表六：确认通知</w:t>
      </w:r>
    </w:p>
    <w:p>
      <w:pPr>
        <w:spacing w:before="312" w:beforeLines="100" w:after="312" w:afterLines="100" w:line="480" w:lineRule="exact"/>
        <w:jc w:val="center"/>
        <w:rPr>
          <w:rFonts w:ascii="黑体" w:eastAsia="黑体"/>
          <w:color w:val="000000"/>
          <w:sz w:val="28"/>
          <w:szCs w:val="28"/>
          <w:highlight w:val="none"/>
        </w:rPr>
      </w:pPr>
      <w:r>
        <w:rPr>
          <w:rFonts w:hint="eastAsia" w:ascii="黑体" w:eastAsia="黑体"/>
          <w:color w:val="000000"/>
          <w:sz w:val="28"/>
          <w:szCs w:val="28"/>
          <w:highlight w:val="none"/>
        </w:rPr>
        <w:t>确认通知</w:t>
      </w:r>
    </w:p>
    <w:p>
      <w:pPr>
        <w:spacing w:line="480" w:lineRule="exact"/>
        <w:rPr>
          <w:color w:val="000000"/>
          <w:highlight w:val="none"/>
        </w:rPr>
      </w:pPr>
      <w:r>
        <w:rPr>
          <w:rFonts w:hint="eastAsia"/>
          <w:color w:val="000000"/>
          <w:highlight w:val="none"/>
          <w:u w:val="single"/>
        </w:rPr>
        <w:t xml:space="preserve">            </w:t>
      </w:r>
      <w:r>
        <w:rPr>
          <w:rFonts w:hint="eastAsia"/>
          <w:color w:val="000000"/>
          <w:highlight w:val="none"/>
        </w:rPr>
        <w:t>（招标人名称）：</w:t>
      </w:r>
    </w:p>
    <w:p>
      <w:pPr>
        <w:spacing w:line="480" w:lineRule="exact"/>
        <w:ind w:firstLine="420" w:firstLineChars="200"/>
        <w:rPr>
          <w:color w:val="000000"/>
          <w:highlight w:val="none"/>
        </w:rPr>
      </w:pPr>
      <w:r>
        <w:rPr>
          <w:rFonts w:hint="eastAsia"/>
          <w:color w:val="000000"/>
          <w:highlight w:val="none"/>
        </w:rPr>
        <w:t>你方</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日发出的</w:t>
      </w:r>
      <w:r>
        <w:rPr>
          <w:rFonts w:hint="eastAsia"/>
          <w:color w:val="000000"/>
          <w:highlight w:val="none"/>
          <w:u w:val="single"/>
        </w:rPr>
        <w:t xml:space="preserve">       </w:t>
      </w:r>
      <w:r>
        <w:rPr>
          <w:rFonts w:hint="eastAsia"/>
          <w:color w:val="000000"/>
          <w:highlight w:val="none"/>
        </w:rPr>
        <w:t>（项目名称）招标关于</w:t>
      </w:r>
    </w:p>
    <w:p>
      <w:pPr>
        <w:spacing w:line="480" w:lineRule="exact"/>
        <w:rPr>
          <w:color w:val="000000"/>
          <w:highlight w:val="none"/>
        </w:rPr>
      </w:pPr>
      <w:r>
        <w:rPr>
          <w:rFonts w:hint="eastAsia"/>
          <w:color w:val="000000"/>
          <w:highlight w:val="none"/>
          <w:u w:val="single"/>
        </w:rPr>
        <w:t xml:space="preserve">                         </w:t>
      </w:r>
      <w:r>
        <w:rPr>
          <w:rFonts w:hint="eastAsia"/>
          <w:color w:val="000000"/>
          <w:highlight w:val="none"/>
        </w:rPr>
        <w:t>的通知，我方已于</w:t>
      </w: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日收到。</w:t>
      </w:r>
    </w:p>
    <w:p>
      <w:pPr>
        <w:spacing w:line="480" w:lineRule="exact"/>
        <w:ind w:firstLine="420" w:firstLineChars="200"/>
        <w:rPr>
          <w:color w:val="000000"/>
          <w:highlight w:val="none"/>
        </w:rPr>
      </w:pPr>
      <w:r>
        <w:rPr>
          <w:rFonts w:hint="eastAsia"/>
          <w:color w:val="000000"/>
          <w:highlight w:val="none"/>
        </w:rPr>
        <w:t>特此确认。</w:t>
      </w:r>
    </w:p>
    <w:p>
      <w:pPr>
        <w:wordWrap w:val="0"/>
        <w:spacing w:line="480" w:lineRule="exact"/>
        <w:ind w:firstLine="420" w:firstLineChars="200"/>
        <w:jc w:val="right"/>
        <w:rPr>
          <w:color w:val="000000"/>
          <w:highlight w:val="none"/>
        </w:rPr>
      </w:pPr>
      <w:r>
        <w:rPr>
          <w:rFonts w:hint="eastAsia" w:ascii="黑体" w:eastAsia="黑体"/>
          <w:color w:val="000000"/>
          <w:highlight w:val="none"/>
        </w:rPr>
        <w:t>投标人：</w:t>
      </w:r>
      <w:r>
        <w:rPr>
          <w:rFonts w:hint="eastAsia"/>
          <w:color w:val="000000"/>
          <w:highlight w:val="none"/>
          <w:u w:val="single"/>
        </w:rPr>
        <w:t xml:space="preserve">              </w:t>
      </w:r>
      <w:r>
        <w:rPr>
          <w:rFonts w:hint="eastAsia"/>
          <w:color w:val="000000"/>
          <w:highlight w:val="none"/>
        </w:rPr>
        <w:t xml:space="preserve"> （盖单位章）     </w:t>
      </w:r>
    </w:p>
    <w:p>
      <w:pPr>
        <w:wordWrap w:val="0"/>
        <w:spacing w:line="480" w:lineRule="exact"/>
        <w:jc w:val="right"/>
        <w:rPr>
          <w:color w:val="000000"/>
          <w:highlight w:val="none"/>
        </w:rPr>
      </w:pPr>
      <w:r>
        <w:rPr>
          <w:rFonts w:hint="eastAsia"/>
          <w:color w:val="000000"/>
          <w:highlight w:val="none"/>
          <w:u w:val="single"/>
        </w:rPr>
        <w:t xml:space="preserve">       </w:t>
      </w:r>
      <w:r>
        <w:rPr>
          <w:rFonts w:hint="eastAsia"/>
          <w:color w:val="000000"/>
          <w:highlight w:val="none"/>
        </w:rPr>
        <w:t>年</w:t>
      </w:r>
      <w:r>
        <w:rPr>
          <w:rFonts w:hint="eastAsia"/>
          <w:color w:val="000000"/>
          <w:highlight w:val="none"/>
          <w:u w:val="single"/>
        </w:rPr>
        <w:t xml:space="preserve">       </w:t>
      </w:r>
      <w:r>
        <w:rPr>
          <w:rFonts w:hint="eastAsia"/>
          <w:color w:val="000000"/>
          <w:highlight w:val="none"/>
        </w:rPr>
        <w:t>月</w:t>
      </w:r>
      <w:r>
        <w:rPr>
          <w:rFonts w:hint="eastAsia"/>
          <w:color w:val="000000"/>
          <w:highlight w:val="none"/>
          <w:u w:val="single"/>
        </w:rPr>
        <w:t xml:space="preserve">       </w:t>
      </w:r>
      <w:r>
        <w:rPr>
          <w:rFonts w:hint="eastAsia"/>
          <w:color w:val="000000"/>
          <w:highlight w:val="none"/>
        </w:rPr>
        <w:t xml:space="preserve">日      </w:t>
      </w:r>
    </w:p>
    <w:p>
      <w:pPr>
        <w:spacing w:line="480" w:lineRule="exact"/>
        <w:rPr>
          <w:rFonts w:ascii="黑体" w:eastAsia="黑体"/>
          <w:color w:val="000000"/>
          <w:sz w:val="24"/>
          <w:highlight w:val="none"/>
        </w:rPr>
      </w:pPr>
      <w:r>
        <w:rPr>
          <w:color w:val="000000"/>
          <w:highlight w:val="none"/>
        </w:rPr>
        <w:br w:type="page"/>
      </w:r>
      <w:r>
        <w:rPr>
          <w:rFonts w:hint="eastAsia" w:ascii="黑体" w:eastAsia="黑体"/>
          <w:color w:val="000000"/>
          <w:sz w:val="24"/>
          <w:highlight w:val="none"/>
        </w:rPr>
        <w:t>附表七：备选投标方案编制要求</w:t>
      </w:r>
    </w:p>
    <w:p>
      <w:pPr>
        <w:spacing w:before="468" w:beforeLines="150" w:after="468" w:afterLines="150" w:line="480" w:lineRule="exact"/>
        <w:jc w:val="center"/>
        <w:rPr>
          <w:rFonts w:ascii="黑体" w:eastAsia="黑体"/>
          <w:color w:val="000000"/>
          <w:sz w:val="28"/>
          <w:szCs w:val="28"/>
          <w:highlight w:val="none"/>
        </w:rPr>
      </w:pPr>
      <w:r>
        <w:rPr>
          <w:rFonts w:hint="eastAsia" w:ascii="黑体" w:eastAsia="黑体"/>
          <w:color w:val="000000"/>
          <w:sz w:val="28"/>
          <w:szCs w:val="28"/>
          <w:highlight w:val="none"/>
        </w:rPr>
        <w:t>备选投标方案编制要求</w:t>
      </w:r>
    </w:p>
    <w:p>
      <w:pPr>
        <w:spacing w:line="420" w:lineRule="exact"/>
        <w:rPr>
          <w:rFonts w:ascii="楷体_GB2312" w:eastAsia="楷体_GB2312"/>
          <w:color w:val="000000"/>
          <w:highlight w:val="none"/>
        </w:rPr>
      </w:pPr>
      <w:r>
        <w:rPr>
          <w:rFonts w:hint="eastAsia" w:ascii="黑体" w:eastAsia="黑体"/>
          <w:color w:val="000000"/>
          <w:highlight w:val="none"/>
        </w:rPr>
        <w:t>备注：</w:t>
      </w:r>
      <w:r>
        <w:rPr>
          <w:rFonts w:hint="eastAsia" w:ascii="楷体_GB2312" w:eastAsia="楷体_GB2312"/>
          <w:color w:val="000000"/>
          <w:highlight w:val="none"/>
        </w:rPr>
        <w:t>允许备选投标方案时，本附表应当作为本章“投标人须知”的附件，由招标人根据招标项目的具体情况和第三章“评标办法”中所附的评审和比较方法，对备选投标方案是否或在多大程度上可以偏离投标文件相关实质性要求、备选投标方案的组成内容，装订和递交要求等给予具体规定。</w:t>
      </w:r>
    </w:p>
    <w:p>
      <w:pPr>
        <w:widowControl/>
        <w:spacing w:line="360" w:lineRule="auto"/>
        <w:jc w:val="center"/>
        <w:outlineLvl w:val="0"/>
        <w:rPr>
          <w:rFonts w:ascii="黑体" w:hAnsi="黑体" w:eastAsia="黑体"/>
          <w:sz w:val="32"/>
          <w:szCs w:val="32"/>
          <w:highlight w:val="none"/>
        </w:rPr>
      </w:pPr>
      <w:r>
        <w:rPr>
          <w:rFonts w:ascii="楷体_GB2312" w:eastAsia="楷体_GB2312"/>
          <w:color w:val="000000"/>
          <w:sz w:val="24"/>
          <w:highlight w:val="none"/>
        </w:rPr>
        <w:br w:type="page"/>
      </w:r>
      <w:r>
        <w:rPr>
          <w:rFonts w:hint="eastAsia" w:ascii="楷体_GB2312" w:eastAsia="楷体_GB2312"/>
          <w:color w:val="000000"/>
          <w:sz w:val="24"/>
          <w:highlight w:val="none"/>
        </w:rPr>
        <w:t xml:space="preserve">    </w:t>
      </w:r>
      <w:bookmarkStart w:id="32" w:name="_Toc15362"/>
      <w:r>
        <w:rPr>
          <w:rFonts w:hint="eastAsia" w:ascii="黑体" w:hAnsi="黑体" w:eastAsia="黑体" w:cs="Times New Roman"/>
          <w:b/>
          <w:kern w:val="0"/>
          <w:sz w:val="30"/>
          <w:szCs w:val="30"/>
          <w:highlight w:val="none"/>
        </w:rPr>
        <w:t>第三章  评标办法（综合评估法）</w:t>
      </w:r>
      <w:bookmarkEnd w:id="32"/>
    </w:p>
    <w:p>
      <w:pPr>
        <w:pStyle w:val="282"/>
        <w:rPr>
          <w:highlight w:val="none"/>
        </w:rPr>
      </w:pPr>
      <w:bookmarkStart w:id="33" w:name="_Toc434331088"/>
      <w:bookmarkStart w:id="34" w:name="_Toc241459649"/>
      <w:bookmarkStart w:id="35" w:name="_Toc342296243"/>
      <w:bookmarkStart w:id="36" w:name="_Toc13314"/>
      <w:bookmarkStart w:id="37" w:name="_Toc152042376"/>
      <w:bookmarkStart w:id="38" w:name="_Toc179632617"/>
      <w:bookmarkStart w:id="39" w:name="_Toc152045599"/>
      <w:bookmarkStart w:id="40" w:name="_Toc144974566"/>
      <w:r>
        <w:rPr>
          <w:rFonts w:hint="eastAsia"/>
          <w:highlight w:val="none"/>
        </w:rPr>
        <w:t>评标办法前附表</w:t>
      </w:r>
      <w:bookmarkEnd w:id="33"/>
      <w:bookmarkEnd w:id="34"/>
      <w:bookmarkEnd w:id="35"/>
      <w:bookmarkEnd w:id="36"/>
    </w:p>
    <w:p>
      <w:pPr>
        <w:spacing w:line="400" w:lineRule="exact"/>
        <w:rPr>
          <w:highlight w:val="none"/>
        </w:rPr>
      </w:pPr>
    </w:p>
    <w:tbl>
      <w:tblPr>
        <w:tblStyle w:val="50"/>
        <w:tblW w:w="8820"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00"/>
        <w:gridCol w:w="1080"/>
        <w:gridCol w:w="44"/>
        <w:gridCol w:w="2229"/>
        <w:gridCol w:w="4567"/>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exac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评审因素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2.1.1</w:t>
            </w:r>
          </w:p>
        </w:tc>
        <w:tc>
          <w:tcPr>
            <w:tcW w:w="1124" w:type="dxa"/>
            <w:gridSpan w:val="2"/>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形式评审标</w:t>
            </w:r>
            <w:r>
              <w:rPr>
                <w:rFonts w:hint="eastAsia"/>
                <w:szCs w:val="21"/>
                <w:highlight w:val="none"/>
              </w:rPr>
              <w:t xml:space="preserve">    </w:t>
            </w:r>
            <w:r>
              <w:rPr>
                <w:szCs w:val="21"/>
                <w:highlight w:val="none"/>
              </w:rPr>
              <w:t>准</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投标人名称</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与营业执照、资质证书</w:t>
            </w:r>
            <w:r>
              <w:rPr>
                <w:rFonts w:hint="eastAsia"/>
                <w:szCs w:val="21"/>
                <w:highlight w:val="none"/>
              </w:rPr>
              <w:t>、安全生产许可证</w:t>
            </w:r>
            <w:r>
              <w:rPr>
                <w:szCs w:val="21"/>
                <w:highlight w:val="none"/>
              </w:rPr>
              <w:t>一致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34"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投标函签字盖章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有法定代表人或其委托代理人签字</w:t>
            </w:r>
            <w:r>
              <w:rPr>
                <w:rFonts w:hint="eastAsia"/>
                <w:szCs w:val="21"/>
                <w:highlight w:val="none"/>
              </w:rPr>
              <w:t>并</w:t>
            </w:r>
            <w:r>
              <w:rPr>
                <w:szCs w:val="21"/>
                <w:highlight w:val="none"/>
              </w:rPr>
              <w:t>加盖单位章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投标文件格式</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符合第八章“投标文件格式”的要求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联合体投标人</w:t>
            </w:r>
            <w:r>
              <w:rPr>
                <w:rFonts w:hint="eastAsia"/>
                <w:szCs w:val="21"/>
                <w:highlight w:val="none"/>
              </w:rPr>
              <w:t>（如有）</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提交联合体协议书，并明确联合体牵头人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报价唯一</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只能有一个有效报价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其他审查因素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见附表A-4：形式评审记录表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2.1.2</w:t>
            </w:r>
          </w:p>
        </w:tc>
        <w:tc>
          <w:tcPr>
            <w:tcW w:w="1124" w:type="dxa"/>
            <w:gridSpan w:val="2"/>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资格评审标</w:t>
            </w:r>
            <w:r>
              <w:rPr>
                <w:rFonts w:hint="eastAsia"/>
                <w:szCs w:val="21"/>
                <w:highlight w:val="none"/>
              </w:rPr>
              <w:t xml:space="preserve">    </w:t>
            </w:r>
            <w:r>
              <w:rPr>
                <w:szCs w:val="21"/>
                <w:highlight w:val="none"/>
              </w:rPr>
              <w:t>准</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营业执照</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具备有效的营业执照</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highlight w:val="none"/>
              </w:rPr>
              <w:t>安全生产许可证</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具备有效的</w:t>
            </w:r>
            <w:r>
              <w:rPr>
                <w:rFonts w:hint="eastAsia"/>
                <w:highlight w:val="none"/>
              </w:rPr>
              <w:t>安全生产许可证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资质等级</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财务状况</w:t>
            </w:r>
          </w:p>
        </w:tc>
        <w:tc>
          <w:tcPr>
            <w:tcW w:w="4567" w:type="dxa"/>
            <w:tcBorders>
              <w:top w:val="single" w:color="auto" w:sz="4" w:space="0"/>
              <w:left w:val="single" w:color="auto" w:sz="4" w:space="0"/>
              <w:bottom w:val="single" w:color="auto" w:sz="4" w:space="0"/>
              <w:right w:val="single" w:color="auto" w:sz="4" w:space="0"/>
            </w:tcBorders>
            <w:vAlign w:val="center"/>
          </w:tcPr>
          <w:p>
            <w:pPr>
              <w:rPr>
                <w:szCs w:val="21"/>
                <w:highlight w:val="none"/>
              </w:rPr>
            </w:pPr>
            <w:r>
              <w:rPr>
                <w:szCs w:val="21"/>
                <w:highlight w:val="none"/>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类似项目业绩</w:t>
            </w:r>
          </w:p>
        </w:tc>
        <w:tc>
          <w:tcPr>
            <w:tcW w:w="4567" w:type="dxa"/>
            <w:tcBorders>
              <w:top w:val="single" w:color="auto" w:sz="4" w:space="0"/>
              <w:left w:val="single" w:color="auto" w:sz="4" w:space="0"/>
              <w:bottom w:val="single" w:color="auto" w:sz="4" w:space="0"/>
              <w:right w:val="single" w:color="auto" w:sz="4" w:space="0"/>
            </w:tcBorders>
            <w:vAlign w:val="center"/>
          </w:tcPr>
          <w:p>
            <w:pPr>
              <w:rPr>
                <w:szCs w:val="21"/>
                <w:highlight w:val="none"/>
              </w:rPr>
            </w:pPr>
            <w:r>
              <w:rPr>
                <w:szCs w:val="21"/>
                <w:highlight w:val="none"/>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信誉</w:t>
            </w:r>
          </w:p>
        </w:tc>
        <w:tc>
          <w:tcPr>
            <w:tcW w:w="4567" w:type="dxa"/>
            <w:tcBorders>
              <w:top w:val="single" w:color="auto" w:sz="4" w:space="0"/>
              <w:left w:val="single" w:color="auto" w:sz="4" w:space="0"/>
              <w:bottom w:val="single" w:color="auto" w:sz="4" w:space="0"/>
              <w:right w:val="single" w:color="auto" w:sz="4" w:space="0"/>
            </w:tcBorders>
            <w:vAlign w:val="center"/>
          </w:tcPr>
          <w:p>
            <w:pPr>
              <w:rPr>
                <w:szCs w:val="21"/>
                <w:highlight w:val="none"/>
              </w:rPr>
            </w:pPr>
            <w:r>
              <w:rPr>
                <w:szCs w:val="21"/>
                <w:highlight w:val="none"/>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项目经理</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符合第二章“投标人须知”第1.4.1</w:t>
            </w:r>
            <w:r>
              <w:rPr>
                <w:rFonts w:hint="eastAsia"/>
                <w:szCs w:val="21"/>
                <w:highlight w:val="none"/>
              </w:rPr>
              <w:t>项</w:t>
            </w:r>
            <w:r>
              <w:rPr>
                <w:szCs w:val="21"/>
                <w:highlight w:val="none"/>
              </w:rPr>
              <w:t>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其他要求</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符合第二章“投标人须知”第1.4.1项规定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8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联合体投标人</w:t>
            </w:r>
            <w:r>
              <w:rPr>
                <w:rFonts w:hint="eastAsia"/>
                <w:szCs w:val="21"/>
                <w:highlight w:val="none"/>
              </w:rPr>
              <w:t>（如有）</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符合第二章“投标人须知”第1.4.2项规定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940" w:hRule="exact"/>
        </w:trPr>
        <w:tc>
          <w:tcPr>
            <w:tcW w:w="900" w:type="dxa"/>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nil"/>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其他审查因素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4" w:hRule="exac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评审因素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4" w:hRule="exact"/>
        </w:trPr>
        <w:tc>
          <w:tcPr>
            <w:tcW w:w="900" w:type="dxa"/>
            <w:vMerge w:val="restart"/>
            <w:tcBorders>
              <w:top w:val="single" w:color="auto" w:sz="4" w:space="0"/>
              <w:right w:val="single" w:color="auto" w:sz="4" w:space="0"/>
            </w:tcBorders>
            <w:vAlign w:val="center"/>
          </w:tcPr>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r>
              <w:rPr>
                <w:szCs w:val="21"/>
                <w:highlight w:val="none"/>
              </w:rPr>
              <w:t>2.1.3</w:t>
            </w:r>
          </w:p>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p>
        </w:tc>
        <w:tc>
          <w:tcPr>
            <w:tcW w:w="1124" w:type="dxa"/>
            <w:gridSpan w:val="2"/>
            <w:vMerge w:val="restart"/>
            <w:tcBorders>
              <w:top w:val="single" w:color="auto" w:sz="4" w:space="0"/>
              <w:right w:val="single" w:color="auto" w:sz="4" w:space="0"/>
            </w:tcBorders>
            <w:vAlign w:val="center"/>
          </w:tcPr>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r>
              <w:rPr>
                <w:szCs w:val="21"/>
                <w:highlight w:val="none"/>
              </w:rPr>
              <w:t>响</w:t>
            </w:r>
            <w:r>
              <w:rPr>
                <w:rFonts w:hint="eastAsia"/>
                <w:szCs w:val="21"/>
                <w:highlight w:val="none"/>
              </w:rPr>
              <w:t xml:space="preserve"> </w:t>
            </w:r>
            <w:r>
              <w:rPr>
                <w:szCs w:val="21"/>
                <w:highlight w:val="none"/>
              </w:rPr>
              <w:t>应</w:t>
            </w:r>
            <w:r>
              <w:rPr>
                <w:rFonts w:hint="eastAsia"/>
                <w:szCs w:val="21"/>
                <w:highlight w:val="none"/>
              </w:rPr>
              <w:t xml:space="preserve"> </w:t>
            </w:r>
            <w:r>
              <w:rPr>
                <w:szCs w:val="21"/>
                <w:highlight w:val="none"/>
              </w:rPr>
              <w:t>性</w:t>
            </w:r>
          </w:p>
          <w:p>
            <w:pPr>
              <w:spacing w:line="440" w:lineRule="exact"/>
              <w:jc w:val="center"/>
              <w:rPr>
                <w:szCs w:val="21"/>
                <w:highlight w:val="none"/>
              </w:rPr>
            </w:pPr>
            <w:r>
              <w:rPr>
                <w:szCs w:val="21"/>
                <w:highlight w:val="none"/>
              </w:rPr>
              <w:t>评审标准</w:t>
            </w:r>
          </w:p>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p>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投标内容</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符合第二章“投标人须知”第1.3.1项规定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4" w:hRule="exact"/>
        </w:trPr>
        <w:tc>
          <w:tcPr>
            <w:tcW w:w="900" w:type="dxa"/>
            <w:vMerge w:val="continue"/>
            <w:tcBorders>
              <w:right w:val="single" w:color="auto" w:sz="4" w:space="0"/>
            </w:tcBorders>
            <w:vAlign w:val="center"/>
          </w:tcPr>
          <w:p>
            <w:pPr>
              <w:spacing w:line="440" w:lineRule="exact"/>
              <w:jc w:val="center"/>
              <w:rPr>
                <w:szCs w:val="21"/>
                <w:highlight w:val="none"/>
              </w:rPr>
            </w:pPr>
          </w:p>
        </w:tc>
        <w:tc>
          <w:tcPr>
            <w:tcW w:w="1124" w:type="dxa"/>
            <w:gridSpan w:val="2"/>
            <w:vMerge w:val="continue"/>
            <w:tcBorders>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工期</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符合第二章“投标人须知”第1.3.2项规定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27" w:hRule="atLeast"/>
        </w:trPr>
        <w:tc>
          <w:tcPr>
            <w:tcW w:w="900" w:type="dxa"/>
            <w:vMerge w:val="continue"/>
            <w:tcBorders>
              <w:right w:val="single" w:color="auto" w:sz="4" w:space="0"/>
            </w:tcBorders>
            <w:vAlign w:val="center"/>
          </w:tcPr>
          <w:p>
            <w:pPr>
              <w:spacing w:line="440" w:lineRule="exact"/>
              <w:jc w:val="center"/>
              <w:rPr>
                <w:szCs w:val="21"/>
                <w:highlight w:val="none"/>
              </w:rPr>
            </w:pPr>
          </w:p>
        </w:tc>
        <w:tc>
          <w:tcPr>
            <w:tcW w:w="1124" w:type="dxa"/>
            <w:gridSpan w:val="2"/>
            <w:vMerge w:val="continue"/>
            <w:tcBorders>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工程质量</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（1）</w:t>
            </w:r>
            <w:r>
              <w:rPr>
                <w:szCs w:val="21"/>
                <w:highlight w:val="none"/>
              </w:rPr>
              <w:t>符合第二章“投标人须知”第1.3.3项规定</w:t>
            </w:r>
          </w:p>
          <w:p>
            <w:pPr>
              <w:spacing w:line="440" w:lineRule="exact"/>
              <w:ind w:left="525" w:hanging="525" w:hangingChars="250"/>
              <w:rPr>
                <w:szCs w:val="21"/>
                <w:highlight w:val="none"/>
              </w:rPr>
            </w:pPr>
            <w:r>
              <w:rPr>
                <w:rFonts w:hint="eastAsia" w:ascii="Arial" w:hAnsi="Arial" w:cs="Arial"/>
                <w:szCs w:val="21"/>
                <w:highlight w:val="none"/>
              </w:rPr>
              <w:t>（2）</w:t>
            </w:r>
            <w:r>
              <w:rPr>
                <w:rFonts w:ascii="Arial" w:hAnsi="Arial" w:cs="Arial"/>
                <w:szCs w:val="21"/>
                <w:highlight w:val="none"/>
              </w:rPr>
              <w:t>投标文件中载明的质量等级</w:t>
            </w:r>
            <w:r>
              <w:rPr>
                <w:rFonts w:hint="eastAsia" w:ascii="Arial" w:hAnsi="Arial" w:cs="Arial"/>
                <w:szCs w:val="21"/>
                <w:highlight w:val="none"/>
              </w:rPr>
              <w:t>、质量奖项必须达到</w:t>
            </w:r>
            <w:r>
              <w:rPr>
                <w:rFonts w:ascii="Arial" w:hAnsi="Arial" w:cs="Arial"/>
                <w:szCs w:val="21"/>
                <w:highlight w:val="none"/>
              </w:rPr>
              <w:t>招标文件规定的质量等级</w:t>
            </w:r>
            <w:r>
              <w:rPr>
                <w:rFonts w:hint="eastAsia" w:ascii="Arial" w:hAnsi="Arial" w:cs="Arial"/>
                <w:szCs w:val="21"/>
                <w:highlight w:val="none"/>
              </w:rPr>
              <w:t>、质量奖项</w:t>
            </w:r>
            <w:r>
              <w:rPr>
                <w:rFonts w:ascii="Arial" w:hAnsi="Arial" w:cs="Arial"/>
                <w:szCs w:val="21"/>
                <w:highlight w:val="none"/>
              </w:rPr>
              <w:t>，</w:t>
            </w:r>
            <w:r>
              <w:rPr>
                <w:rFonts w:hint="eastAsia" w:ascii="Arial" w:hAnsi="Arial" w:cs="Arial"/>
                <w:szCs w:val="21"/>
                <w:highlight w:val="none"/>
              </w:rPr>
              <w:t>不能以</w:t>
            </w:r>
            <w:r>
              <w:rPr>
                <w:rFonts w:ascii="Arial" w:hAnsi="Arial" w:cs="Arial"/>
                <w:szCs w:val="21"/>
                <w:highlight w:val="none"/>
              </w:rPr>
              <w:t>质量奖项代替质量等级</w:t>
            </w:r>
            <w:r>
              <w:rPr>
                <w:rFonts w:hint="eastAsia" w:ascii="Arial" w:hAnsi="Arial" w:cs="Arial"/>
                <w:szCs w:val="21"/>
                <w:highlight w:val="none"/>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50" w:hRule="atLeast"/>
        </w:trPr>
        <w:tc>
          <w:tcPr>
            <w:tcW w:w="900" w:type="dxa"/>
            <w:vMerge w:val="continue"/>
            <w:tcBorders>
              <w:right w:val="single" w:color="auto" w:sz="4" w:space="0"/>
            </w:tcBorders>
            <w:vAlign w:val="center"/>
          </w:tcPr>
          <w:p>
            <w:pPr>
              <w:spacing w:line="440" w:lineRule="exact"/>
              <w:jc w:val="center"/>
              <w:rPr>
                <w:szCs w:val="21"/>
                <w:highlight w:val="none"/>
              </w:rPr>
            </w:pPr>
          </w:p>
        </w:tc>
        <w:tc>
          <w:tcPr>
            <w:tcW w:w="1124" w:type="dxa"/>
            <w:gridSpan w:val="2"/>
            <w:vMerge w:val="continue"/>
            <w:tcBorders>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投标有效期</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符合第二章“投标人须知”第</w:t>
            </w:r>
            <w:r>
              <w:rPr>
                <w:rFonts w:hint="eastAsia"/>
                <w:szCs w:val="21"/>
                <w:highlight w:val="none"/>
              </w:rPr>
              <w:t>3</w:t>
            </w:r>
            <w:r>
              <w:rPr>
                <w:szCs w:val="21"/>
                <w:highlight w:val="none"/>
              </w:rPr>
              <w:t>.3.</w:t>
            </w:r>
            <w:r>
              <w:rPr>
                <w:rFonts w:hint="eastAsia"/>
                <w:szCs w:val="21"/>
                <w:highlight w:val="none"/>
              </w:rPr>
              <w:t>1</w:t>
            </w:r>
            <w:r>
              <w:rPr>
                <w:szCs w:val="21"/>
                <w:highlight w:val="none"/>
              </w:rPr>
              <w:t>项规</w:t>
            </w:r>
            <w:r>
              <w:rPr>
                <w:rFonts w:hint="eastAsia"/>
                <w:szCs w:val="21"/>
                <w:highlight w:val="none"/>
              </w:rPr>
              <w:t>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309" w:hRule="atLeast"/>
        </w:trPr>
        <w:tc>
          <w:tcPr>
            <w:tcW w:w="900" w:type="dxa"/>
            <w:vMerge w:val="continue"/>
            <w:tcBorders>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投标保证金</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（1）</w:t>
            </w:r>
            <w:r>
              <w:rPr>
                <w:szCs w:val="21"/>
                <w:highlight w:val="none"/>
              </w:rPr>
              <w:t>符合第二章“投标人须知”第3.4</w:t>
            </w:r>
            <w:r>
              <w:rPr>
                <w:rFonts w:hint="eastAsia"/>
                <w:szCs w:val="21"/>
                <w:highlight w:val="none"/>
              </w:rPr>
              <w:t>.1项</w:t>
            </w:r>
            <w:r>
              <w:rPr>
                <w:szCs w:val="21"/>
                <w:highlight w:val="none"/>
              </w:rPr>
              <w:t>规定</w:t>
            </w:r>
          </w:p>
          <w:p>
            <w:pPr>
              <w:spacing w:line="440" w:lineRule="exact"/>
              <w:ind w:left="420" w:hanging="420" w:hangingChars="200"/>
              <w:rPr>
                <w:highlight w:val="none"/>
                <w:shd w:val="pct10" w:color="auto" w:fill="FFFFFF"/>
              </w:rPr>
            </w:pPr>
            <w:r>
              <w:rPr>
                <w:rFonts w:hint="eastAsia"/>
                <w:szCs w:val="21"/>
                <w:highlight w:val="none"/>
              </w:rPr>
              <w:t>（2）所提供的投标保证金没有瑕疵。投标保证金瑕疵是指以下情形：</w:t>
            </w:r>
          </w:p>
          <w:p>
            <w:pPr>
              <w:spacing w:line="360" w:lineRule="auto"/>
              <w:rPr>
                <w:rFonts w:ascii="Arial" w:hAnsi="Arial" w:cs="Arial"/>
                <w:szCs w:val="21"/>
                <w:highlight w:val="none"/>
              </w:rPr>
            </w:pPr>
            <w:r>
              <w:rPr>
                <w:rFonts w:hint="eastAsia" w:ascii="Arial" w:hAnsi="Arial" w:cs="Arial"/>
                <w:szCs w:val="21"/>
                <w:highlight w:val="none"/>
              </w:rPr>
              <w:t>（A）</w:t>
            </w:r>
            <w:r>
              <w:rPr>
                <w:rFonts w:ascii="Arial" w:hAnsi="Arial" w:cs="Arial"/>
                <w:szCs w:val="21"/>
                <w:highlight w:val="none"/>
              </w:rPr>
              <w:t>投标保证</w:t>
            </w:r>
            <w:r>
              <w:rPr>
                <w:rFonts w:hint="eastAsia" w:ascii="Arial" w:hAnsi="Arial" w:cs="Arial"/>
                <w:szCs w:val="21"/>
                <w:highlight w:val="none"/>
              </w:rPr>
              <w:t>金的</w:t>
            </w:r>
            <w:r>
              <w:rPr>
                <w:rFonts w:ascii="Arial" w:hAnsi="Arial" w:cs="Arial"/>
                <w:szCs w:val="21"/>
                <w:highlight w:val="none"/>
              </w:rPr>
              <w:t>有效期</w:t>
            </w:r>
            <w:r>
              <w:rPr>
                <w:rFonts w:hint="eastAsia" w:ascii="Arial" w:hAnsi="Arial" w:cs="Arial"/>
                <w:szCs w:val="21"/>
                <w:highlight w:val="none"/>
              </w:rPr>
              <w:t>不符合</w:t>
            </w:r>
            <w:r>
              <w:rPr>
                <w:rFonts w:ascii="Arial" w:hAnsi="Arial" w:cs="Arial"/>
                <w:szCs w:val="21"/>
                <w:highlight w:val="none"/>
              </w:rPr>
              <w:t>招标文件规定</w:t>
            </w:r>
            <w:r>
              <w:rPr>
                <w:rFonts w:hint="eastAsia" w:ascii="Arial" w:hAnsi="Arial" w:cs="Arial"/>
                <w:szCs w:val="21"/>
                <w:highlight w:val="none"/>
              </w:rPr>
              <w:t>；</w:t>
            </w:r>
          </w:p>
          <w:p>
            <w:pPr>
              <w:spacing w:line="360" w:lineRule="auto"/>
              <w:rPr>
                <w:rFonts w:ascii="Arial" w:hAnsi="Arial" w:cs="Arial"/>
                <w:szCs w:val="21"/>
                <w:highlight w:val="none"/>
              </w:rPr>
            </w:pPr>
            <w:r>
              <w:rPr>
                <w:rFonts w:hint="eastAsia" w:ascii="Arial" w:hAnsi="Arial" w:cs="Arial"/>
                <w:szCs w:val="21"/>
                <w:highlight w:val="none"/>
              </w:rPr>
              <w:t>（B）以保证金的形式出具时，出具人与被保证的投标人名称不一致，或以保函的形式出具时，被保证人与该投标人名称不一致；</w:t>
            </w:r>
          </w:p>
          <w:p>
            <w:pPr>
              <w:spacing w:line="360" w:lineRule="auto"/>
              <w:rPr>
                <w:rFonts w:ascii="Arial" w:hAnsi="Arial" w:cs="Arial"/>
                <w:szCs w:val="21"/>
                <w:highlight w:val="none"/>
              </w:rPr>
            </w:pPr>
            <w:r>
              <w:rPr>
                <w:rFonts w:hint="eastAsia" w:ascii="Arial" w:hAnsi="Arial" w:cs="Arial"/>
                <w:szCs w:val="21"/>
                <w:highlight w:val="none"/>
              </w:rPr>
              <w:t>（C）投标保证金以保函形式出具时，担保机构不是合法的担保机构；</w:t>
            </w:r>
          </w:p>
          <w:p>
            <w:pPr>
              <w:spacing w:line="360" w:lineRule="auto"/>
              <w:rPr>
                <w:rFonts w:ascii="Arial" w:hAnsi="Arial" w:cs="Arial"/>
                <w:szCs w:val="21"/>
                <w:highlight w:val="none"/>
              </w:rPr>
            </w:pPr>
            <w:r>
              <w:rPr>
                <w:rFonts w:hint="eastAsia" w:ascii="Arial" w:hAnsi="Arial" w:cs="Arial"/>
                <w:szCs w:val="21"/>
                <w:highlight w:val="none"/>
              </w:rPr>
              <w:t>（D）以现金或者支票形式提交的投标保证金不是从投标人基本账户转出；</w:t>
            </w:r>
          </w:p>
          <w:p>
            <w:pPr>
              <w:spacing w:line="360" w:lineRule="auto"/>
              <w:rPr>
                <w:rFonts w:ascii="Arial" w:hAnsi="Arial" w:cs="Arial"/>
                <w:szCs w:val="21"/>
                <w:highlight w:val="none"/>
              </w:rPr>
            </w:pPr>
            <w:r>
              <w:rPr>
                <w:rFonts w:hint="eastAsia" w:ascii="Arial" w:hAnsi="Arial" w:cs="Arial"/>
                <w:szCs w:val="21"/>
                <w:highlight w:val="none"/>
              </w:rPr>
              <w:t>（E）投标保证金</w:t>
            </w:r>
            <w:r>
              <w:rPr>
                <w:rFonts w:ascii="Arial" w:hAnsi="Arial" w:cs="Arial"/>
                <w:szCs w:val="21"/>
                <w:highlight w:val="none"/>
              </w:rPr>
              <w:t>以保函形式出具</w:t>
            </w:r>
            <w:r>
              <w:rPr>
                <w:rFonts w:hint="eastAsia" w:ascii="Arial" w:hAnsi="Arial" w:cs="Arial"/>
                <w:szCs w:val="21"/>
                <w:highlight w:val="none"/>
              </w:rPr>
              <w:t>时</w:t>
            </w:r>
            <w:r>
              <w:rPr>
                <w:rFonts w:ascii="Arial" w:hAnsi="Arial" w:cs="Arial"/>
                <w:szCs w:val="21"/>
                <w:highlight w:val="none"/>
              </w:rPr>
              <w:t>，保函的实质性条款不符合招标文件规定</w:t>
            </w:r>
            <w:r>
              <w:rPr>
                <w:rFonts w:hint="eastAsia" w:ascii="Arial" w:hAnsi="Arial" w:cs="Arial"/>
                <w:szCs w:val="21"/>
                <w:highlight w:val="none"/>
              </w:rPr>
              <w:t>；</w:t>
            </w:r>
          </w:p>
          <w:p>
            <w:pPr>
              <w:spacing w:line="360" w:lineRule="auto"/>
              <w:rPr>
                <w:rFonts w:ascii="Arial" w:hAnsi="Arial" w:cs="Arial"/>
                <w:szCs w:val="21"/>
                <w:highlight w:val="none"/>
              </w:rPr>
            </w:pPr>
            <w:r>
              <w:rPr>
                <w:rFonts w:hint="eastAsia" w:ascii="Arial" w:hAnsi="Arial" w:cs="Arial"/>
                <w:szCs w:val="21"/>
                <w:highlight w:val="none"/>
              </w:rPr>
              <w:t>（F）其他：</w:t>
            </w:r>
          </w:p>
          <w:p>
            <w:pPr>
              <w:spacing w:line="400" w:lineRule="exact"/>
              <w:rPr>
                <w:rFonts w:ascii="Arial" w:hAnsi="Arial" w:cs="Arial"/>
                <w:szCs w:val="21"/>
                <w:highlight w:val="none"/>
                <w:u w:val="single"/>
              </w:rPr>
            </w:pPr>
            <w:r>
              <w:rPr>
                <w:rFonts w:hint="eastAsia" w:ascii="Arial" w:hAnsi="Arial" w:cs="Arial"/>
                <w:szCs w:val="21"/>
                <w:highlight w:val="none"/>
              </w:rPr>
              <w:t>1.</w:t>
            </w:r>
            <w:r>
              <w:rPr>
                <w:rFonts w:ascii="Arial" w:hAnsi="Arial" w:cs="Arial"/>
                <w:szCs w:val="21"/>
                <w:highlight w:val="none"/>
                <w:u w:val="single"/>
              </w:rPr>
              <w:t>投标保证</w:t>
            </w:r>
            <w:r>
              <w:rPr>
                <w:rFonts w:hint="eastAsia" w:ascii="Arial" w:hAnsi="Arial" w:cs="Arial"/>
                <w:szCs w:val="21"/>
                <w:highlight w:val="none"/>
                <w:u w:val="single"/>
              </w:rPr>
              <w:t>金提</w:t>
            </w:r>
            <w:r>
              <w:rPr>
                <w:rFonts w:ascii="Arial" w:hAnsi="Arial" w:cs="Arial"/>
                <w:szCs w:val="21"/>
                <w:highlight w:val="none"/>
                <w:u w:val="single"/>
              </w:rPr>
              <w:t>交时间不符合招标文件规定</w:t>
            </w:r>
            <w:r>
              <w:rPr>
                <w:rFonts w:hint="eastAsia" w:ascii="Arial" w:hAnsi="Arial" w:cs="Arial"/>
                <w:szCs w:val="21"/>
                <w:highlight w:val="none"/>
                <w:u w:val="single"/>
              </w:rPr>
              <w:t>；</w:t>
            </w:r>
          </w:p>
          <w:p>
            <w:pPr>
              <w:spacing w:line="400" w:lineRule="exact"/>
              <w:rPr>
                <w:rFonts w:ascii="Arial" w:hAnsi="Arial" w:cs="Arial"/>
                <w:szCs w:val="21"/>
                <w:highlight w:val="none"/>
                <w:u w:val="single"/>
              </w:rPr>
            </w:pPr>
            <w:r>
              <w:rPr>
                <w:rFonts w:hint="eastAsia" w:ascii="Arial" w:hAnsi="Arial" w:cs="Arial"/>
                <w:szCs w:val="21"/>
                <w:highlight w:val="none"/>
                <w:u w:val="single"/>
              </w:rPr>
              <w:t>2.投标保证金形式不符合招标文件规定；</w:t>
            </w:r>
          </w:p>
          <w:p>
            <w:pPr>
              <w:spacing w:line="400" w:lineRule="exact"/>
              <w:rPr>
                <w:rFonts w:ascii="Arial" w:hAnsi="Arial" w:cs="Arial"/>
                <w:szCs w:val="21"/>
                <w:highlight w:val="none"/>
                <w:u w:val="single"/>
              </w:rPr>
            </w:pPr>
            <w:r>
              <w:rPr>
                <w:rFonts w:hint="eastAsia" w:ascii="Arial" w:hAnsi="Arial" w:cs="Arial"/>
                <w:szCs w:val="21"/>
                <w:highlight w:val="none"/>
                <w:u w:val="single"/>
              </w:rPr>
              <w:t>3.</w:t>
            </w:r>
            <w:r>
              <w:rPr>
                <w:rFonts w:ascii="Arial" w:hAnsi="Arial" w:cs="Arial"/>
                <w:szCs w:val="21"/>
                <w:highlight w:val="none"/>
                <w:u w:val="single"/>
              </w:rPr>
              <w:t>投标保证担保</w:t>
            </w:r>
            <w:r>
              <w:rPr>
                <w:rFonts w:hint="eastAsia" w:ascii="Arial" w:hAnsi="Arial" w:cs="Arial"/>
                <w:szCs w:val="21"/>
                <w:highlight w:val="none"/>
                <w:u w:val="single"/>
              </w:rPr>
              <w:t>金额</w:t>
            </w:r>
            <w:r>
              <w:rPr>
                <w:rFonts w:ascii="Arial" w:hAnsi="Arial" w:cs="Arial"/>
                <w:szCs w:val="21"/>
                <w:highlight w:val="none"/>
                <w:u w:val="single"/>
              </w:rPr>
              <w:t>低于招标文件规定的</w:t>
            </w:r>
            <w:r>
              <w:rPr>
                <w:rFonts w:hint="eastAsia" w:ascii="Arial" w:hAnsi="Arial" w:cs="Arial"/>
                <w:szCs w:val="21"/>
                <w:highlight w:val="none"/>
                <w:u w:val="single"/>
              </w:rPr>
              <w:t>金额；</w:t>
            </w:r>
          </w:p>
          <w:p>
            <w:pPr>
              <w:spacing w:line="400" w:lineRule="exact"/>
              <w:rPr>
                <w:rFonts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4" w:hRule="exact"/>
        </w:trPr>
        <w:tc>
          <w:tcPr>
            <w:tcW w:w="2024" w:type="dxa"/>
            <w:gridSpan w:val="3"/>
            <w:tcBorders>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评审因素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62" w:hRule="atLeast"/>
        </w:trPr>
        <w:tc>
          <w:tcPr>
            <w:tcW w:w="900" w:type="dxa"/>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2.1.3</w:t>
            </w:r>
          </w:p>
        </w:tc>
        <w:tc>
          <w:tcPr>
            <w:tcW w:w="1124" w:type="dxa"/>
            <w:gridSpan w:val="2"/>
            <w:vMerge w:val="restart"/>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响</w:t>
            </w:r>
            <w:r>
              <w:rPr>
                <w:rFonts w:hint="eastAsia"/>
                <w:szCs w:val="21"/>
                <w:highlight w:val="none"/>
              </w:rPr>
              <w:t xml:space="preserve"> </w:t>
            </w:r>
            <w:r>
              <w:rPr>
                <w:szCs w:val="21"/>
                <w:highlight w:val="none"/>
              </w:rPr>
              <w:t>应</w:t>
            </w:r>
            <w:r>
              <w:rPr>
                <w:rFonts w:hint="eastAsia"/>
                <w:szCs w:val="21"/>
                <w:highlight w:val="none"/>
              </w:rPr>
              <w:t xml:space="preserve"> </w:t>
            </w:r>
            <w:r>
              <w:rPr>
                <w:szCs w:val="21"/>
                <w:highlight w:val="none"/>
              </w:rPr>
              <w:t>性</w:t>
            </w:r>
          </w:p>
          <w:p>
            <w:pPr>
              <w:spacing w:line="440" w:lineRule="exact"/>
              <w:jc w:val="center"/>
              <w:rPr>
                <w:szCs w:val="21"/>
                <w:highlight w:val="none"/>
              </w:rPr>
            </w:pPr>
            <w:r>
              <w:rPr>
                <w:szCs w:val="21"/>
                <w:highlight w:val="none"/>
              </w:rPr>
              <w:t>评审标准</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权利义务</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投标函附录中的相关承诺</w:t>
            </w:r>
            <w:r>
              <w:rPr>
                <w:szCs w:val="21"/>
                <w:highlight w:val="none"/>
              </w:rPr>
              <w:t>符合</w:t>
            </w:r>
            <w:r>
              <w:rPr>
                <w:rFonts w:hint="eastAsia"/>
                <w:szCs w:val="21"/>
                <w:highlight w:val="none"/>
              </w:rPr>
              <w:t>或优于</w:t>
            </w:r>
            <w:r>
              <w:rPr>
                <w:szCs w:val="21"/>
                <w:highlight w:val="none"/>
              </w:rPr>
              <w:t>第四章“合同条款及格式”</w:t>
            </w:r>
            <w:r>
              <w:rPr>
                <w:rFonts w:hint="eastAsia"/>
                <w:szCs w:val="21"/>
                <w:highlight w:val="none"/>
              </w:rPr>
              <w:t>的相关</w:t>
            </w:r>
            <w:r>
              <w:rPr>
                <w:szCs w:val="21"/>
                <w:highlight w:val="none"/>
              </w:rPr>
              <w:t>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62" w:hRule="atLeast"/>
        </w:trPr>
        <w:tc>
          <w:tcPr>
            <w:tcW w:w="900" w:type="dxa"/>
            <w:vMerge w:val="continue"/>
            <w:tcBorders>
              <w:top w:val="single" w:color="auto" w:sz="4" w:space="0"/>
              <w:bottom w:val="single" w:color="auto" w:sz="4" w:space="0"/>
              <w:right w:val="single" w:color="auto" w:sz="4" w:space="0"/>
            </w:tcBorders>
            <w:vAlign w:val="center"/>
          </w:tcPr>
          <w:p>
            <w:pP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已标价工程量清单</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符合第五章“工程量清单”给出的</w:t>
            </w:r>
            <w:r>
              <w:rPr>
                <w:rFonts w:hint="eastAsia"/>
                <w:szCs w:val="21"/>
                <w:highlight w:val="none"/>
              </w:rPr>
              <w:t>子目编码、子目名称、子目特征、计量单位和工程量。</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53" w:hRule="atLeast"/>
        </w:trPr>
        <w:tc>
          <w:tcPr>
            <w:tcW w:w="900" w:type="dxa"/>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技术标准和要求</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符合第七章“技术标准和要求”规定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776" w:hRule="atLeast"/>
        </w:trPr>
        <w:tc>
          <w:tcPr>
            <w:tcW w:w="900" w:type="dxa"/>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投标价格</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color w:val="000000"/>
                <w:highlight w:val="none"/>
              </w:rPr>
              <w:sym w:font="Wingdings 2" w:char="0052"/>
            </w:r>
            <w:r>
              <w:rPr>
                <w:rFonts w:hint="eastAsia"/>
                <w:szCs w:val="21"/>
                <w:highlight w:val="none"/>
              </w:rPr>
              <w:t>低于（含等于）最高投标限价，</w:t>
            </w:r>
          </w:p>
          <w:p>
            <w:pPr>
              <w:spacing w:line="440" w:lineRule="exact"/>
              <w:rPr>
                <w:szCs w:val="21"/>
                <w:highlight w:val="none"/>
              </w:rPr>
            </w:pPr>
            <w:r>
              <w:rPr>
                <w:rFonts w:hint="eastAsia"/>
                <w:color w:val="000000"/>
                <w:highlight w:val="none"/>
              </w:rPr>
              <w:sym w:font="Wingdings 2" w:char="0052"/>
            </w:r>
            <w:r>
              <w:rPr>
                <w:rFonts w:hint="eastAsia"/>
                <w:szCs w:val="21"/>
                <w:highlight w:val="none"/>
              </w:rPr>
              <w:t>最高投标限价：即第二章“投标人须知”前附表第10.2款载明的招标控制价。</w:t>
            </w:r>
            <w:r>
              <w:rPr>
                <w:rFonts w:hint="eastAsia"/>
                <w:szCs w:val="21"/>
                <w:highlight w:val="none"/>
                <w:u w:val="single"/>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28" w:hRule="atLeast"/>
        </w:trPr>
        <w:tc>
          <w:tcPr>
            <w:tcW w:w="900" w:type="dxa"/>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分包计划</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符合</w:t>
            </w:r>
            <w:r>
              <w:rPr>
                <w:szCs w:val="21"/>
                <w:highlight w:val="none"/>
              </w:rPr>
              <w:t>第二章“投标人须知”第1.</w:t>
            </w:r>
            <w:r>
              <w:rPr>
                <w:rFonts w:hint="eastAsia"/>
                <w:szCs w:val="21"/>
                <w:highlight w:val="none"/>
              </w:rPr>
              <w:t>1</w:t>
            </w:r>
            <w:r>
              <w:rPr>
                <w:szCs w:val="21"/>
                <w:highlight w:val="none"/>
              </w:rPr>
              <w:t>1</w:t>
            </w:r>
            <w:r>
              <w:rPr>
                <w:rFonts w:hint="eastAsia"/>
                <w:szCs w:val="21"/>
                <w:highlight w:val="none"/>
              </w:rPr>
              <w:t>款</w:t>
            </w:r>
            <w:r>
              <w:rPr>
                <w:szCs w:val="21"/>
                <w:highlight w:val="none"/>
              </w:rPr>
              <w:t>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98" w:hRule="atLeast"/>
        </w:trPr>
        <w:tc>
          <w:tcPr>
            <w:tcW w:w="900" w:type="dxa"/>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1124" w:type="dxa"/>
            <w:gridSpan w:val="2"/>
            <w:vMerge w:val="continue"/>
            <w:tcBorders>
              <w:top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2229" w:type="dxa"/>
            <w:tcBorders>
              <w:top w:val="single" w:color="auto" w:sz="4" w:space="0"/>
              <w:left w:val="single" w:color="auto" w:sz="4" w:space="0"/>
              <w:bottom w:val="single" w:color="auto" w:sz="4" w:space="0"/>
              <w:right w:val="single" w:color="auto" w:sz="4" w:space="0"/>
            </w:tcBorders>
            <w:vAlign w:val="center"/>
          </w:tcPr>
          <w:p>
            <w:pPr>
              <w:rPr>
                <w:highlight w:val="none"/>
              </w:rPr>
            </w:pPr>
            <w:r>
              <w:rPr>
                <w:rFonts w:hint="eastAsia"/>
                <w:szCs w:val="21"/>
                <w:highlight w:val="none"/>
              </w:rPr>
              <w:t>其他审查因素</w:t>
            </w:r>
          </w:p>
        </w:tc>
        <w:tc>
          <w:tcPr>
            <w:tcW w:w="4567" w:type="dxa"/>
            <w:tcBorders>
              <w:top w:val="single" w:color="auto" w:sz="4" w:space="0"/>
              <w:left w:val="single" w:color="auto" w:sz="4" w:space="0"/>
              <w:bottom w:val="single" w:color="auto" w:sz="4" w:space="0"/>
              <w:right w:val="single" w:color="auto" w:sz="4" w:space="0"/>
            </w:tcBorders>
            <w:vAlign w:val="center"/>
          </w:tcPr>
          <w:p>
            <w:pPr>
              <w:rPr>
                <w:highlight w:val="none"/>
              </w:rPr>
            </w:pPr>
            <w:r>
              <w:rPr>
                <w:rFonts w:hint="eastAsia"/>
                <w:szCs w:val="21"/>
                <w:highlight w:val="none"/>
              </w:rPr>
              <w:t>见</w:t>
            </w:r>
            <w:r>
              <w:rPr>
                <w:szCs w:val="21"/>
                <w:highlight w:val="none"/>
              </w:rPr>
              <w:t>附表</w:t>
            </w:r>
            <w:r>
              <w:rPr>
                <w:rFonts w:hint="eastAsia"/>
                <w:szCs w:val="21"/>
                <w:highlight w:val="none"/>
              </w:rPr>
              <w:t>A-6</w:t>
            </w:r>
            <w:r>
              <w:rPr>
                <w:szCs w:val="21"/>
                <w:highlight w:val="none"/>
              </w:rPr>
              <w:t>：</w:t>
            </w:r>
            <w:r>
              <w:rPr>
                <w:rFonts w:hint="eastAsia"/>
                <w:szCs w:val="21"/>
                <w:highlight w:val="none"/>
              </w:rPr>
              <w:t>响应性评审记录表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024" w:type="dxa"/>
            <w:gridSpan w:val="3"/>
            <w:tcBorders>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条款内容</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b/>
                <w:szCs w:val="21"/>
                <w:highlight w:val="none"/>
              </w:rPr>
            </w:pPr>
            <w:r>
              <w:rPr>
                <w:b/>
                <w:szCs w:val="21"/>
                <w:highlight w:val="none"/>
              </w:rPr>
              <w:t>编列内容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883" w:hRule="atLeast"/>
        </w:trPr>
        <w:tc>
          <w:tcPr>
            <w:tcW w:w="2024" w:type="dxa"/>
            <w:gridSpan w:val="3"/>
            <w:tcBorders>
              <w:bottom w:val="single" w:color="auto" w:sz="4" w:space="0"/>
              <w:right w:val="single" w:color="auto" w:sz="4" w:space="0"/>
            </w:tcBorders>
            <w:vAlign w:val="center"/>
          </w:tcPr>
          <w:p>
            <w:pPr>
              <w:spacing w:line="440" w:lineRule="exact"/>
              <w:jc w:val="center"/>
              <w:rPr>
                <w:szCs w:val="21"/>
                <w:highlight w:val="none"/>
              </w:rPr>
            </w:pPr>
            <w:r>
              <w:rPr>
                <w:szCs w:val="21"/>
                <w:highlight w:val="none"/>
              </w:rPr>
              <w:t>2.2.1</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分值构成</w:t>
            </w:r>
          </w:p>
          <w:p>
            <w:pPr>
              <w:spacing w:line="440" w:lineRule="exact"/>
              <w:rPr>
                <w:szCs w:val="21"/>
                <w:highlight w:val="none"/>
              </w:rPr>
            </w:pPr>
            <w:r>
              <w:rPr>
                <w:szCs w:val="21"/>
                <w:highlight w:val="none"/>
              </w:rPr>
              <w:t>(总分100分)</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ind w:left="1344" w:hanging="1344" w:hangingChars="640"/>
              <w:rPr>
                <w:szCs w:val="21"/>
                <w:highlight w:val="none"/>
              </w:rPr>
            </w:pPr>
          </w:p>
          <w:p>
            <w:pPr>
              <w:spacing w:line="440" w:lineRule="exact"/>
              <w:ind w:left="1344" w:hanging="1344" w:hangingChars="640"/>
              <w:rPr>
                <w:szCs w:val="21"/>
                <w:highlight w:val="none"/>
              </w:rPr>
            </w:pPr>
            <w:r>
              <w:rPr>
                <w:szCs w:val="21"/>
                <w:highlight w:val="none"/>
              </w:rPr>
              <w:t>施工组织设计：</w:t>
            </w:r>
            <w:r>
              <w:rPr>
                <w:szCs w:val="21"/>
                <w:highlight w:val="none"/>
                <w:u w:val="single"/>
              </w:rPr>
              <w:t xml:space="preserve"> </w:t>
            </w:r>
            <w:r>
              <w:rPr>
                <w:rFonts w:hint="eastAsia"/>
                <w:szCs w:val="21"/>
                <w:highlight w:val="none"/>
                <w:u w:val="single"/>
              </w:rPr>
              <w:t>10</w:t>
            </w:r>
            <w:r>
              <w:rPr>
                <w:szCs w:val="21"/>
                <w:highlight w:val="none"/>
                <w:u w:val="single"/>
              </w:rPr>
              <w:t xml:space="preserve">   </w:t>
            </w:r>
            <w:r>
              <w:rPr>
                <w:szCs w:val="21"/>
                <w:highlight w:val="none"/>
              </w:rPr>
              <w:t>分</w:t>
            </w:r>
          </w:p>
          <w:p>
            <w:pPr>
              <w:spacing w:line="440" w:lineRule="exact"/>
              <w:rPr>
                <w:szCs w:val="21"/>
                <w:highlight w:val="none"/>
              </w:rPr>
            </w:pPr>
            <w:r>
              <w:rPr>
                <w:szCs w:val="21"/>
                <w:highlight w:val="none"/>
              </w:rPr>
              <w:t>项目管理机构：</w:t>
            </w:r>
            <w:r>
              <w:rPr>
                <w:szCs w:val="21"/>
                <w:highlight w:val="none"/>
                <w:u w:val="single"/>
              </w:rPr>
              <w:t xml:space="preserve">15   </w:t>
            </w:r>
            <w:r>
              <w:rPr>
                <w:szCs w:val="21"/>
                <w:highlight w:val="none"/>
              </w:rPr>
              <w:t>分</w:t>
            </w:r>
          </w:p>
          <w:p>
            <w:pPr>
              <w:spacing w:line="440" w:lineRule="exact"/>
              <w:rPr>
                <w:szCs w:val="21"/>
                <w:highlight w:val="none"/>
              </w:rPr>
            </w:pPr>
            <w:r>
              <w:rPr>
                <w:szCs w:val="21"/>
                <w:highlight w:val="none"/>
              </w:rPr>
              <w:t>投标报价：</w:t>
            </w:r>
            <w:r>
              <w:rPr>
                <w:szCs w:val="21"/>
                <w:highlight w:val="none"/>
                <w:u w:val="single"/>
              </w:rPr>
              <w:t xml:space="preserve">   </w:t>
            </w:r>
            <w:r>
              <w:rPr>
                <w:rFonts w:hint="eastAsia"/>
                <w:szCs w:val="21"/>
                <w:highlight w:val="none"/>
                <w:u w:val="single"/>
              </w:rPr>
              <w:t>45</w:t>
            </w:r>
            <w:r>
              <w:rPr>
                <w:szCs w:val="21"/>
                <w:highlight w:val="none"/>
                <w:u w:val="single"/>
              </w:rPr>
              <w:t xml:space="preserve">    </w:t>
            </w:r>
            <w:r>
              <w:rPr>
                <w:szCs w:val="21"/>
                <w:highlight w:val="none"/>
              </w:rPr>
              <w:t>分</w:t>
            </w:r>
          </w:p>
          <w:p>
            <w:pPr>
              <w:spacing w:line="440" w:lineRule="exact"/>
              <w:rPr>
                <w:szCs w:val="21"/>
                <w:highlight w:val="none"/>
              </w:rPr>
            </w:pPr>
            <w:r>
              <w:rPr>
                <w:szCs w:val="21"/>
                <w:highlight w:val="none"/>
              </w:rPr>
              <w:t>其他评分因素：</w:t>
            </w:r>
            <w:r>
              <w:rPr>
                <w:rFonts w:hint="eastAsia"/>
                <w:szCs w:val="21"/>
                <w:highlight w:val="none"/>
                <w:u w:val="single"/>
              </w:rPr>
              <w:t>30</w:t>
            </w:r>
            <w:r>
              <w:rPr>
                <w:szCs w:val="21"/>
                <w:highlight w:val="none"/>
              </w:rPr>
              <w:t>分</w:t>
            </w: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p>
            <w:pPr>
              <w:spacing w:line="440" w:lineRule="exact"/>
              <w:rPr>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exact"/>
        </w:trPr>
        <w:tc>
          <w:tcPr>
            <w:tcW w:w="2024" w:type="dxa"/>
            <w:gridSpan w:val="3"/>
            <w:tcBorders>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条款内容</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ind w:left="1349" w:hanging="1349" w:hangingChars="640"/>
              <w:jc w:val="center"/>
              <w:rPr>
                <w:szCs w:val="21"/>
                <w:highlight w:val="none"/>
              </w:rPr>
            </w:pPr>
            <w:r>
              <w:rPr>
                <w:b/>
                <w:szCs w:val="21"/>
                <w:highlight w:val="none"/>
              </w:rPr>
              <w:t>编列内容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95" w:hRule="atLeas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2.2.2</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b/>
                <w:szCs w:val="21"/>
                <w:highlight w:val="none"/>
              </w:rPr>
            </w:pPr>
            <w:r>
              <w:rPr>
                <w:szCs w:val="21"/>
                <w:highlight w:val="none"/>
              </w:rPr>
              <w:t>评标基准价计算</w:t>
            </w:r>
            <w:r>
              <w:rPr>
                <w:rFonts w:hint="eastAsia"/>
                <w:szCs w:val="21"/>
                <w:highlight w:val="none"/>
              </w:rPr>
              <w:t>方法</w:t>
            </w:r>
          </w:p>
        </w:tc>
        <w:tc>
          <w:tcPr>
            <w:tcW w:w="4567" w:type="dxa"/>
            <w:tcBorders>
              <w:top w:val="single" w:color="auto" w:sz="4" w:space="0"/>
              <w:left w:val="single" w:color="auto" w:sz="4" w:space="0"/>
              <w:bottom w:val="single" w:color="auto" w:sz="4" w:space="0"/>
              <w:right w:val="single" w:color="auto" w:sz="4" w:space="0"/>
            </w:tcBorders>
            <w:vAlign w:val="center"/>
          </w:tcPr>
          <w:p>
            <w:pPr>
              <w:spacing w:line="360" w:lineRule="auto"/>
              <w:rPr>
                <w:bCs/>
                <w:szCs w:val="21"/>
                <w:highlight w:val="none"/>
              </w:rPr>
            </w:pPr>
            <w:r>
              <w:rPr>
                <w:rFonts w:hint="eastAsia"/>
                <w:szCs w:val="21"/>
                <w:highlight w:val="none"/>
              </w:rPr>
              <w:t xml:space="preserve">■ </w:t>
            </w:r>
            <w:r>
              <w:rPr>
                <w:rFonts w:hint="eastAsia"/>
                <w:bCs/>
                <w:szCs w:val="21"/>
                <w:highlight w:val="none"/>
              </w:rPr>
              <w:t>仅按投标总报价进行评分：</w:t>
            </w:r>
          </w:p>
          <w:p>
            <w:pPr>
              <w:spacing w:line="360" w:lineRule="auto"/>
              <w:rPr>
                <w:bCs/>
                <w:szCs w:val="21"/>
                <w:highlight w:val="none"/>
              </w:rPr>
            </w:pPr>
            <w:r>
              <w:rPr>
                <w:rFonts w:hint="eastAsia"/>
                <w:bCs/>
                <w:szCs w:val="21"/>
                <w:highlight w:val="none"/>
              </w:rPr>
              <w:t>评标价格=各有效</w:t>
            </w:r>
            <w:r>
              <w:rPr>
                <w:bCs/>
                <w:szCs w:val="21"/>
                <w:highlight w:val="none"/>
              </w:rPr>
              <w:t>投标的</w:t>
            </w:r>
            <w:r>
              <w:rPr>
                <w:rFonts w:hint="eastAsia"/>
                <w:bCs/>
                <w:szCs w:val="21"/>
                <w:highlight w:val="none"/>
              </w:rPr>
              <w:t>投标总报价</w:t>
            </w:r>
          </w:p>
          <w:p>
            <w:pPr>
              <w:spacing w:line="440" w:lineRule="exact"/>
              <w:rPr>
                <w:szCs w:val="21"/>
                <w:highlight w:val="none"/>
              </w:rPr>
            </w:pPr>
            <w:r>
              <w:rPr>
                <w:rFonts w:hint="eastAsia"/>
                <w:bCs/>
                <w:szCs w:val="21"/>
                <w:highlight w:val="none"/>
              </w:rPr>
              <w:t>评标基准价=</w:t>
            </w:r>
            <w:r>
              <w:rPr>
                <w:rFonts w:hint="eastAsia"/>
                <w:szCs w:val="21"/>
                <w:highlight w:val="none"/>
              </w:rPr>
              <w:t>各有效投标报价去掉最高和最低各N家后的评标价格的算术平均值。</w:t>
            </w:r>
          </w:p>
          <w:p>
            <w:pPr>
              <w:spacing w:line="440" w:lineRule="exact"/>
              <w:rPr>
                <w:bCs/>
                <w:szCs w:val="21"/>
                <w:highlight w:val="none"/>
              </w:rPr>
            </w:pPr>
            <w:r>
              <w:rPr>
                <w:rFonts w:hint="eastAsia"/>
                <w:bCs/>
                <w:szCs w:val="21"/>
                <w:highlight w:val="none"/>
              </w:rPr>
              <w:t>注：当有效投标家数X≧</w:t>
            </w:r>
            <w:r>
              <w:rPr>
                <w:rFonts w:hint="eastAsia"/>
                <w:bCs/>
                <w:szCs w:val="21"/>
                <w:highlight w:val="none"/>
                <w:u w:val="single"/>
              </w:rPr>
              <w:t xml:space="preserve"> 7  </w:t>
            </w:r>
            <w:r>
              <w:rPr>
                <w:rFonts w:hint="eastAsia"/>
                <w:bCs/>
                <w:szCs w:val="21"/>
                <w:highlight w:val="none"/>
              </w:rPr>
              <w:t>时，N=</w:t>
            </w:r>
            <w:r>
              <w:rPr>
                <w:rFonts w:hint="eastAsia"/>
                <w:bCs/>
                <w:szCs w:val="21"/>
                <w:highlight w:val="none"/>
                <w:u w:val="single"/>
              </w:rPr>
              <w:t xml:space="preserve">   1  </w:t>
            </w:r>
            <w:r>
              <w:rPr>
                <w:rFonts w:hint="eastAsia"/>
                <w:bCs/>
                <w:szCs w:val="21"/>
                <w:highlight w:val="none"/>
              </w:rPr>
              <w:t>；当有效投标家数X﹤</w:t>
            </w:r>
            <w:r>
              <w:rPr>
                <w:rFonts w:hint="eastAsia"/>
                <w:bCs/>
                <w:szCs w:val="21"/>
                <w:highlight w:val="none"/>
                <w:u w:val="single"/>
              </w:rPr>
              <w:t xml:space="preserve"> 7  </w:t>
            </w:r>
            <w:r>
              <w:rPr>
                <w:rFonts w:hint="eastAsia"/>
                <w:bCs/>
                <w:szCs w:val="21"/>
                <w:highlight w:val="none"/>
              </w:rPr>
              <w:t xml:space="preserve">时，N= </w:t>
            </w:r>
            <w:r>
              <w:rPr>
                <w:rFonts w:hint="eastAsia"/>
                <w:bCs/>
                <w:szCs w:val="21"/>
                <w:highlight w:val="none"/>
                <w:u w:val="single"/>
              </w:rPr>
              <w:t xml:space="preserve">  0  </w:t>
            </w:r>
            <w:r>
              <w:rPr>
                <w:rFonts w:hint="eastAsia"/>
                <w:bCs/>
                <w:szCs w:val="21"/>
                <w:highlight w:val="none"/>
              </w:rPr>
              <w:t>。</w:t>
            </w:r>
          </w:p>
          <w:p>
            <w:pPr>
              <w:numPr>
                <w:ilvl w:val="0"/>
                <w:numId w:val="3"/>
              </w:numPr>
              <w:spacing w:line="440" w:lineRule="exact"/>
              <w:rPr>
                <w:szCs w:val="21"/>
                <w:highlight w:val="none"/>
              </w:rPr>
            </w:pPr>
            <w:r>
              <w:rPr>
                <w:rFonts w:hint="eastAsia"/>
                <w:bCs/>
                <w:szCs w:val="21"/>
                <w:highlight w:val="none"/>
              </w:rPr>
              <w:t>按投标总报价中的分项报价分别进行评分：/</w:t>
            </w:r>
            <w:r>
              <w:rPr>
                <w:rFonts w:hint="eastAsia"/>
                <w:szCs w:val="21"/>
                <w:highlight w:val="none"/>
                <w:u w:val="single"/>
              </w:rPr>
              <w:t xml:space="preserve">                                  </w:t>
            </w:r>
            <w:r>
              <w:rPr>
                <w:rFonts w:hint="eastAsia"/>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25" w:hRule="atLeas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2.2.3</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szCs w:val="21"/>
                <w:highlight w:val="none"/>
              </w:rPr>
              <w:t>投标报价的偏差率</w:t>
            </w:r>
          </w:p>
          <w:p>
            <w:pPr>
              <w:spacing w:line="440" w:lineRule="exact"/>
              <w:rPr>
                <w:szCs w:val="21"/>
                <w:highlight w:val="none"/>
              </w:rPr>
            </w:pPr>
            <w:r>
              <w:rPr>
                <w:rFonts w:hint="eastAsia"/>
                <w:szCs w:val="21"/>
                <w:highlight w:val="none"/>
              </w:rPr>
              <w:t>计算公式</w:t>
            </w:r>
          </w:p>
        </w:tc>
        <w:tc>
          <w:tcPr>
            <w:tcW w:w="4567" w:type="dxa"/>
            <w:tcBorders>
              <w:top w:val="single" w:color="auto" w:sz="4" w:space="0"/>
              <w:left w:val="single" w:color="auto" w:sz="4" w:space="0"/>
              <w:right w:val="single" w:color="auto" w:sz="4" w:space="0"/>
            </w:tcBorders>
            <w:vAlign w:val="center"/>
          </w:tcPr>
          <w:p>
            <w:pPr>
              <w:spacing w:line="440" w:lineRule="exact"/>
              <w:rPr>
                <w:szCs w:val="21"/>
                <w:highlight w:val="none"/>
              </w:rPr>
            </w:pPr>
            <w:r>
              <w:rPr>
                <w:rFonts w:hint="eastAsia"/>
                <w:szCs w:val="21"/>
                <w:highlight w:val="none"/>
              </w:rPr>
              <w:t>投标总价偏差率</w:t>
            </w:r>
            <w:r>
              <w:rPr>
                <w:szCs w:val="21"/>
                <w:highlight w:val="none"/>
              </w:rPr>
              <w:t>=100% ×（投标人</w:t>
            </w:r>
            <w:r>
              <w:rPr>
                <w:rFonts w:hint="eastAsia"/>
                <w:szCs w:val="21"/>
                <w:highlight w:val="none"/>
              </w:rPr>
              <w:t>评标价格</w:t>
            </w:r>
            <w:r>
              <w:rPr>
                <w:szCs w:val="21"/>
                <w:highlight w:val="none"/>
              </w:rPr>
              <w:t xml:space="preserve"> - 评标基准价）/评标基准价</w:t>
            </w:r>
          </w:p>
          <w:p>
            <w:pPr>
              <w:spacing w:line="440" w:lineRule="exact"/>
              <w:rPr>
                <w:szCs w:val="21"/>
                <w:highlight w:val="none"/>
              </w:rPr>
            </w:pPr>
            <w:r>
              <w:rPr>
                <w:rFonts w:hint="eastAsia"/>
                <w:szCs w:val="21"/>
                <w:highlight w:val="none"/>
              </w:rPr>
              <w:t>分项报价偏差率：</w:t>
            </w:r>
            <w:r>
              <w:rPr>
                <w:rFonts w:hint="eastAsia"/>
                <w:szCs w:val="21"/>
                <w:highlight w:val="none"/>
                <w:u w:val="single"/>
              </w:rPr>
              <w:t xml:space="preserve">    /                    </w:t>
            </w:r>
            <w:r>
              <w:rPr>
                <w:rFonts w:hint="eastAsia"/>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exac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评分因素</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528" w:hRule="atLeast"/>
        </w:trPr>
        <w:tc>
          <w:tcPr>
            <w:tcW w:w="900" w:type="dxa"/>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2.2.4</w:t>
            </w:r>
          </w:p>
          <w:p>
            <w:pPr>
              <w:spacing w:line="440" w:lineRule="exact"/>
              <w:rPr>
                <w:szCs w:val="21"/>
                <w:highlight w:val="none"/>
              </w:rPr>
            </w:pPr>
            <w:r>
              <w:rPr>
                <w:rFonts w:hint="eastAsia"/>
                <w:szCs w:val="21"/>
                <w:highlight w:val="none"/>
              </w:rPr>
              <w:t>（1）</w:t>
            </w:r>
          </w:p>
        </w:tc>
        <w:tc>
          <w:tcPr>
            <w:tcW w:w="1124" w:type="dxa"/>
            <w:gridSpan w:val="2"/>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施工组织设计评分标</w:t>
            </w:r>
            <w:r>
              <w:rPr>
                <w:rFonts w:hint="eastAsia"/>
                <w:szCs w:val="21"/>
                <w:highlight w:val="none"/>
              </w:rPr>
              <w:t xml:space="preserve">   </w:t>
            </w:r>
            <w:r>
              <w:rPr>
                <w:szCs w:val="21"/>
                <w:highlight w:val="none"/>
              </w:rPr>
              <w:t>准</w:t>
            </w:r>
          </w:p>
        </w:tc>
        <w:tc>
          <w:tcPr>
            <w:tcW w:w="2229" w:type="dxa"/>
            <w:tcBorders>
              <w:top w:val="single" w:color="auto" w:sz="4" w:space="0"/>
              <w:left w:val="single" w:color="auto" w:sz="4" w:space="0"/>
              <w:right w:val="single" w:color="auto" w:sz="4" w:space="0"/>
            </w:tcBorders>
            <w:vAlign w:val="center"/>
          </w:tcPr>
          <w:p>
            <w:pPr>
              <w:spacing w:line="440" w:lineRule="exact"/>
              <w:rPr>
                <w:szCs w:val="21"/>
                <w:highlight w:val="none"/>
              </w:rPr>
            </w:pPr>
            <w:r>
              <w:rPr>
                <w:rFonts w:hint="eastAsia"/>
                <w:szCs w:val="21"/>
                <w:highlight w:val="none"/>
              </w:rPr>
              <w:t>评分因素详见本章附表A-8</w:t>
            </w:r>
          </w:p>
        </w:tc>
        <w:tc>
          <w:tcPr>
            <w:tcW w:w="4567" w:type="dxa"/>
            <w:tcBorders>
              <w:top w:val="single" w:color="auto" w:sz="4" w:space="0"/>
              <w:left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评分标准详见本章附表A-8</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392" w:hRule="atLeast"/>
        </w:trPr>
        <w:tc>
          <w:tcPr>
            <w:tcW w:w="900" w:type="dxa"/>
            <w:tcBorders>
              <w:top w:val="single" w:color="auto" w:sz="4" w:space="0"/>
              <w:right w:val="single" w:color="auto" w:sz="4" w:space="0"/>
            </w:tcBorders>
            <w:vAlign w:val="center"/>
          </w:tcPr>
          <w:p>
            <w:pPr>
              <w:spacing w:line="440" w:lineRule="exact"/>
              <w:rPr>
                <w:szCs w:val="21"/>
                <w:highlight w:val="none"/>
              </w:rPr>
            </w:pPr>
            <w:r>
              <w:rPr>
                <w:rFonts w:hint="eastAsia"/>
                <w:szCs w:val="21"/>
                <w:highlight w:val="none"/>
              </w:rPr>
              <w:t>2.2.4（2）</w:t>
            </w:r>
          </w:p>
        </w:tc>
        <w:tc>
          <w:tcPr>
            <w:tcW w:w="1124" w:type="dxa"/>
            <w:gridSpan w:val="2"/>
            <w:tcBorders>
              <w:top w:val="single" w:color="auto" w:sz="4" w:space="0"/>
              <w:right w:val="single" w:color="auto" w:sz="4" w:space="0"/>
            </w:tcBorders>
            <w:vAlign w:val="center"/>
          </w:tcPr>
          <w:p>
            <w:pPr>
              <w:spacing w:line="440" w:lineRule="exact"/>
              <w:rPr>
                <w:szCs w:val="21"/>
                <w:highlight w:val="none"/>
              </w:rPr>
            </w:pPr>
            <w:r>
              <w:rPr>
                <w:rFonts w:hint="eastAsia"/>
                <w:szCs w:val="21"/>
                <w:highlight w:val="none"/>
              </w:rPr>
              <w:t>项目管理机构评分标    准</w:t>
            </w:r>
          </w:p>
        </w:tc>
        <w:tc>
          <w:tcPr>
            <w:tcW w:w="2229" w:type="dxa"/>
            <w:tcBorders>
              <w:top w:val="single" w:color="auto" w:sz="4" w:space="0"/>
              <w:left w:val="single" w:color="auto" w:sz="4" w:space="0"/>
              <w:right w:val="single" w:color="auto" w:sz="4" w:space="0"/>
            </w:tcBorders>
            <w:vAlign w:val="center"/>
          </w:tcPr>
          <w:p>
            <w:pPr>
              <w:spacing w:line="440" w:lineRule="exact"/>
              <w:rPr>
                <w:szCs w:val="21"/>
                <w:highlight w:val="none"/>
              </w:rPr>
            </w:pPr>
            <w:r>
              <w:rPr>
                <w:rFonts w:hint="eastAsia"/>
                <w:szCs w:val="21"/>
                <w:highlight w:val="none"/>
              </w:rPr>
              <w:t>评分因素详见本章附表A-9</w:t>
            </w:r>
          </w:p>
        </w:tc>
        <w:tc>
          <w:tcPr>
            <w:tcW w:w="4567" w:type="dxa"/>
            <w:tcBorders>
              <w:top w:val="single" w:color="auto" w:sz="4" w:space="0"/>
              <w:left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评分标准详见本章附表A-9</w:t>
            </w:r>
          </w:p>
          <w:p>
            <w:pPr>
              <w:spacing w:line="440" w:lineRule="exact"/>
              <w:jc w:val="left"/>
              <w:rPr>
                <w:szCs w:val="21"/>
                <w:highlight w:val="none"/>
              </w:rPr>
            </w:pPr>
          </w:p>
          <w:p>
            <w:pPr>
              <w:spacing w:line="440" w:lineRule="exact"/>
              <w:jc w:val="left"/>
              <w:rPr>
                <w:szCs w:val="21"/>
                <w:highlight w:val="none"/>
              </w:rPr>
            </w:pPr>
          </w:p>
          <w:p>
            <w:pPr>
              <w:spacing w:line="440" w:lineRule="exact"/>
              <w:jc w:val="left"/>
              <w:rPr>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4" w:hRule="exact"/>
        </w:trPr>
        <w:tc>
          <w:tcPr>
            <w:tcW w:w="2024" w:type="dxa"/>
            <w:gridSpan w:val="3"/>
            <w:tcBorders>
              <w:top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2229" w:type="dxa"/>
            <w:tcBorders>
              <w:top w:val="single" w:color="auto" w:sz="4" w:space="0"/>
              <w:left w:val="single" w:color="auto" w:sz="4" w:space="0"/>
              <w:right w:val="single" w:color="auto" w:sz="4" w:space="0"/>
            </w:tcBorders>
            <w:vAlign w:val="center"/>
          </w:tcPr>
          <w:p>
            <w:pPr>
              <w:spacing w:line="440" w:lineRule="exact"/>
              <w:jc w:val="center"/>
              <w:rPr>
                <w:szCs w:val="21"/>
                <w:highlight w:val="none"/>
              </w:rPr>
            </w:pPr>
            <w:r>
              <w:rPr>
                <w:b/>
                <w:szCs w:val="21"/>
                <w:highlight w:val="none"/>
              </w:rPr>
              <w:t>评分因素</w:t>
            </w:r>
          </w:p>
        </w:tc>
        <w:tc>
          <w:tcPr>
            <w:tcW w:w="4567" w:type="dxa"/>
            <w:tcBorders>
              <w:top w:val="single" w:color="auto" w:sz="4" w:space="0"/>
              <w:left w:val="single" w:color="auto" w:sz="4" w:space="0"/>
              <w:right w:val="single" w:color="auto" w:sz="4" w:space="0"/>
            </w:tcBorders>
            <w:vAlign w:val="center"/>
          </w:tcPr>
          <w:p>
            <w:pPr>
              <w:spacing w:line="440" w:lineRule="exact"/>
              <w:jc w:val="center"/>
              <w:rPr>
                <w:szCs w:val="21"/>
                <w:highlight w:val="none"/>
              </w:rPr>
            </w:pPr>
            <w:r>
              <w:rPr>
                <w:b/>
                <w:szCs w:val="21"/>
                <w:highlight w:val="none"/>
              </w:rPr>
              <w:t>评分标准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7" w:hRule="exact"/>
        </w:trPr>
        <w:tc>
          <w:tcPr>
            <w:tcW w:w="900"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2.2.4(3)</w:t>
            </w:r>
          </w:p>
        </w:tc>
        <w:tc>
          <w:tcPr>
            <w:tcW w:w="1124"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投标报价评分标准</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rPr>
                <w:szCs w:val="21"/>
                <w:highlight w:val="none"/>
              </w:rPr>
            </w:pPr>
            <w:r>
              <w:rPr>
                <w:rFonts w:hint="eastAsia"/>
                <w:szCs w:val="21"/>
                <w:highlight w:val="none"/>
              </w:rPr>
              <w:t>评分因素详见本章附表A-10</w:t>
            </w:r>
          </w:p>
        </w:tc>
        <w:tc>
          <w:tcPr>
            <w:tcW w:w="4567" w:type="dxa"/>
            <w:tcBorders>
              <w:top w:val="single" w:color="auto" w:sz="4" w:space="0"/>
              <w:left w:val="single" w:color="auto" w:sz="4" w:space="0"/>
              <w:bottom w:val="single" w:color="auto" w:sz="4" w:space="0"/>
              <w:right w:val="single" w:color="auto" w:sz="4" w:space="0"/>
            </w:tcBorders>
            <w:vAlign w:val="center"/>
          </w:tcPr>
          <w:p>
            <w:pPr>
              <w:spacing w:line="360" w:lineRule="auto"/>
              <w:rPr>
                <w:szCs w:val="21"/>
                <w:highlight w:val="none"/>
              </w:rPr>
            </w:pPr>
            <w:r>
              <w:rPr>
                <w:rFonts w:hint="eastAsia"/>
                <w:szCs w:val="21"/>
                <w:highlight w:val="none"/>
              </w:rPr>
              <w:t>评分标准详见本章附表A-10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7" w:hRule="exact"/>
        </w:trPr>
        <w:tc>
          <w:tcPr>
            <w:tcW w:w="900" w:type="dxa"/>
            <w:tcBorders>
              <w:top w:val="single" w:color="auto" w:sz="4" w:space="0"/>
              <w:left w:val="single" w:color="auto" w:sz="4" w:space="0"/>
              <w:right w:val="single" w:color="auto" w:sz="4" w:space="0"/>
            </w:tcBorders>
            <w:vAlign w:val="center"/>
          </w:tcPr>
          <w:p>
            <w:pPr>
              <w:spacing w:line="440" w:lineRule="exact"/>
              <w:rPr>
                <w:szCs w:val="21"/>
                <w:highlight w:val="none"/>
              </w:rPr>
            </w:pPr>
            <w:r>
              <w:rPr>
                <w:szCs w:val="21"/>
                <w:highlight w:val="none"/>
              </w:rPr>
              <w:t>2.2.4(4)</w:t>
            </w:r>
          </w:p>
        </w:tc>
        <w:tc>
          <w:tcPr>
            <w:tcW w:w="1124" w:type="dxa"/>
            <w:gridSpan w:val="2"/>
            <w:tcBorders>
              <w:top w:val="single" w:color="auto" w:sz="4" w:space="0"/>
              <w:left w:val="single" w:color="auto" w:sz="4" w:space="0"/>
              <w:right w:val="single" w:color="auto" w:sz="4" w:space="0"/>
            </w:tcBorders>
            <w:vAlign w:val="center"/>
          </w:tcPr>
          <w:p>
            <w:pPr>
              <w:spacing w:line="440" w:lineRule="exact"/>
              <w:rPr>
                <w:szCs w:val="21"/>
                <w:highlight w:val="none"/>
              </w:rPr>
            </w:pPr>
            <w:r>
              <w:rPr>
                <w:szCs w:val="21"/>
                <w:highlight w:val="none"/>
              </w:rPr>
              <w:t>其他因素评分标准</w:t>
            </w:r>
          </w:p>
        </w:tc>
        <w:tc>
          <w:tcPr>
            <w:tcW w:w="2229" w:type="dxa"/>
            <w:tcBorders>
              <w:top w:val="single" w:color="auto" w:sz="4" w:space="0"/>
              <w:left w:val="single" w:color="auto" w:sz="4" w:space="0"/>
              <w:bottom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评分因素详见本章附表A-11</w:t>
            </w:r>
          </w:p>
        </w:tc>
        <w:tc>
          <w:tcPr>
            <w:tcW w:w="4567" w:type="dxa"/>
            <w:tcBorders>
              <w:top w:val="single" w:color="auto" w:sz="4" w:space="0"/>
              <w:left w:val="single" w:color="auto" w:sz="4" w:space="0"/>
              <w:bottom w:val="single" w:color="auto" w:sz="4" w:space="0"/>
              <w:right w:val="single" w:color="auto" w:sz="4" w:space="0"/>
            </w:tcBorders>
            <w:vAlign w:val="center"/>
          </w:tcPr>
          <w:p>
            <w:pPr>
              <w:spacing w:line="440" w:lineRule="exact"/>
              <w:jc w:val="left"/>
              <w:rPr>
                <w:szCs w:val="21"/>
                <w:highlight w:val="none"/>
              </w:rPr>
            </w:pPr>
            <w:r>
              <w:rPr>
                <w:rFonts w:hint="eastAsia"/>
                <w:szCs w:val="21"/>
                <w:highlight w:val="none"/>
              </w:rPr>
              <w:t>评分标准详见本章附表A-11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exact"/>
        </w:trPr>
        <w:tc>
          <w:tcPr>
            <w:tcW w:w="1980" w:type="dxa"/>
            <w:gridSpan w:val="2"/>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b/>
                <w:szCs w:val="21"/>
                <w:highlight w:val="none"/>
              </w:rPr>
              <w:t>条款号</w:t>
            </w:r>
          </w:p>
        </w:tc>
        <w:tc>
          <w:tcPr>
            <w:tcW w:w="6840" w:type="dxa"/>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b/>
                <w:szCs w:val="21"/>
                <w:highlight w:val="none"/>
              </w:rPr>
            </w:pPr>
            <w:r>
              <w:rPr>
                <w:rFonts w:hint="eastAsia"/>
                <w:b/>
                <w:szCs w:val="21"/>
                <w:highlight w:val="none"/>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7" w:hRule="exact"/>
        </w:trPr>
        <w:tc>
          <w:tcPr>
            <w:tcW w:w="900" w:type="dxa"/>
            <w:vAlign w:val="center"/>
          </w:tcPr>
          <w:p>
            <w:pPr>
              <w:spacing w:line="440" w:lineRule="exact"/>
              <w:jc w:val="center"/>
              <w:rPr>
                <w:szCs w:val="21"/>
                <w:highlight w:val="none"/>
              </w:rPr>
            </w:pPr>
            <w:r>
              <w:rPr>
                <w:rFonts w:hint="eastAsia"/>
                <w:szCs w:val="21"/>
                <w:highlight w:val="none"/>
              </w:rPr>
              <w:t>3</w:t>
            </w:r>
          </w:p>
        </w:tc>
        <w:tc>
          <w:tcPr>
            <w:tcW w:w="1080" w:type="dxa"/>
            <w:vAlign w:val="center"/>
          </w:tcPr>
          <w:p>
            <w:pPr>
              <w:spacing w:line="440" w:lineRule="exact"/>
              <w:jc w:val="center"/>
              <w:rPr>
                <w:szCs w:val="21"/>
                <w:highlight w:val="none"/>
              </w:rPr>
            </w:pPr>
            <w:r>
              <w:rPr>
                <w:rFonts w:hint="eastAsia"/>
                <w:szCs w:val="21"/>
                <w:highlight w:val="none"/>
              </w:rPr>
              <w:t>评   标</w:t>
            </w:r>
          </w:p>
          <w:p>
            <w:pPr>
              <w:spacing w:line="440" w:lineRule="exact"/>
              <w:jc w:val="center"/>
              <w:rPr>
                <w:szCs w:val="21"/>
                <w:highlight w:val="none"/>
              </w:rPr>
            </w:pPr>
            <w:r>
              <w:rPr>
                <w:rFonts w:hint="eastAsia"/>
                <w:szCs w:val="21"/>
                <w:highlight w:val="none"/>
              </w:rPr>
              <w:t>程   序</w:t>
            </w:r>
          </w:p>
        </w:tc>
        <w:tc>
          <w:tcPr>
            <w:tcW w:w="6840" w:type="dxa"/>
            <w:gridSpan w:val="3"/>
            <w:vAlign w:val="center"/>
          </w:tcPr>
          <w:p>
            <w:pPr>
              <w:spacing w:line="440" w:lineRule="exact"/>
              <w:rPr>
                <w:szCs w:val="21"/>
                <w:highlight w:val="none"/>
              </w:rPr>
            </w:pPr>
            <w:r>
              <w:rPr>
                <w:rFonts w:hint="eastAsia"/>
                <w:szCs w:val="21"/>
                <w:highlight w:val="none"/>
              </w:rPr>
              <w:t>详见本章附件A：评标详细程序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900" w:type="dxa"/>
            <w:vAlign w:val="center"/>
          </w:tcPr>
          <w:p>
            <w:pPr>
              <w:spacing w:line="440" w:lineRule="exact"/>
              <w:jc w:val="center"/>
              <w:rPr>
                <w:szCs w:val="21"/>
                <w:highlight w:val="none"/>
              </w:rPr>
            </w:pPr>
            <w:r>
              <w:rPr>
                <w:rFonts w:hint="eastAsia"/>
                <w:szCs w:val="21"/>
                <w:highlight w:val="none"/>
              </w:rPr>
              <w:t>3.1.2</w:t>
            </w:r>
          </w:p>
        </w:tc>
        <w:tc>
          <w:tcPr>
            <w:tcW w:w="1080" w:type="dxa"/>
            <w:vAlign w:val="center"/>
          </w:tcPr>
          <w:p>
            <w:pPr>
              <w:spacing w:line="440" w:lineRule="exact"/>
              <w:jc w:val="center"/>
              <w:rPr>
                <w:szCs w:val="21"/>
                <w:highlight w:val="none"/>
              </w:rPr>
            </w:pPr>
            <w:r>
              <w:rPr>
                <w:rFonts w:hint="eastAsia"/>
                <w:szCs w:val="21"/>
                <w:highlight w:val="none"/>
              </w:rPr>
              <w:t>废标条件</w:t>
            </w:r>
          </w:p>
        </w:tc>
        <w:tc>
          <w:tcPr>
            <w:tcW w:w="6840" w:type="dxa"/>
            <w:gridSpan w:val="3"/>
            <w:vAlign w:val="center"/>
          </w:tcPr>
          <w:p>
            <w:pPr>
              <w:spacing w:line="440" w:lineRule="exact"/>
              <w:rPr>
                <w:szCs w:val="21"/>
                <w:highlight w:val="none"/>
              </w:rPr>
            </w:pPr>
            <w:r>
              <w:rPr>
                <w:rFonts w:hint="eastAsia"/>
                <w:szCs w:val="21"/>
                <w:highlight w:val="none"/>
              </w:rPr>
              <w:t>详见本章附件B：废标条件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10" w:hRule="atLeast"/>
        </w:trPr>
        <w:tc>
          <w:tcPr>
            <w:tcW w:w="900" w:type="dxa"/>
            <w:vAlign w:val="center"/>
          </w:tcPr>
          <w:p>
            <w:pPr>
              <w:spacing w:line="440" w:lineRule="exact"/>
              <w:jc w:val="center"/>
              <w:rPr>
                <w:szCs w:val="21"/>
                <w:highlight w:val="none"/>
              </w:rPr>
            </w:pPr>
            <w:r>
              <w:rPr>
                <w:rFonts w:hint="eastAsia"/>
                <w:szCs w:val="21"/>
                <w:highlight w:val="none"/>
              </w:rPr>
              <w:t>3.2.2</w:t>
            </w:r>
          </w:p>
        </w:tc>
        <w:tc>
          <w:tcPr>
            <w:tcW w:w="1080" w:type="dxa"/>
            <w:vAlign w:val="center"/>
          </w:tcPr>
          <w:p>
            <w:pPr>
              <w:spacing w:line="440" w:lineRule="exact"/>
              <w:rPr>
                <w:szCs w:val="21"/>
                <w:highlight w:val="none"/>
              </w:rPr>
            </w:pPr>
            <w:r>
              <w:rPr>
                <w:rFonts w:hint="eastAsia"/>
                <w:szCs w:val="21"/>
                <w:highlight w:val="none"/>
              </w:rPr>
              <w:t>判断投标报价是否低于其成本</w:t>
            </w:r>
          </w:p>
        </w:tc>
        <w:tc>
          <w:tcPr>
            <w:tcW w:w="6840" w:type="dxa"/>
            <w:gridSpan w:val="3"/>
            <w:vAlign w:val="center"/>
          </w:tcPr>
          <w:p>
            <w:pPr>
              <w:spacing w:line="440" w:lineRule="exact"/>
              <w:rPr>
                <w:szCs w:val="21"/>
                <w:highlight w:val="none"/>
              </w:rPr>
            </w:pPr>
            <w:r>
              <w:rPr>
                <w:rFonts w:hint="eastAsia"/>
                <w:szCs w:val="21"/>
                <w:highlight w:val="none"/>
              </w:rPr>
              <w:t>详见本章附件C：投标人成本评审办法</w:t>
            </w:r>
          </w:p>
        </w:tc>
      </w:tr>
    </w:tbl>
    <w:p>
      <w:pPr>
        <w:ind w:firstLine="420" w:firstLineChars="200"/>
        <w:rPr>
          <w:highlight w:val="none"/>
        </w:rPr>
      </w:pPr>
      <w:r>
        <w:rPr>
          <w:highlight w:val="none"/>
        </w:rPr>
        <w:br w:type="page"/>
      </w:r>
      <w:bookmarkStart w:id="41" w:name="_Toc241459651"/>
    </w:p>
    <w:p>
      <w:pPr>
        <w:pStyle w:val="282"/>
        <w:rPr>
          <w:highlight w:val="none"/>
        </w:rPr>
      </w:pPr>
      <w:bookmarkStart w:id="42" w:name="_Toc342296244"/>
      <w:bookmarkStart w:id="43" w:name="_Toc434331089"/>
      <w:bookmarkStart w:id="44" w:name="_Toc10567"/>
      <w:r>
        <w:rPr>
          <w:rFonts w:hint="eastAsia"/>
          <w:highlight w:val="none"/>
        </w:rPr>
        <w:t>评标办法（综合评估法）正文部分</w:t>
      </w:r>
      <w:bookmarkEnd w:id="42"/>
      <w:bookmarkEnd w:id="43"/>
      <w:bookmarkEnd w:id="44"/>
    </w:p>
    <w:p>
      <w:pPr>
        <w:ind w:firstLine="420" w:firstLineChars="200"/>
        <w:rPr>
          <w:highlight w:val="none"/>
        </w:rPr>
      </w:pPr>
    </w:p>
    <w:p>
      <w:pPr>
        <w:pStyle w:val="282"/>
        <w:spacing w:before="0"/>
        <w:outlineLvl w:val="0"/>
        <w:rPr>
          <w:highlight w:val="none"/>
        </w:rPr>
      </w:pPr>
      <w:bookmarkStart w:id="45" w:name="_Toc333599733"/>
      <w:bookmarkStart w:id="46" w:name="_Toc434331090"/>
      <w:bookmarkStart w:id="47" w:name="_Toc349730908"/>
      <w:bookmarkStart w:id="48" w:name="_Toc342296245"/>
      <w:bookmarkStart w:id="49" w:name="_Toc342294797"/>
      <w:bookmarkStart w:id="50" w:name="_Toc152045600"/>
      <w:bookmarkStart w:id="51" w:name="_Toc144974567"/>
      <w:bookmarkStart w:id="52" w:name="_Toc333600757"/>
      <w:bookmarkStart w:id="53" w:name="_Toc179632618"/>
      <w:bookmarkStart w:id="54" w:name="_Toc152042377"/>
      <w:bookmarkStart w:id="55" w:name="_Toc338944688"/>
      <w:bookmarkStart w:id="56" w:name="_Toc8795"/>
      <w:r>
        <w:rPr>
          <w:rFonts w:hint="eastAsia"/>
          <w:highlight w:val="none"/>
        </w:rPr>
        <w:t>1. 评标方法</w:t>
      </w:r>
      <w:bookmarkEnd w:id="45"/>
      <w:bookmarkEnd w:id="46"/>
      <w:bookmarkEnd w:id="47"/>
      <w:bookmarkEnd w:id="48"/>
      <w:bookmarkEnd w:id="49"/>
      <w:bookmarkEnd w:id="50"/>
      <w:bookmarkEnd w:id="51"/>
      <w:bookmarkEnd w:id="52"/>
      <w:bookmarkEnd w:id="53"/>
      <w:bookmarkEnd w:id="54"/>
      <w:bookmarkEnd w:id="55"/>
      <w:bookmarkEnd w:id="56"/>
    </w:p>
    <w:p>
      <w:pPr>
        <w:spacing w:line="400" w:lineRule="exact"/>
        <w:ind w:firstLine="420" w:firstLineChars="200"/>
        <w:rPr>
          <w:highlight w:val="none"/>
        </w:rPr>
      </w:pPr>
      <w:r>
        <w:rPr>
          <w:rFonts w:hint="eastAsia"/>
          <w:highlight w:val="none"/>
        </w:rPr>
        <w:t>本次评标采用综合评估法。评标委员会对满足招标文件实质性要求的投标文件，按照本章第2.2款规定的评分标准进行打分，并按得分由高到低顺序推荐中标候选人，或根据招标人授权直接确定中标人，但投标报价低于其成本的除外。综合评分相等时，以投标报价低的优先；投标报价也相等的，由招标人自行确定。</w:t>
      </w:r>
    </w:p>
    <w:p>
      <w:pPr>
        <w:pStyle w:val="282"/>
        <w:spacing w:before="0"/>
        <w:outlineLvl w:val="0"/>
        <w:rPr>
          <w:highlight w:val="none"/>
        </w:rPr>
      </w:pPr>
      <w:bookmarkStart w:id="57" w:name="_Toc434331091"/>
      <w:bookmarkStart w:id="58" w:name="_Toc179632619"/>
      <w:bookmarkStart w:id="59" w:name="_Toc338944689"/>
      <w:bookmarkStart w:id="60" w:name="_Toc349730909"/>
      <w:bookmarkStart w:id="61" w:name="_Toc152045601"/>
      <w:bookmarkStart w:id="62" w:name="_Toc333600758"/>
      <w:bookmarkStart w:id="63" w:name="_Toc152042378"/>
      <w:bookmarkStart w:id="64" w:name="_Toc6759"/>
      <w:bookmarkStart w:id="65" w:name="_Toc342294798"/>
      <w:bookmarkStart w:id="66" w:name="_Toc333599734"/>
      <w:bookmarkStart w:id="67" w:name="_Toc342296246"/>
      <w:bookmarkStart w:id="68" w:name="_Toc144974568"/>
      <w:r>
        <w:rPr>
          <w:rFonts w:hint="eastAsia"/>
          <w:highlight w:val="none"/>
        </w:rPr>
        <w:t>2. 评审标准</w:t>
      </w:r>
      <w:bookmarkEnd w:id="57"/>
      <w:bookmarkEnd w:id="58"/>
      <w:bookmarkEnd w:id="59"/>
      <w:bookmarkEnd w:id="60"/>
      <w:bookmarkEnd w:id="61"/>
      <w:bookmarkEnd w:id="62"/>
      <w:bookmarkEnd w:id="63"/>
      <w:bookmarkEnd w:id="64"/>
      <w:bookmarkEnd w:id="65"/>
      <w:bookmarkEnd w:id="66"/>
      <w:bookmarkEnd w:id="67"/>
      <w:bookmarkEnd w:id="68"/>
    </w:p>
    <w:p>
      <w:pPr>
        <w:pStyle w:val="199"/>
        <w:outlineLvl w:val="0"/>
        <w:rPr>
          <w:highlight w:val="none"/>
        </w:rPr>
      </w:pPr>
      <w:bookmarkStart w:id="69" w:name="_Toc342294799"/>
      <w:bookmarkStart w:id="70" w:name="_Toc338944690"/>
      <w:bookmarkStart w:id="71" w:name="_Toc342296247"/>
      <w:bookmarkStart w:id="72" w:name="_Toc434331092"/>
      <w:bookmarkStart w:id="73" w:name="_Toc32410"/>
      <w:bookmarkStart w:id="74" w:name="_Toc179632620"/>
      <w:bookmarkStart w:id="75" w:name="_Toc152042379"/>
      <w:bookmarkStart w:id="76" w:name="_Toc144974569"/>
      <w:bookmarkStart w:id="77" w:name="_Toc333599735"/>
      <w:bookmarkStart w:id="78" w:name="_Toc349730910"/>
      <w:bookmarkStart w:id="79" w:name="_Toc333600759"/>
      <w:bookmarkStart w:id="80" w:name="_Toc152045602"/>
      <w:r>
        <w:rPr>
          <w:rFonts w:hint="eastAsia"/>
          <w:highlight w:val="none"/>
        </w:rPr>
        <w:t>2.1 初步评审标准</w:t>
      </w:r>
      <w:bookmarkEnd w:id="69"/>
      <w:bookmarkEnd w:id="70"/>
      <w:bookmarkEnd w:id="71"/>
      <w:bookmarkEnd w:id="72"/>
      <w:bookmarkEnd w:id="73"/>
      <w:bookmarkEnd w:id="74"/>
      <w:bookmarkEnd w:id="75"/>
      <w:bookmarkEnd w:id="76"/>
      <w:bookmarkEnd w:id="77"/>
      <w:bookmarkEnd w:id="78"/>
      <w:bookmarkEnd w:id="79"/>
      <w:bookmarkEnd w:id="80"/>
    </w:p>
    <w:p>
      <w:pPr>
        <w:spacing w:line="400" w:lineRule="exact"/>
        <w:ind w:firstLine="420" w:firstLineChars="200"/>
        <w:rPr>
          <w:highlight w:val="none"/>
        </w:rPr>
      </w:pPr>
      <w:r>
        <w:rPr>
          <w:rFonts w:hint="eastAsia"/>
          <w:highlight w:val="none"/>
        </w:rPr>
        <w:t>2.1.1 形式评审标准：见评标办法前附表。</w:t>
      </w:r>
    </w:p>
    <w:p>
      <w:pPr>
        <w:spacing w:line="400" w:lineRule="exact"/>
        <w:ind w:firstLine="420" w:firstLineChars="200"/>
        <w:rPr>
          <w:highlight w:val="none"/>
        </w:rPr>
      </w:pPr>
      <w:r>
        <w:rPr>
          <w:rFonts w:hint="eastAsia"/>
          <w:highlight w:val="none"/>
        </w:rPr>
        <w:t>2.1.2 资格评审标准：见评标办法前附表（适用于未进行资格预审的）。</w:t>
      </w:r>
    </w:p>
    <w:p>
      <w:pPr>
        <w:spacing w:line="400" w:lineRule="exact"/>
        <w:ind w:firstLine="420" w:firstLineChars="200"/>
        <w:rPr>
          <w:highlight w:val="none"/>
        </w:rPr>
      </w:pPr>
      <w:r>
        <w:rPr>
          <w:rFonts w:hint="eastAsia"/>
          <w:highlight w:val="none"/>
        </w:rPr>
        <w:t>2.1.2 资格评审标准：见本标段资格预审文件第三章“资格审查办法”详细审查标准（适用于已进行资格预审的）。</w:t>
      </w:r>
    </w:p>
    <w:p>
      <w:pPr>
        <w:spacing w:line="400" w:lineRule="exact"/>
        <w:ind w:firstLine="420" w:firstLineChars="200"/>
        <w:rPr>
          <w:highlight w:val="none"/>
        </w:rPr>
      </w:pPr>
      <w:r>
        <w:rPr>
          <w:rFonts w:hint="eastAsia"/>
          <w:highlight w:val="none"/>
        </w:rPr>
        <w:t>2.1.3 响应性评审标准：见评标办法前附表。</w:t>
      </w:r>
    </w:p>
    <w:p>
      <w:pPr>
        <w:pStyle w:val="199"/>
        <w:outlineLvl w:val="0"/>
        <w:rPr>
          <w:highlight w:val="none"/>
        </w:rPr>
      </w:pPr>
      <w:bookmarkStart w:id="81" w:name="_Toc342294800"/>
      <w:bookmarkStart w:id="82" w:name="_Toc333600760"/>
      <w:bookmarkStart w:id="83" w:name="_Toc349730911"/>
      <w:bookmarkStart w:id="84" w:name="_Toc338944691"/>
      <w:bookmarkStart w:id="85" w:name="_Toc333599736"/>
      <w:bookmarkStart w:id="86" w:name="_Toc144974570"/>
      <w:bookmarkStart w:id="87" w:name="_Toc179632621"/>
      <w:bookmarkStart w:id="88" w:name="_Toc342296248"/>
      <w:bookmarkStart w:id="89" w:name="_Toc19048"/>
      <w:bookmarkStart w:id="90" w:name="_Toc152042380"/>
      <w:bookmarkStart w:id="91" w:name="_Toc152045603"/>
      <w:bookmarkStart w:id="92" w:name="_Toc434331093"/>
      <w:r>
        <w:rPr>
          <w:rFonts w:hint="eastAsia"/>
          <w:highlight w:val="none"/>
        </w:rPr>
        <w:t>2.2 分值构成与评分标准</w:t>
      </w:r>
      <w:bookmarkEnd w:id="81"/>
      <w:bookmarkEnd w:id="82"/>
      <w:bookmarkEnd w:id="83"/>
      <w:bookmarkEnd w:id="84"/>
      <w:bookmarkEnd w:id="85"/>
      <w:bookmarkEnd w:id="86"/>
      <w:bookmarkEnd w:id="87"/>
      <w:bookmarkEnd w:id="88"/>
      <w:bookmarkEnd w:id="89"/>
      <w:bookmarkEnd w:id="90"/>
      <w:bookmarkEnd w:id="91"/>
      <w:bookmarkEnd w:id="92"/>
    </w:p>
    <w:p>
      <w:pPr>
        <w:spacing w:line="400" w:lineRule="exact"/>
        <w:ind w:firstLine="420" w:firstLineChars="200"/>
        <w:rPr>
          <w:highlight w:val="none"/>
        </w:rPr>
      </w:pPr>
      <w:r>
        <w:rPr>
          <w:rFonts w:hint="eastAsia"/>
          <w:highlight w:val="none"/>
        </w:rPr>
        <w:t xml:space="preserve">2.2.1 </w:t>
      </w:r>
      <w:r>
        <w:rPr>
          <w:rFonts w:hint="eastAsia" w:ascii="黑体" w:eastAsia="黑体"/>
          <w:highlight w:val="none"/>
        </w:rPr>
        <w:t>分值构成</w:t>
      </w:r>
    </w:p>
    <w:p>
      <w:pPr>
        <w:spacing w:line="400" w:lineRule="exact"/>
        <w:ind w:firstLine="718" w:firstLineChars="342"/>
        <w:rPr>
          <w:highlight w:val="none"/>
        </w:rPr>
      </w:pPr>
      <w:r>
        <w:rPr>
          <w:rFonts w:hint="eastAsia"/>
          <w:highlight w:val="none"/>
        </w:rPr>
        <w:t>（1）施工组织设计：见评标办法前附表；</w:t>
      </w:r>
    </w:p>
    <w:p>
      <w:pPr>
        <w:spacing w:line="400" w:lineRule="exact"/>
        <w:ind w:firstLine="718" w:firstLineChars="342"/>
        <w:rPr>
          <w:highlight w:val="none"/>
        </w:rPr>
      </w:pPr>
      <w:r>
        <w:rPr>
          <w:rFonts w:hint="eastAsia"/>
          <w:highlight w:val="none"/>
        </w:rPr>
        <w:t>（2）项目管理机构：见评标办法前附表；</w:t>
      </w:r>
    </w:p>
    <w:p>
      <w:pPr>
        <w:spacing w:line="400" w:lineRule="exact"/>
        <w:ind w:firstLine="718" w:firstLineChars="342"/>
        <w:rPr>
          <w:highlight w:val="none"/>
        </w:rPr>
      </w:pPr>
      <w:r>
        <w:rPr>
          <w:rFonts w:hint="eastAsia"/>
          <w:highlight w:val="none"/>
        </w:rPr>
        <w:t>（3）投标报价：见评标办法前附表；</w:t>
      </w:r>
    </w:p>
    <w:p>
      <w:pPr>
        <w:spacing w:line="400" w:lineRule="exact"/>
        <w:ind w:firstLine="718" w:firstLineChars="342"/>
        <w:rPr>
          <w:highlight w:val="none"/>
        </w:rPr>
      </w:pPr>
      <w:r>
        <w:rPr>
          <w:rFonts w:hint="eastAsia"/>
          <w:highlight w:val="none"/>
        </w:rPr>
        <w:t>（4）其他评分因素：见评标办法前附表。</w:t>
      </w:r>
    </w:p>
    <w:p>
      <w:pPr>
        <w:spacing w:line="400" w:lineRule="exact"/>
        <w:ind w:firstLine="420" w:firstLineChars="200"/>
        <w:rPr>
          <w:highlight w:val="none"/>
        </w:rPr>
      </w:pPr>
      <w:r>
        <w:rPr>
          <w:rFonts w:hint="eastAsia"/>
          <w:highlight w:val="none"/>
        </w:rPr>
        <w:t xml:space="preserve">2.2.2 </w:t>
      </w:r>
      <w:r>
        <w:rPr>
          <w:rFonts w:hint="eastAsia" w:ascii="黑体" w:eastAsia="黑体"/>
          <w:highlight w:val="none"/>
        </w:rPr>
        <w:t>评标基准价计算</w:t>
      </w:r>
    </w:p>
    <w:p>
      <w:pPr>
        <w:spacing w:line="400" w:lineRule="exact"/>
        <w:ind w:firstLine="840" w:firstLineChars="400"/>
        <w:rPr>
          <w:highlight w:val="none"/>
        </w:rPr>
      </w:pPr>
      <w:r>
        <w:rPr>
          <w:rFonts w:hint="eastAsia"/>
          <w:highlight w:val="none"/>
        </w:rPr>
        <w:t>评标基准价计算方法：见评标办法前附表。</w:t>
      </w:r>
    </w:p>
    <w:p>
      <w:pPr>
        <w:spacing w:line="400" w:lineRule="exact"/>
        <w:ind w:firstLine="420" w:firstLineChars="200"/>
        <w:rPr>
          <w:highlight w:val="none"/>
        </w:rPr>
      </w:pPr>
      <w:r>
        <w:rPr>
          <w:rFonts w:hint="eastAsia"/>
          <w:highlight w:val="none"/>
        </w:rPr>
        <w:t xml:space="preserve">2.2.3 </w:t>
      </w:r>
      <w:r>
        <w:rPr>
          <w:rFonts w:hint="eastAsia" w:ascii="黑体" w:eastAsia="黑体"/>
          <w:highlight w:val="none"/>
        </w:rPr>
        <w:t>投标报价的偏差率计算</w:t>
      </w:r>
    </w:p>
    <w:p>
      <w:pPr>
        <w:spacing w:line="400" w:lineRule="exact"/>
        <w:ind w:firstLine="840" w:firstLineChars="400"/>
        <w:rPr>
          <w:highlight w:val="none"/>
        </w:rPr>
      </w:pPr>
      <w:r>
        <w:rPr>
          <w:rFonts w:hint="eastAsia"/>
          <w:highlight w:val="none"/>
        </w:rPr>
        <w:t>投标报价的偏差率计算公式：见评标办法前附表。</w:t>
      </w:r>
    </w:p>
    <w:p>
      <w:pPr>
        <w:spacing w:line="400" w:lineRule="exact"/>
        <w:ind w:firstLine="420" w:firstLineChars="200"/>
        <w:rPr>
          <w:highlight w:val="none"/>
        </w:rPr>
      </w:pPr>
      <w:r>
        <w:rPr>
          <w:rFonts w:hint="eastAsia"/>
          <w:highlight w:val="none"/>
        </w:rPr>
        <w:t xml:space="preserve">2.2.4 </w:t>
      </w:r>
      <w:r>
        <w:rPr>
          <w:rFonts w:hint="eastAsia" w:ascii="黑体" w:eastAsia="黑体"/>
          <w:highlight w:val="none"/>
        </w:rPr>
        <w:t>评分标准</w:t>
      </w:r>
    </w:p>
    <w:p>
      <w:pPr>
        <w:spacing w:line="400" w:lineRule="exact"/>
        <w:ind w:firstLine="718" w:firstLineChars="342"/>
        <w:rPr>
          <w:highlight w:val="none"/>
        </w:rPr>
      </w:pPr>
      <w:r>
        <w:rPr>
          <w:rFonts w:hint="eastAsia"/>
          <w:highlight w:val="none"/>
        </w:rPr>
        <w:t>（1）施工组织设计评分标准：见评标办法前附表；</w:t>
      </w:r>
    </w:p>
    <w:p>
      <w:pPr>
        <w:spacing w:line="400" w:lineRule="exact"/>
        <w:ind w:firstLine="718" w:firstLineChars="342"/>
        <w:rPr>
          <w:highlight w:val="none"/>
        </w:rPr>
      </w:pPr>
      <w:r>
        <w:rPr>
          <w:rFonts w:hint="eastAsia"/>
          <w:highlight w:val="none"/>
        </w:rPr>
        <w:t>（2）项目管理机构评分标准：见评标办法前附表；</w:t>
      </w:r>
    </w:p>
    <w:p>
      <w:pPr>
        <w:spacing w:line="400" w:lineRule="exact"/>
        <w:ind w:firstLine="718" w:firstLineChars="342"/>
        <w:rPr>
          <w:highlight w:val="none"/>
        </w:rPr>
      </w:pPr>
      <w:r>
        <w:rPr>
          <w:rFonts w:hint="eastAsia"/>
          <w:highlight w:val="none"/>
        </w:rPr>
        <w:t>（3）投标报价评分标准：见评标办法前附表；</w:t>
      </w:r>
    </w:p>
    <w:p>
      <w:pPr>
        <w:spacing w:line="400" w:lineRule="exact"/>
        <w:ind w:firstLine="718" w:firstLineChars="342"/>
        <w:rPr>
          <w:highlight w:val="none"/>
        </w:rPr>
      </w:pPr>
      <w:r>
        <w:rPr>
          <w:rFonts w:hint="eastAsia"/>
          <w:highlight w:val="none"/>
        </w:rPr>
        <w:t>（4）其他因素评分标准：见评标办法前附表。</w:t>
      </w:r>
    </w:p>
    <w:p>
      <w:pPr>
        <w:pStyle w:val="282"/>
        <w:spacing w:before="0"/>
        <w:outlineLvl w:val="0"/>
        <w:rPr>
          <w:highlight w:val="none"/>
        </w:rPr>
      </w:pPr>
      <w:bookmarkStart w:id="93" w:name="_Toc342296249"/>
      <w:bookmarkStart w:id="94" w:name="_Toc9595"/>
      <w:bookmarkStart w:id="95" w:name="_Toc338944692"/>
      <w:bookmarkStart w:id="96" w:name="_Toc434331094"/>
      <w:bookmarkStart w:id="97" w:name="_Toc333600761"/>
      <w:bookmarkStart w:id="98" w:name="_Toc342294801"/>
      <w:bookmarkStart w:id="99" w:name="_Toc152042381"/>
      <w:bookmarkStart w:id="100" w:name="_Toc333599737"/>
      <w:bookmarkStart w:id="101" w:name="_Toc144974571"/>
      <w:bookmarkStart w:id="102" w:name="_Toc349730912"/>
      <w:bookmarkStart w:id="103" w:name="_Toc179632622"/>
      <w:bookmarkStart w:id="104" w:name="_Toc152045604"/>
      <w:r>
        <w:rPr>
          <w:rFonts w:hint="eastAsia"/>
          <w:highlight w:val="none"/>
        </w:rPr>
        <w:t>3. 评标程序</w:t>
      </w:r>
      <w:bookmarkEnd w:id="93"/>
      <w:bookmarkEnd w:id="94"/>
      <w:bookmarkEnd w:id="95"/>
      <w:bookmarkEnd w:id="96"/>
      <w:bookmarkEnd w:id="97"/>
      <w:bookmarkEnd w:id="98"/>
      <w:bookmarkEnd w:id="99"/>
      <w:bookmarkEnd w:id="100"/>
      <w:bookmarkEnd w:id="101"/>
      <w:bookmarkEnd w:id="102"/>
      <w:bookmarkEnd w:id="103"/>
      <w:bookmarkEnd w:id="104"/>
    </w:p>
    <w:p>
      <w:pPr>
        <w:pStyle w:val="199"/>
        <w:outlineLvl w:val="0"/>
        <w:rPr>
          <w:highlight w:val="none"/>
        </w:rPr>
      </w:pPr>
      <w:bookmarkStart w:id="105" w:name="_Toc333600762"/>
      <w:bookmarkStart w:id="106" w:name="_Toc342296250"/>
      <w:bookmarkStart w:id="107" w:name="_Toc338944693"/>
      <w:bookmarkStart w:id="108" w:name="_Toc349730913"/>
      <w:bookmarkStart w:id="109" w:name="_Toc8634"/>
      <w:bookmarkStart w:id="110" w:name="_Toc152042382"/>
      <w:bookmarkStart w:id="111" w:name="_Toc144974572"/>
      <w:bookmarkStart w:id="112" w:name="_Toc179632623"/>
      <w:bookmarkStart w:id="113" w:name="_Toc333599738"/>
      <w:bookmarkStart w:id="114" w:name="_Toc434331095"/>
      <w:bookmarkStart w:id="115" w:name="_Toc342294802"/>
      <w:bookmarkStart w:id="116" w:name="_Toc152045605"/>
      <w:r>
        <w:rPr>
          <w:rFonts w:hint="eastAsia"/>
          <w:highlight w:val="none"/>
        </w:rPr>
        <w:t>3.1 初步评审</w:t>
      </w:r>
      <w:bookmarkEnd w:id="105"/>
      <w:bookmarkEnd w:id="106"/>
      <w:bookmarkEnd w:id="107"/>
      <w:bookmarkEnd w:id="108"/>
      <w:bookmarkEnd w:id="109"/>
      <w:bookmarkEnd w:id="110"/>
      <w:bookmarkEnd w:id="111"/>
      <w:bookmarkEnd w:id="112"/>
      <w:bookmarkEnd w:id="113"/>
      <w:bookmarkEnd w:id="114"/>
      <w:bookmarkEnd w:id="115"/>
      <w:bookmarkEnd w:id="116"/>
    </w:p>
    <w:p>
      <w:pPr>
        <w:spacing w:line="400" w:lineRule="exact"/>
        <w:ind w:firstLine="420" w:firstLineChars="200"/>
        <w:rPr>
          <w:highlight w:val="none"/>
        </w:rPr>
      </w:pPr>
      <w:r>
        <w:rPr>
          <w:rFonts w:hint="eastAsia"/>
          <w:highlight w:val="none"/>
        </w:rPr>
        <w:t>3.1.1 评标委员会可以要求投标人提交第二章“投标人须知”第3.5.1项至第3.5.5项规定的有关证明和证件的原件，以便核验。评标委员会依据本章第2.1款规定的标准对投标文件进行初步评审。有一项不符合评审标准的，作废标处理。（适用于未进行资格预审的）</w:t>
      </w:r>
    </w:p>
    <w:p>
      <w:pPr>
        <w:spacing w:line="400" w:lineRule="exact"/>
        <w:ind w:firstLine="420" w:firstLineChars="200"/>
        <w:rPr>
          <w:highlight w:val="none"/>
        </w:rPr>
      </w:pPr>
      <w:r>
        <w:rPr>
          <w:rFonts w:hint="eastAsia"/>
          <w:highlight w:val="none"/>
        </w:rPr>
        <w:t>3.1.1 评标委员会依据本章第2.1.1项、第2.1.3项规定的评审标准对投标文件进行初步评审。有一项不符合评审标准的，作废标处理。当投标人资格预审申请文件的内容发生重大变化时，评标委员会依据本章第2.1.2项规定的标准对其更新资料进行评审。（适用于已进行资格预审的）</w:t>
      </w:r>
    </w:p>
    <w:p>
      <w:pPr>
        <w:spacing w:line="400" w:lineRule="exact"/>
        <w:ind w:firstLine="420" w:firstLineChars="200"/>
        <w:rPr>
          <w:highlight w:val="none"/>
        </w:rPr>
      </w:pPr>
      <w:r>
        <w:rPr>
          <w:rFonts w:hint="eastAsia"/>
          <w:highlight w:val="none"/>
        </w:rPr>
        <w:t>3.1.2 投标人有以下情形之一的，其投标作废标处理：</w:t>
      </w:r>
    </w:p>
    <w:p>
      <w:pPr>
        <w:spacing w:line="400" w:lineRule="exact"/>
        <w:ind w:firstLine="718" w:firstLineChars="342"/>
        <w:rPr>
          <w:highlight w:val="none"/>
        </w:rPr>
      </w:pPr>
      <w:r>
        <w:rPr>
          <w:rFonts w:hint="eastAsia"/>
          <w:highlight w:val="none"/>
        </w:rPr>
        <w:t>（1）第二章“投标人须知”第1.4.3项规定的任何一种情形的；</w:t>
      </w:r>
    </w:p>
    <w:p>
      <w:pPr>
        <w:spacing w:line="400" w:lineRule="exact"/>
        <w:ind w:firstLine="718" w:firstLineChars="342"/>
        <w:rPr>
          <w:highlight w:val="none"/>
        </w:rPr>
      </w:pPr>
      <w:r>
        <w:rPr>
          <w:rFonts w:hint="eastAsia"/>
          <w:highlight w:val="none"/>
        </w:rPr>
        <w:t>（2）串通投标或弄虚作假或有其他违法行为的；</w:t>
      </w:r>
    </w:p>
    <w:p>
      <w:pPr>
        <w:spacing w:line="400" w:lineRule="exact"/>
        <w:ind w:firstLine="718" w:firstLineChars="342"/>
        <w:rPr>
          <w:highlight w:val="none"/>
        </w:rPr>
      </w:pPr>
      <w:r>
        <w:rPr>
          <w:rFonts w:hint="eastAsia"/>
          <w:highlight w:val="none"/>
        </w:rPr>
        <w:t>（3）不按评标委员会要求澄清、说明或补正的。</w:t>
      </w:r>
    </w:p>
    <w:p>
      <w:pPr>
        <w:spacing w:line="400" w:lineRule="exact"/>
        <w:ind w:firstLine="420" w:firstLineChars="200"/>
        <w:rPr>
          <w:highlight w:val="none"/>
        </w:rPr>
      </w:pPr>
      <w:r>
        <w:rPr>
          <w:rFonts w:hint="eastAsia"/>
          <w:highlight w:val="none"/>
        </w:rPr>
        <w:t>3.1.3投标报价有算术错误的，评标委员会按以下原则对投标报价进行修正，修正的价格经投标人书面确认后具有约束力。投标人不接受修正价格的，其投标作废标处理。</w:t>
      </w:r>
    </w:p>
    <w:p>
      <w:pPr>
        <w:spacing w:line="400" w:lineRule="exact"/>
        <w:ind w:firstLine="718" w:firstLineChars="342"/>
        <w:rPr>
          <w:highlight w:val="none"/>
        </w:rPr>
      </w:pPr>
      <w:bookmarkStart w:id="117" w:name="_Toc152042383"/>
      <w:r>
        <w:rPr>
          <w:rFonts w:hint="eastAsia"/>
          <w:highlight w:val="none"/>
        </w:rPr>
        <w:t>（1）投标文件中的大写金额与小写金额不一致的，以大写金额为准；</w:t>
      </w:r>
      <w:bookmarkEnd w:id="117"/>
    </w:p>
    <w:p>
      <w:pPr>
        <w:spacing w:line="400" w:lineRule="exact"/>
        <w:ind w:firstLine="718" w:firstLineChars="342"/>
        <w:rPr>
          <w:highlight w:val="none"/>
        </w:rPr>
      </w:pPr>
      <w:r>
        <w:rPr>
          <w:rFonts w:hint="eastAsia"/>
          <w:highlight w:val="none"/>
        </w:rPr>
        <w:t>（2）总价金额与依据单价计算出的结果不一致的，以单价金额为准修正总价，但单价金额小数点有明显错误的除外。</w:t>
      </w:r>
    </w:p>
    <w:p>
      <w:pPr>
        <w:pStyle w:val="199"/>
        <w:outlineLvl w:val="0"/>
        <w:rPr>
          <w:highlight w:val="none"/>
        </w:rPr>
      </w:pPr>
      <w:bookmarkStart w:id="118" w:name="_Toc144974573"/>
      <w:bookmarkStart w:id="119" w:name="_Toc152042384"/>
      <w:bookmarkStart w:id="120" w:name="_Toc342296251"/>
      <w:bookmarkStart w:id="121" w:name="_Toc434331096"/>
      <w:bookmarkStart w:id="122" w:name="_Toc27080"/>
      <w:bookmarkStart w:id="123" w:name="_Toc338944694"/>
      <w:bookmarkStart w:id="124" w:name="_Toc349730914"/>
      <w:bookmarkStart w:id="125" w:name="_Toc333599739"/>
      <w:bookmarkStart w:id="126" w:name="_Toc333600763"/>
      <w:bookmarkStart w:id="127" w:name="_Toc152045606"/>
      <w:bookmarkStart w:id="128" w:name="_Toc179632624"/>
      <w:bookmarkStart w:id="129" w:name="_Toc342294803"/>
      <w:r>
        <w:rPr>
          <w:rFonts w:hint="eastAsia"/>
          <w:highlight w:val="none"/>
        </w:rPr>
        <w:t>3.2 详细评审</w:t>
      </w:r>
      <w:bookmarkEnd w:id="118"/>
      <w:bookmarkEnd w:id="119"/>
      <w:bookmarkEnd w:id="120"/>
      <w:bookmarkEnd w:id="121"/>
      <w:bookmarkEnd w:id="122"/>
      <w:bookmarkEnd w:id="123"/>
      <w:bookmarkEnd w:id="124"/>
      <w:bookmarkEnd w:id="125"/>
      <w:bookmarkEnd w:id="126"/>
      <w:bookmarkEnd w:id="127"/>
      <w:bookmarkEnd w:id="128"/>
      <w:bookmarkEnd w:id="129"/>
    </w:p>
    <w:p>
      <w:pPr>
        <w:spacing w:line="400" w:lineRule="exact"/>
        <w:ind w:firstLine="420" w:firstLineChars="200"/>
        <w:rPr>
          <w:highlight w:val="none"/>
        </w:rPr>
      </w:pPr>
      <w:r>
        <w:rPr>
          <w:rFonts w:hint="eastAsia"/>
          <w:highlight w:val="none"/>
        </w:rPr>
        <w:t>3.2.1 评标委员会按本章第2.2款规定的量化因素和分值进行打分，并计算出综合评估得分。</w:t>
      </w:r>
    </w:p>
    <w:p>
      <w:pPr>
        <w:spacing w:line="400" w:lineRule="exact"/>
        <w:ind w:firstLine="718" w:firstLineChars="342"/>
        <w:rPr>
          <w:highlight w:val="none"/>
        </w:rPr>
      </w:pPr>
      <w:r>
        <w:rPr>
          <w:rFonts w:hint="eastAsia"/>
          <w:highlight w:val="none"/>
        </w:rPr>
        <w:t>（1）按本章第2.2.4（1）目规定的评审因素和分值对施工组织设计计算出得分A；</w:t>
      </w:r>
    </w:p>
    <w:p>
      <w:pPr>
        <w:spacing w:line="400" w:lineRule="exact"/>
        <w:ind w:firstLine="718" w:firstLineChars="342"/>
        <w:rPr>
          <w:highlight w:val="none"/>
        </w:rPr>
      </w:pPr>
      <w:r>
        <w:rPr>
          <w:rFonts w:hint="eastAsia"/>
          <w:highlight w:val="none"/>
        </w:rPr>
        <w:t>（2）按本章第2.2.4（2）目规定的评审因素和分值对项目管理机构计算出得分B；</w:t>
      </w:r>
    </w:p>
    <w:p>
      <w:pPr>
        <w:spacing w:line="400" w:lineRule="exact"/>
        <w:ind w:firstLine="718" w:firstLineChars="342"/>
        <w:rPr>
          <w:highlight w:val="none"/>
        </w:rPr>
      </w:pPr>
      <w:r>
        <w:rPr>
          <w:rFonts w:hint="eastAsia"/>
          <w:highlight w:val="none"/>
        </w:rPr>
        <w:t>（3）按本章第2.2.4（3）目规定的评审因素和分值对投标报价计算出得分C；</w:t>
      </w:r>
    </w:p>
    <w:p>
      <w:pPr>
        <w:spacing w:line="400" w:lineRule="exact"/>
        <w:ind w:firstLine="718" w:firstLineChars="342"/>
        <w:rPr>
          <w:highlight w:val="none"/>
        </w:rPr>
      </w:pPr>
      <w:r>
        <w:rPr>
          <w:rFonts w:hint="eastAsia"/>
          <w:highlight w:val="none"/>
        </w:rPr>
        <w:t>（4）按本章第2.2.4（4）目规定的评审因素和分值对其他部分计算出得分D。</w:t>
      </w:r>
    </w:p>
    <w:p>
      <w:pPr>
        <w:spacing w:line="400" w:lineRule="exact"/>
        <w:ind w:firstLine="420" w:firstLineChars="200"/>
        <w:rPr>
          <w:highlight w:val="none"/>
        </w:rPr>
      </w:pPr>
      <w:r>
        <w:rPr>
          <w:rFonts w:hint="eastAsia"/>
          <w:highlight w:val="none"/>
        </w:rPr>
        <w:t>3.2.2 评分分值计算保留小数点后两位，小数点后第三位“四舍五入”。</w:t>
      </w:r>
    </w:p>
    <w:p>
      <w:pPr>
        <w:spacing w:line="400" w:lineRule="exact"/>
        <w:ind w:firstLine="420" w:firstLineChars="200"/>
        <w:rPr>
          <w:highlight w:val="none"/>
        </w:rPr>
      </w:pPr>
      <w:r>
        <w:rPr>
          <w:rFonts w:hint="eastAsia"/>
          <w:highlight w:val="none"/>
        </w:rPr>
        <w:t>3.2.3 投标人得分=A+B+C+D。</w:t>
      </w:r>
    </w:p>
    <w:p>
      <w:pPr>
        <w:spacing w:line="400" w:lineRule="exact"/>
        <w:ind w:firstLine="420" w:firstLineChars="200"/>
        <w:rPr>
          <w:highlight w:val="none"/>
        </w:rPr>
      </w:pPr>
      <w:r>
        <w:rPr>
          <w:rFonts w:hint="eastAsia"/>
          <w:highlight w:val="none"/>
        </w:rPr>
        <w:t>3.2.4 评标委员会发现投标人的报价明显低于其他投标报价，或者在设有标底时明显低于标底，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pPr>
        <w:pStyle w:val="199"/>
        <w:outlineLvl w:val="0"/>
        <w:rPr>
          <w:highlight w:val="none"/>
        </w:rPr>
      </w:pPr>
      <w:bookmarkStart w:id="130" w:name="_Toc144974575"/>
      <w:bookmarkStart w:id="131" w:name="_Toc152045607"/>
      <w:bookmarkStart w:id="132" w:name="_Toc333600764"/>
      <w:bookmarkStart w:id="133" w:name="_Toc179632625"/>
      <w:bookmarkStart w:id="134" w:name="_Toc342294804"/>
      <w:bookmarkStart w:id="135" w:name="_Toc342296252"/>
      <w:bookmarkStart w:id="136" w:name="_Toc434331097"/>
      <w:bookmarkStart w:id="137" w:name="_Toc152042385"/>
      <w:bookmarkStart w:id="138" w:name="_Toc27570"/>
      <w:bookmarkStart w:id="139" w:name="_Toc349730915"/>
      <w:bookmarkStart w:id="140" w:name="_Toc333599740"/>
      <w:bookmarkStart w:id="141" w:name="_Toc338944695"/>
      <w:r>
        <w:rPr>
          <w:rFonts w:hint="eastAsia"/>
          <w:highlight w:val="none"/>
        </w:rPr>
        <w:t>3.3 投标文件的澄清</w:t>
      </w:r>
      <w:bookmarkEnd w:id="130"/>
      <w:r>
        <w:rPr>
          <w:rFonts w:hint="eastAsia"/>
          <w:highlight w:val="none"/>
        </w:rPr>
        <w:t>和补正</w:t>
      </w:r>
      <w:bookmarkEnd w:id="131"/>
      <w:bookmarkEnd w:id="132"/>
      <w:bookmarkEnd w:id="133"/>
      <w:bookmarkEnd w:id="134"/>
      <w:bookmarkEnd w:id="135"/>
      <w:bookmarkEnd w:id="136"/>
      <w:bookmarkEnd w:id="137"/>
      <w:bookmarkEnd w:id="138"/>
      <w:bookmarkEnd w:id="139"/>
      <w:bookmarkEnd w:id="140"/>
      <w:bookmarkEnd w:id="141"/>
    </w:p>
    <w:p>
      <w:pPr>
        <w:spacing w:line="400" w:lineRule="exact"/>
        <w:ind w:firstLine="420" w:firstLineChars="200"/>
        <w:rPr>
          <w:highlight w:val="none"/>
        </w:rPr>
      </w:pPr>
      <w:r>
        <w:rPr>
          <w:rFonts w:hint="eastAsia"/>
          <w:highlight w:val="none"/>
        </w:rPr>
        <w:t>3.3.1在评标过程中，评标委员会可以书面形式要求投标人对所提交投标文件中不明确的内容进行书面澄清或说明，或者对细微偏差进行补正。评标委员会不接受投标人主动提出的澄清、说明或补正。</w:t>
      </w:r>
    </w:p>
    <w:p>
      <w:pPr>
        <w:spacing w:line="400" w:lineRule="exact"/>
        <w:ind w:firstLine="420" w:firstLineChars="200"/>
        <w:rPr>
          <w:highlight w:val="none"/>
        </w:rPr>
      </w:pPr>
      <w:r>
        <w:rPr>
          <w:rFonts w:hint="eastAsia"/>
          <w:highlight w:val="none"/>
        </w:rPr>
        <w:t>3.3.2 澄清、说明和补正不得改变投标文件的实质性内容（算术性错误修正的除外）。投标人的书面澄清、说明和补正属于投标文件的组成部分。</w:t>
      </w:r>
    </w:p>
    <w:p>
      <w:pPr>
        <w:spacing w:line="400" w:lineRule="exact"/>
        <w:ind w:firstLine="420" w:firstLineChars="200"/>
        <w:rPr>
          <w:highlight w:val="none"/>
        </w:rPr>
      </w:pPr>
      <w:r>
        <w:rPr>
          <w:rFonts w:hint="eastAsia"/>
          <w:highlight w:val="none"/>
        </w:rPr>
        <w:t>3.3.3 评标委员会对投标人提交的澄清、说明或补正有疑问的，可以要求投标人进一步澄清、说明或补正，直至满足评标委员会的要求。</w:t>
      </w:r>
    </w:p>
    <w:p>
      <w:pPr>
        <w:pStyle w:val="199"/>
        <w:outlineLvl w:val="0"/>
        <w:rPr>
          <w:highlight w:val="none"/>
        </w:rPr>
      </w:pPr>
      <w:bookmarkStart w:id="142" w:name="_Toc333600765"/>
      <w:bookmarkStart w:id="143" w:name="_Toc144974576"/>
      <w:bookmarkStart w:id="144" w:name="_Toc338944696"/>
      <w:bookmarkStart w:id="145" w:name="_Toc349730916"/>
      <w:bookmarkStart w:id="146" w:name="_Toc342294805"/>
      <w:bookmarkStart w:id="147" w:name="_Toc152042386"/>
      <w:bookmarkStart w:id="148" w:name="_Toc434331098"/>
      <w:bookmarkStart w:id="149" w:name="_Toc179632626"/>
      <w:bookmarkStart w:id="150" w:name="_Toc333599741"/>
      <w:bookmarkStart w:id="151" w:name="_Toc152045608"/>
      <w:bookmarkStart w:id="152" w:name="_Toc26214"/>
      <w:bookmarkStart w:id="153" w:name="_Toc342296253"/>
      <w:r>
        <w:rPr>
          <w:rFonts w:hint="eastAsia"/>
          <w:highlight w:val="none"/>
        </w:rPr>
        <w:t>3.4 评标结果</w:t>
      </w:r>
      <w:bookmarkEnd w:id="142"/>
      <w:bookmarkEnd w:id="143"/>
      <w:bookmarkEnd w:id="144"/>
      <w:bookmarkEnd w:id="145"/>
      <w:bookmarkEnd w:id="146"/>
      <w:bookmarkEnd w:id="147"/>
      <w:bookmarkEnd w:id="148"/>
      <w:bookmarkEnd w:id="149"/>
      <w:bookmarkEnd w:id="150"/>
      <w:bookmarkEnd w:id="151"/>
      <w:bookmarkEnd w:id="152"/>
      <w:bookmarkEnd w:id="153"/>
    </w:p>
    <w:p>
      <w:pPr>
        <w:spacing w:line="400" w:lineRule="exact"/>
        <w:ind w:firstLine="420" w:firstLineChars="200"/>
        <w:rPr>
          <w:highlight w:val="none"/>
        </w:rPr>
      </w:pPr>
      <w:r>
        <w:rPr>
          <w:rFonts w:hint="eastAsia"/>
          <w:highlight w:val="none"/>
        </w:rPr>
        <w:t>3.4.1除第二章“投标人须知”前附表授权直接确定中标人外，评标委员会按照得分由高到低的顺序推荐中标候选人。</w:t>
      </w:r>
    </w:p>
    <w:p>
      <w:pPr>
        <w:spacing w:line="400" w:lineRule="exact"/>
        <w:ind w:firstLine="420" w:firstLineChars="200"/>
        <w:rPr>
          <w:highlight w:val="none"/>
        </w:rPr>
      </w:pPr>
      <w:r>
        <w:rPr>
          <w:rFonts w:hint="eastAsia"/>
          <w:highlight w:val="none"/>
        </w:rPr>
        <w:t>3.4.2 评标委员会完成评标后，应当向招标人提交书面评标报告。</w:t>
      </w:r>
    </w:p>
    <w:p>
      <w:pPr>
        <w:spacing w:line="400" w:lineRule="exact"/>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ind w:firstLine="420" w:firstLineChars="200"/>
        <w:rPr>
          <w:rFonts w:ascii="Arial" w:hAnsi="Arial" w:cs="Arial"/>
          <w:highlight w:val="none"/>
        </w:rPr>
      </w:pPr>
    </w:p>
    <w:p>
      <w:pPr>
        <w:pStyle w:val="3"/>
        <w:rPr>
          <w:rFonts w:ascii="黑体" w:hAnsi="宋体" w:cs="Arial"/>
          <w:b w:val="0"/>
          <w:bCs w:val="0"/>
          <w:sz w:val="24"/>
          <w:highlight w:val="none"/>
        </w:rPr>
      </w:pPr>
      <w:r>
        <w:rPr>
          <w:rFonts w:cs="Arial"/>
          <w:highlight w:val="none"/>
        </w:rPr>
        <w:br w:type="page"/>
      </w:r>
      <w:bookmarkStart w:id="154" w:name="_Toc342296254"/>
      <w:bookmarkStart w:id="155" w:name="_Toc434331099"/>
      <w:bookmarkStart w:id="156" w:name="_Toc2269"/>
      <w:r>
        <w:rPr>
          <w:rFonts w:hint="eastAsia" w:ascii="黑体" w:hAnsi="宋体" w:cs="Arial"/>
          <w:b w:val="0"/>
          <w:bCs w:val="0"/>
          <w:sz w:val="24"/>
          <w:highlight w:val="none"/>
        </w:rPr>
        <w:t>附件</w:t>
      </w:r>
      <w:r>
        <w:rPr>
          <w:rFonts w:hint="eastAsia" w:ascii="宋体" w:hAnsi="宋体" w:cs="Arial"/>
          <w:b w:val="0"/>
          <w:sz w:val="24"/>
          <w:highlight w:val="none"/>
        </w:rPr>
        <w:t>A：</w:t>
      </w:r>
      <w:r>
        <w:rPr>
          <w:rFonts w:hint="eastAsia" w:ascii="黑体" w:hAnsi="宋体" w:cs="Arial"/>
          <w:b w:val="0"/>
          <w:bCs w:val="0"/>
          <w:sz w:val="24"/>
          <w:highlight w:val="none"/>
        </w:rPr>
        <w:t>评标详细程序</w:t>
      </w:r>
      <w:bookmarkEnd w:id="41"/>
      <w:bookmarkEnd w:id="154"/>
      <w:bookmarkEnd w:id="155"/>
      <w:bookmarkEnd w:id="156"/>
    </w:p>
    <w:p>
      <w:pPr>
        <w:spacing w:after="156" w:afterLines="50" w:line="400" w:lineRule="exact"/>
        <w:jc w:val="center"/>
        <w:rPr>
          <w:rFonts w:ascii="黑体" w:eastAsia="黑体" w:cs="Arial"/>
          <w:bCs/>
          <w:sz w:val="28"/>
          <w:szCs w:val="28"/>
          <w:highlight w:val="none"/>
        </w:rPr>
      </w:pPr>
      <w:r>
        <w:rPr>
          <w:rFonts w:hint="eastAsia" w:ascii="黑体" w:eastAsia="黑体" w:cs="Arial"/>
          <w:bCs/>
          <w:sz w:val="28"/>
          <w:szCs w:val="28"/>
          <w:highlight w:val="none"/>
        </w:rPr>
        <w:t>评标详细程序</w:t>
      </w:r>
    </w:p>
    <w:p>
      <w:pPr>
        <w:outlineLvl w:val="0"/>
        <w:rPr>
          <w:highlight w:val="none"/>
        </w:rPr>
      </w:pPr>
      <w:bookmarkStart w:id="157" w:name="_Toc28142"/>
      <w:bookmarkStart w:id="158" w:name="_Toc395686547"/>
      <w:bookmarkStart w:id="159" w:name="_Toc434331100"/>
      <w:r>
        <w:rPr>
          <w:rFonts w:hint="eastAsia"/>
          <w:b/>
          <w:highlight w:val="none"/>
        </w:rPr>
        <w:t>A0. 总  则</w:t>
      </w:r>
      <w:bookmarkEnd w:id="157"/>
      <w:bookmarkEnd w:id="158"/>
      <w:bookmarkEnd w:id="159"/>
    </w:p>
    <w:p>
      <w:pPr>
        <w:spacing w:line="400" w:lineRule="exact"/>
        <w:ind w:firstLine="420" w:firstLineChars="200"/>
        <w:rPr>
          <w:rFonts w:cs="Arial"/>
          <w:szCs w:val="21"/>
          <w:highlight w:val="none"/>
        </w:rPr>
      </w:pPr>
      <w:r>
        <w:rPr>
          <w:rFonts w:hint="eastAsia"/>
          <w:highlight w:val="none"/>
        </w:rPr>
        <w:t>本附件是本章“评标办法”的组成部分，是对</w:t>
      </w:r>
      <w:r>
        <w:rPr>
          <w:rFonts w:hint="eastAsia" w:ascii="Arial" w:hAnsi="Arial" w:cs="Arial"/>
          <w:szCs w:val="21"/>
          <w:highlight w:val="none"/>
        </w:rPr>
        <w:t>本章第3条所规定的评标程序的进一步细化，评标委员会应当按照本附件所规定的详细程序开展并完成评标工作。</w:t>
      </w:r>
    </w:p>
    <w:p>
      <w:pPr>
        <w:outlineLvl w:val="0"/>
        <w:rPr>
          <w:rFonts w:cs="Arial"/>
          <w:b/>
          <w:szCs w:val="21"/>
          <w:highlight w:val="none"/>
        </w:rPr>
      </w:pPr>
      <w:bookmarkStart w:id="160" w:name="_Toc434331101"/>
      <w:bookmarkStart w:id="161" w:name="_Toc395686548"/>
      <w:bookmarkStart w:id="162" w:name="_Toc3273"/>
      <w:r>
        <w:rPr>
          <w:rFonts w:hint="eastAsia" w:cs="Arial"/>
          <w:b/>
          <w:szCs w:val="21"/>
          <w:highlight w:val="none"/>
        </w:rPr>
        <w:t>A1. 基本程序</w:t>
      </w:r>
      <w:bookmarkEnd w:id="160"/>
      <w:bookmarkEnd w:id="161"/>
      <w:bookmarkEnd w:id="162"/>
    </w:p>
    <w:p>
      <w:pPr>
        <w:spacing w:line="400" w:lineRule="exact"/>
        <w:ind w:firstLine="359" w:firstLineChars="171"/>
        <w:rPr>
          <w:rFonts w:cs="Arial"/>
          <w:szCs w:val="21"/>
          <w:highlight w:val="none"/>
        </w:rPr>
      </w:pPr>
      <w:r>
        <w:rPr>
          <w:rFonts w:hint="eastAsia" w:cs="Arial"/>
          <w:szCs w:val="21"/>
          <w:highlight w:val="none"/>
        </w:rPr>
        <w:t>评标活动将按以下五个步骤进行：</w:t>
      </w:r>
    </w:p>
    <w:p>
      <w:pPr>
        <w:numPr>
          <w:ilvl w:val="0"/>
          <w:numId w:val="4"/>
        </w:numPr>
        <w:spacing w:line="400" w:lineRule="exact"/>
        <w:rPr>
          <w:rFonts w:cs="Arial"/>
          <w:szCs w:val="21"/>
          <w:highlight w:val="none"/>
        </w:rPr>
      </w:pPr>
      <w:r>
        <w:rPr>
          <w:rFonts w:hint="eastAsia" w:cs="Arial"/>
          <w:szCs w:val="21"/>
          <w:highlight w:val="none"/>
        </w:rPr>
        <w:t>评标准备；</w:t>
      </w:r>
    </w:p>
    <w:p>
      <w:pPr>
        <w:numPr>
          <w:ilvl w:val="0"/>
          <w:numId w:val="4"/>
        </w:numPr>
        <w:spacing w:line="400" w:lineRule="exact"/>
        <w:rPr>
          <w:rFonts w:cs="Arial"/>
          <w:szCs w:val="21"/>
          <w:highlight w:val="none"/>
        </w:rPr>
      </w:pPr>
      <w:r>
        <w:rPr>
          <w:rFonts w:hint="eastAsia" w:cs="Arial"/>
          <w:szCs w:val="21"/>
          <w:highlight w:val="none"/>
        </w:rPr>
        <w:t>初步评审；</w:t>
      </w:r>
    </w:p>
    <w:p>
      <w:pPr>
        <w:numPr>
          <w:ilvl w:val="0"/>
          <w:numId w:val="4"/>
        </w:numPr>
        <w:spacing w:line="400" w:lineRule="exact"/>
        <w:rPr>
          <w:rFonts w:cs="Arial"/>
          <w:szCs w:val="21"/>
          <w:highlight w:val="none"/>
        </w:rPr>
      </w:pPr>
      <w:r>
        <w:rPr>
          <w:rFonts w:hint="eastAsia" w:cs="Arial"/>
          <w:szCs w:val="21"/>
          <w:highlight w:val="none"/>
        </w:rPr>
        <w:t>详细评审；</w:t>
      </w:r>
    </w:p>
    <w:p>
      <w:pPr>
        <w:numPr>
          <w:ilvl w:val="0"/>
          <w:numId w:val="4"/>
        </w:numPr>
        <w:spacing w:line="400" w:lineRule="exact"/>
        <w:rPr>
          <w:rFonts w:cs="Arial"/>
          <w:szCs w:val="21"/>
          <w:highlight w:val="none"/>
        </w:rPr>
      </w:pPr>
      <w:r>
        <w:rPr>
          <w:rFonts w:hint="eastAsia" w:cs="Arial"/>
          <w:szCs w:val="21"/>
          <w:highlight w:val="none"/>
        </w:rPr>
        <w:t>澄清、说明或补正</w:t>
      </w:r>
    </w:p>
    <w:p>
      <w:pPr>
        <w:numPr>
          <w:ilvl w:val="0"/>
          <w:numId w:val="4"/>
        </w:numPr>
        <w:spacing w:line="400" w:lineRule="exact"/>
        <w:rPr>
          <w:rFonts w:cs="Arial"/>
          <w:szCs w:val="21"/>
          <w:highlight w:val="none"/>
        </w:rPr>
      </w:pPr>
      <w:r>
        <w:rPr>
          <w:rFonts w:hint="eastAsia" w:cs="Arial"/>
          <w:szCs w:val="21"/>
          <w:highlight w:val="none"/>
        </w:rPr>
        <w:t>推荐中标候选人或者直接确定中标人及提交评标报告。</w:t>
      </w:r>
    </w:p>
    <w:p>
      <w:pPr>
        <w:outlineLvl w:val="0"/>
        <w:rPr>
          <w:rFonts w:cs="Arial"/>
          <w:b/>
          <w:szCs w:val="21"/>
          <w:highlight w:val="none"/>
        </w:rPr>
      </w:pPr>
      <w:bookmarkStart w:id="163" w:name="_Toc434331102"/>
      <w:bookmarkStart w:id="164" w:name="_Toc27584"/>
      <w:bookmarkStart w:id="165" w:name="_Toc395686549"/>
      <w:r>
        <w:rPr>
          <w:rFonts w:hint="eastAsia" w:cs="Arial"/>
          <w:b/>
          <w:szCs w:val="21"/>
          <w:highlight w:val="none"/>
        </w:rPr>
        <w:t>A2. 评标准备</w:t>
      </w:r>
      <w:bookmarkEnd w:id="163"/>
      <w:bookmarkEnd w:id="164"/>
      <w:bookmarkEnd w:id="165"/>
    </w:p>
    <w:p>
      <w:pPr>
        <w:outlineLvl w:val="0"/>
        <w:rPr>
          <w:rFonts w:cs="Arial"/>
          <w:b/>
          <w:szCs w:val="21"/>
          <w:highlight w:val="none"/>
        </w:rPr>
      </w:pPr>
      <w:bookmarkStart w:id="166" w:name="_Toc395686550"/>
      <w:bookmarkStart w:id="167" w:name="_Toc434331103"/>
      <w:bookmarkStart w:id="168" w:name="_Toc27447"/>
      <w:r>
        <w:rPr>
          <w:rFonts w:hint="eastAsia" w:cs="Arial"/>
          <w:b/>
          <w:szCs w:val="21"/>
          <w:highlight w:val="none"/>
        </w:rPr>
        <w:t>A2.1评标委员会成员签到及签署声明</w:t>
      </w:r>
      <w:bookmarkEnd w:id="166"/>
      <w:bookmarkEnd w:id="167"/>
      <w:bookmarkEnd w:id="168"/>
    </w:p>
    <w:p>
      <w:pPr>
        <w:spacing w:line="400" w:lineRule="exact"/>
        <w:ind w:firstLine="315" w:firstLineChars="150"/>
        <w:rPr>
          <w:rFonts w:ascii="Arial" w:hAnsi="Arial" w:cs="Arial"/>
          <w:szCs w:val="21"/>
          <w:highlight w:val="none"/>
        </w:rPr>
      </w:pPr>
      <w:r>
        <w:rPr>
          <w:rFonts w:ascii="Arial" w:hAnsi="Arial" w:cs="Arial"/>
          <w:szCs w:val="21"/>
          <w:highlight w:val="none"/>
        </w:rPr>
        <w:t>评标委员会</w:t>
      </w:r>
      <w:r>
        <w:rPr>
          <w:rFonts w:hint="eastAsia" w:ascii="Arial" w:hAnsi="Arial" w:cs="Arial"/>
          <w:szCs w:val="21"/>
          <w:highlight w:val="none"/>
        </w:rPr>
        <w:t>成员</w:t>
      </w:r>
      <w:r>
        <w:rPr>
          <w:rFonts w:ascii="Arial" w:hAnsi="Arial" w:cs="Arial"/>
          <w:szCs w:val="21"/>
          <w:highlight w:val="none"/>
        </w:rPr>
        <w:t>到达评标现场时应在签到表上签到以证明其出席。评标委员会签到表见</w:t>
      </w:r>
      <w:r>
        <w:rPr>
          <w:rFonts w:ascii="Arial" w:hAnsi="Arial" w:cs="Arial"/>
          <w:b/>
          <w:szCs w:val="21"/>
          <w:highlight w:val="none"/>
        </w:rPr>
        <w:t>附表</w:t>
      </w:r>
      <w:r>
        <w:rPr>
          <w:rFonts w:hint="eastAsia" w:ascii="Arial" w:hAnsi="Arial" w:cs="Arial"/>
          <w:b/>
          <w:szCs w:val="21"/>
          <w:highlight w:val="none"/>
        </w:rPr>
        <w:t>A-</w:t>
      </w:r>
      <w:r>
        <w:rPr>
          <w:rFonts w:ascii="Arial" w:hAnsi="Arial" w:cs="Arial"/>
          <w:b/>
          <w:szCs w:val="21"/>
          <w:highlight w:val="none"/>
        </w:rPr>
        <w:t>1</w:t>
      </w:r>
      <w:r>
        <w:rPr>
          <w:rFonts w:ascii="Arial" w:hAnsi="Arial" w:cs="Arial"/>
          <w:szCs w:val="21"/>
          <w:highlight w:val="none"/>
        </w:rPr>
        <w:t>。</w:t>
      </w:r>
    </w:p>
    <w:p>
      <w:pPr>
        <w:spacing w:line="400" w:lineRule="exact"/>
        <w:ind w:firstLine="315" w:firstLineChars="150"/>
        <w:rPr>
          <w:rFonts w:ascii="Arial" w:hAnsi="Arial" w:cs="Arial"/>
          <w:szCs w:val="21"/>
          <w:highlight w:val="none"/>
        </w:rPr>
      </w:pPr>
      <w:r>
        <w:rPr>
          <w:rFonts w:ascii="Arial" w:hAnsi="Arial" w:cs="Arial"/>
          <w:bCs/>
          <w:kern w:val="0"/>
          <w:szCs w:val="21"/>
          <w:highlight w:val="none"/>
        </w:rPr>
        <w:t>评标委员会成员在评标前，应当</w:t>
      </w:r>
      <w:r>
        <w:rPr>
          <w:rFonts w:hint="eastAsia" w:ascii="Arial" w:hAnsi="Arial" w:cs="Arial"/>
          <w:bCs/>
          <w:kern w:val="0"/>
          <w:szCs w:val="21"/>
          <w:highlight w:val="none"/>
        </w:rPr>
        <w:t>使用</w:t>
      </w:r>
      <w:r>
        <w:rPr>
          <w:rFonts w:hint="eastAsia" w:ascii="Arial" w:hAnsi="Arial" w:cs="Arial"/>
          <w:b/>
          <w:szCs w:val="21"/>
          <w:highlight w:val="none"/>
        </w:rPr>
        <w:t>附表A-2</w:t>
      </w:r>
      <w:r>
        <w:rPr>
          <w:rFonts w:ascii="Arial" w:hAnsi="Arial" w:cs="Arial"/>
          <w:bCs/>
          <w:kern w:val="0"/>
          <w:szCs w:val="21"/>
          <w:highlight w:val="none"/>
        </w:rPr>
        <w:t>签署评标专家声明书</w:t>
      </w:r>
      <w:r>
        <w:rPr>
          <w:rFonts w:hint="eastAsia" w:ascii="Arial" w:hAnsi="Arial" w:cs="Arial"/>
          <w:bCs/>
          <w:kern w:val="0"/>
          <w:szCs w:val="21"/>
          <w:highlight w:val="none"/>
        </w:rPr>
        <w:t>。</w:t>
      </w:r>
      <w:r>
        <w:rPr>
          <w:rFonts w:ascii="Arial" w:hAnsi="Arial" w:cs="Arial"/>
          <w:bCs/>
          <w:kern w:val="0"/>
          <w:szCs w:val="21"/>
          <w:highlight w:val="none"/>
        </w:rPr>
        <w:t>声明本人</w:t>
      </w:r>
      <w:r>
        <w:rPr>
          <w:rFonts w:hint="eastAsia" w:ascii="Arial" w:hAnsi="Arial" w:cs="Arial"/>
          <w:bCs/>
          <w:kern w:val="0"/>
          <w:szCs w:val="21"/>
          <w:highlight w:val="none"/>
        </w:rPr>
        <w:t>不符合投标人须知第6.1.2项中约定的</w:t>
      </w:r>
      <w:r>
        <w:rPr>
          <w:rFonts w:ascii="Arial" w:hAnsi="Arial" w:cs="Arial"/>
          <w:bCs/>
          <w:kern w:val="0"/>
          <w:szCs w:val="21"/>
          <w:highlight w:val="none"/>
        </w:rPr>
        <w:t>应当回避情形，保证遵守有关评标管理规定以及评标纪律，客观、公正地进行评标，并接受</w:t>
      </w:r>
      <w:r>
        <w:rPr>
          <w:rFonts w:hint="eastAsia" w:ascii="Arial" w:hAnsi="Arial" w:cs="Arial"/>
          <w:bCs/>
          <w:kern w:val="0"/>
          <w:szCs w:val="21"/>
          <w:highlight w:val="none"/>
        </w:rPr>
        <w:t>招投标监管</w:t>
      </w:r>
      <w:r>
        <w:rPr>
          <w:rFonts w:ascii="Arial" w:hAnsi="Arial" w:cs="Arial"/>
          <w:bCs/>
          <w:kern w:val="0"/>
          <w:szCs w:val="21"/>
          <w:highlight w:val="none"/>
        </w:rPr>
        <w:t>部门的监督。</w:t>
      </w:r>
    </w:p>
    <w:p>
      <w:pPr>
        <w:outlineLvl w:val="0"/>
        <w:rPr>
          <w:rFonts w:cs="Arial"/>
          <w:b/>
          <w:szCs w:val="21"/>
          <w:highlight w:val="none"/>
        </w:rPr>
      </w:pPr>
      <w:bookmarkStart w:id="169" w:name="_Toc395686551"/>
      <w:bookmarkStart w:id="170" w:name="_Toc434331104"/>
      <w:bookmarkStart w:id="171" w:name="_Toc27375"/>
      <w:r>
        <w:rPr>
          <w:rFonts w:hint="eastAsia" w:cs="Arial"/>
          <w:b/>
          <w:szCs w:val="21"/>
          <w:highlight w:val="none"/>
        </w:rPr>
        <w:t>A2.2 评标委员会的分工</w:t>
      </w:r>
      <w:bookmarkEnd w:id="169"/>
      <w:bookmarkEnd w:id="170"/>
      <w:bookmarkEnd w:id="171"/>
    </w:p>
    <w:p>
      <w:pPr>
        <w:spacing w:line="400" w:lineRule="exact"/>
        <w:ind w:firstLine="359" w:firstLineChars="171"/>
        <w:rPr>
          <w:rFonts w:ascii="Arial" w:hAnsi="Arial" w:cs="Arial"/>
          <w:szCs w:val="21"/>
          <w:highlight w:val="none"/>
        </w:rPr>
      </w:pPr>
      <w:r>
        <w:rPr>
          <w:rFonts w:hint="eastAsia" w:ascii="Arial" w:hAnsi="Arial" w:cs="Arial"/>
          <w:bCs/>
          <w:kern w:val="0"/>
          <w:szCs w:val="21"/>
          <w:highlight w:val="none"/>
        </w:rPr>
        <w:t>A2.2.1</w:t>
      </w:r>
      <w:r>
        <w:rPr>
          <w:rFonts w:ascii="Arial" w:hAnsi="Arial" w:cs="Arial"/>
          <w:bCs/>
          <w:kern w:val="0"/>
          <w:szCs w:val="21"/>
          <w:highlight w:val="none"/>
        </w:rPr>
        <w:t>评标委员会首先推选一名</w:t>
      </w:r>
      <w:r>
        <w:rPr>
          <w:rFonts w:ascii="Arial" w:hAnsi="Arial" w:cs="Arial"/>
          <w:kern w:val="0"/>
          <w:szCs w:val="21"/>
          <w:highlight w:val="none"/>
        </w:rPr>
        <w:t>评标委员会</w:t>
      </w:r>
      <w:r>
        <w:rPr>
          <w:rFonts w:hint="eastAsia" w:ascii="Arial" w:hAnsi="Arial" w:cs="Arial"/>
          <w:kern w:val="0"/>
          <w:szCs w:val="21"/>
          <w:highlight w:val="none"/>
        </w:rPr>
        <w:t>负责人</w:t>
      </w:r>
      <w:r>
        <w:rPr>
          <w:rFonts w:ascii="Arial" w:hAnsi="Arial" w:cs="Arial"/>
          <w:kern w:val="0"/>
          <w:szCs w:val="21"/>
          <w:highlight w:val="none"/>
        </w:rPr>
        <w:t>。招标人也可以直接指定评标委员会</w:t>
      </w:r>
      <w:r>
        <w:rPr>
          <w:rFonts w:hint="eastAsia" w:ascii="Arial" w:hAnsi="Arial" w:cs="Arial"/>
          <w:kern w:val="0"/>
          <w:szCs w:val="21"/>
          <w:highlight w:val="none"/>
        </w:rPr>
        <w:t>负责人</w:t>
      </w:r>
      <w:r>
        <w:rPr>
          <w:rFonts w:ascii="Arial" w:hAnsi="Arial" w:cs="Arial"/>
          <w:kern w:val="0"/>
          <w:szCs w:val="21"/>
          <w:highlight w:val="none"/>
        </w:rPr>
        <w:t>。</w:t>
      </w:r>
      <w:r>
        <w:rPr>
          <w:rFonts w:ascii="Arial" w:hAnsi="Arial" w:cs="Arial"/>
          <w:bCs/>
          <w:kern w:val="0"/>
          <w:szCs w:val="21"/>
          <w:highlight w:val="none"/>
        </w:rPr>
        <w:t>评标委员会</w:t>
      </w:r>
      <w:r>
        <w:rPr>
          <w:rFonts w:hint="eastAsia" w:ascii="Arial" w:hAnsi="Arial" w:cs="Arial"/>
          <w:kern w:val="0"/>
          <w:szCs w:val="21"/>
          <w:highlight w:val="none"/>
        </w:rPr>
        <w:t>负责人</w:t>
      </w:r>
      <w:r>
        <w:rPr>
          <w:rFonts w:ascii="Arial" w:hAnsi="Arial" w:cs="Arial"/>
          <w:bCs/>
          <w:kern w:val="0"/>
          <w:szCs w:val="21"/>
          <w:highlight w:val="none"/>
        </w:rPr>
        <w:t>负责评标活动的组织领导工作。</w:t>
      </w:r>
      <w:r>
        <w:rPr>
          <w:rFonts w:ascii="Arial" w:hAnsi="Arial" w:cs="Arial"/>
          <w:kern w:val="0"/>
          <w:szCs w:val="21"/>
          <w:highlight w:val="none"/>
        </w:rPr>
        <w:t>评标委员会</w:t>
      </w:r>
      <w:r>
        <w:rPr>
          <w:rFonts w:hint="eastAsia" w:ascii="Arial" w:hAnsi="Arial" w:cs="Arial"/>
          <w:kern w:val="0"/>
          <w:szCs w:val="21"/>
          <w:highlight w:val="none"/>
        </w:rPr>
        <w:t>主任</w:t>
      </w:r>
      <w:r>
        <w:rPr>
          <w:rFonts w:ascii="Arial" w:hAnsi="Arial" w:cs="Arial"/>
          <w:szCs w:val="21"/>
          <w:highlight w:val="none"/>
        </w:rPr>
        <w:t>与评标委员会其他成员</w:t>
      </w:r>
      <w:r>
        <w:rPr>
          <w:rFonts w:hint="eastAsia" w:ascii="Arial" w:hAnsi="Arial" w:cs="Arial"/>
          <w:szCs w:val="21"/>
          <w:highlight w:val="none"/>
        </w:rPr>
        <w:t>具</w:t>
      </w:r>
      <w:r>
        <w:rPr>
          <w:rFonts w:ascii="Arial" w:hAnsi="Arial" w:cs="Arial"/>
          <w:szCs w:val="21"/>
          <w:highlight w:val="none"/>
        </w:rPr>
        <w:t>有同等的评标权力。</w:t>
      </w:r>
    </w:p>
    <w:p>
      <w:pPr>
        <w:spacing w:line="400" w:lineRule="exact"/>
        <w:ind w:firstLine="359" w:firstLineChars="171"/>
        <w:rPr>
          <w:rFonts w:cs="Arial"/>
          <w:bCs/>
          <w:kern w:val="0"/>
          <w:szCs w:val="21"/>
          <w:highlight w:val="none"/>
        </w:rPr>
      </w:pPr>
      <w:r>
        <w:rPr>
          <w:rFonts w:hint="eastAsia" w:ascii="Arial" w:hAnsi="Arial" w:cs="Arial"/>
          <w:bCs/>
          <w:kern w:val="0"/>
          <w:szCs w:val="21"/>
          <w:highlight w:val="none"/>
        </w:rPr>
        <w:t>A2.2.2</w:t>
      </w:r>
      <w:r>
        <w:rPr>
          <w:rFonts w:cs="Arial"/>
          <w:bCs/>
          <w:kern w:val="0"/>
          <w:szCs w:val="21"/>
          <w:highlight w:val="none"/>
        </w:rPr>
        <w:t>评标委员会</w:t>
      </w:r>
      <w:r>
        <w:rPr>
          <w:rFonts w:hint="eastAsia" w:ascii="Arial" w:hAnsi="Arial" w:cs="Arial"/>
          <w:kern w:val="0"/>
          <w:szCs w:val="21"/>
          <w:highlight w:val="none"/>
        </w:rPr>
        <w:t>负责人</w:t>
      </w:r>
      <w:r>
        <w:rPr>
          <w:rFonts w:hint="eastAsia" w:cs="Arial"/>
          <w:bCs/>
          <w:kern w:val="0"/>
          <w:szCs w:val="21"/>
          <w:highlight w:val="none"/>
        </w:rPr>
        <w:t>任</w:t>
      </w:r>
      <w:r>
        <w:rPr>
          <w:rFonts w:cs="Arial"/>
          <w:bCs/>
          <w:kern w:val="0"/>
          <w:szCs w:val="21"/>
          <w:highlight w:val="none"/>
        </w:rPr>
        <w:t>除履行自己作为评标委员会成员独立评标</w:t>
      </w:r>
      <w:r>
        <w:rPr>
          <w:rFonts w:hint="eastAsia" w:cs="Arial"/>
          <w:bCs/>
          <w:kern w:val="0"/>
          <w:szCs w:val="21"/>
          <w:highlight w:val="none"/>
        </w:rPr>
        <w:t>的</w:t>
      </w:r>
      <w:r>
        <w:rPr>
          <w:rFonts w:cs="Arial"/>
          <w:bCs/>
          <w:kern w:val="0"/>
          <w:szCs w:val="21"/>
          <w:highlight w:val="none"/>
        </w:rPr>
        <w:t xml:space="preserve">职责外，主要负责以下工作： </w:t>
      </w:r>
    </w:p>
    <w:p>
      <w:pPr>
        <w:numPr>
          <w:ilvl w:val="0"/>
          <w:numId w:val="5"/>
        </w:numPr>
        <w:spacing w:line="400" w:lineRule="exact"/>
        <w:rPr>
          <w:rFonts w:cs="Arial"/>
          <w:szCs w:val="21"/>
          <w:highlight w:val="none"/>
        </w:rPr>
      </w:pPr>
      <w:r>
        <w:rPr>
          <w:rFonts w:cs="Arial"/>
          <w:szCs w:val="21"/>
          <w:highlight w:val="none"/>
        </w:rPr>
        <w:t>组织评标委员会成员学习招标文件</w:t>
      </w:r>
      <w:r>
        <w:rPr>
          <w:rFonts w:hint="eastAsia" w:cs="Arial"/>
          <w:szCs w:val="21"/>
          <w:highlight w:val="none"/>
        </w:rPr>
        <w:t>中载明的评标标准和方法；</w:t>
      </w:r>
    </w:p>
    <w:p>
      <w:pPr>
        <w:numPr>
          <w:ilvl w:val="0"/>
          <w:numId w:val="5"/>
        </w:numPr>
        <w:spacing w:line="400" w:lineRule="exact"/>
        <w:ind w:left="0" w:firstLine="359"/>
        <w:rPr>
          <w:rFonts w:cs="Arial"/>
          <w:szCs w:val="21"/>
          <w:highlight w:val="none"/>
        </w:rPr>
      </w:pPr>
      <w:r>
        <w:rPr>
          <w:rFonts w:cs="Arial"/>
          <w:szCs w:val="21"/>
          <w:highlight w:val="none"/>
        </w:rPr>
        <w:t>提醒招标人做好评标准备工作，包括提供所需的评标基础资料</w:t>
      </w:r>
      <w:r>
        <w:rPr>
          <w:rFonts w:hint="eastAsia" w:cs="Arial"/>
          <w:szCs w:val="21"/>
          <w:highlight w:val="none"/>
        </w:rPr>
        <w:t>、实行暗标评审的应除去能够识别投标人身份的信息等；</w:t>
      </w:r>
    </w:p>
    <w:p>
      <w:pPr>
        <w:numPr>
          <w:ilvl w:val="0"/>
          <w:numId w:val="5"/>
        </w:numPr>
        <w:spacing w:line="400" w:lineRule="exact"/>
        <w:ind w:left="0" w:firstLine="359"/>
        <w:rPr>
          <w:rFonts w:cs="Arial"/>
          <w:szCs w:val="21"/>
          <w:highlight w:val="none"/>
        </w:rPr>
      </w:pPr>
      <w:r>
        <w:rPr>
          <w:rFonts w:cs="Arial"/>
          <w:szCs w:val="21"/>
          <w:highlight w:val="none"/>
        </w:rPr>
        <w:t>汇总各评标委员会成员认为需要投标人澄清、说明或者补正的问题</w:t>
      </w:r>
      <w:r>
        <w:rPr>
          <w:rFonts w:hint="eastAsia" w:cs="Arial"/>
          <w:szCs w:val="21"/>
          <w:highlight w:val="none"/>
        </w:rPr>
        <w:t>，</w:t>
      </w:r>
      <w:r>
        <w:rPr>
          <w:rFonts w:cs="Arial"/>
          <w:szCs w:val="21"/>
          <w:highlight w:val="none"/>
        </w:rPr>
        <w:t>组织评标委员会对投标人质询并对投标人的答复进行评审</w:t>
      </w:r>
      <w:r>
        <w:rPr>
          <w:rFonts w:hint="eastAsia" w:cs="Arial"/>
          <w:szCs w:val="21"/>
          <w:highlight w:val="none"/>
        </w:rPr>
        <w:t>；</w:t>
      </w:r>
    </w:p>
    <w:p>
      <w:pPr>
        <w:numPr>
          <w:ilvl w:val="0"/>
          <w:numId w:val="5"/>
        </w:numPr>
        <w:spacing w:line="400" w:lineRule="exact"/>
        <w:ind w:left="0" w:firstLine="359"/>
        <w:rPr>
          <w:rFonts w:cs="Arial"/>
          <w:szCs w:val="21"/>
          <w:highlight w:val="none"/>
        </w:rPr>
      </w:pPr>
      <w:r>
        <w:rPr>
          <w:rFonts w:cs="Arial"/>
          <w:szCs w:val="21"/>
          <w:highlight w:val="none"/>
        </w:rPr>
        <w:t>对出现较大争议的事项进行书面记录</w:t>
      </w:r>
      <w:r>
        <w:rPr>
          <w:rFonts w:hint="eastAsia" w:cs="Arial"/>
          <w:szCs w:val="21"/>
          <w:highlight w:val="none"/>
        </w:rPr>
        <w:t>；</w:t>
      </w:r>
    </w:p>
    <w:p>
      <w:pPr>
        <w:numPr>
          <w:ilvl w:val="0"/>
          <w:numId w:val="5"/>
        </w:numPr>
        <w:spacing w:line="400" w:lineRule="exact"/>
        <w:ind w:left="0" w:firstLine="359"/>
        <w:rPr>
          <w:rFonts w:cs="Arial"/>
          <w:szCs w:val="21"/>
          <w:highlight w:val="none"/>
        </w:rPr>
      </w:pPr>
      <w:r>
        <w:rPr>
          <w:rFonts w:cs="Arial"/>
          <w:szCs w:val="21"/>
          <w:highlight w:val="none"/>
        </w:rPr>
        <w:t>查验</w:t>
      </w:r>
      <w:r>
        <w:rPr>
          <w:rFonts w:hint="eastAsia" w:cs="Arial"/>
          <w:szCs w:val="21"/>
          <w:highlight w:val="none"/>
        </w:rPr>
        <w:t>评标用表格和评标记录的</w:t>
      </w:r>
      <w:r>
        <w:rPr>
          <w:rFonts w:cs="Arial"/>
          <w:szCs w:val="21"/>
          <w:highlight w:val="none"/>
        </w:rPr>
        <w:t>完整性及有效性</w:t>
      </w:r>
      <w:r>
        <w:rPr>
          <w:rFonts w:hint="eastAsia" w:cs="Arial"/>
          <w:szCs w:val="21"/>
          <w:highlight w:val="none"/>
        </w:rPr>
        <w:t>；</w:t>
      </w:r>
    </w:p>
    <w:p>
      <w:pPr>
        <w:numPr>
          <w:ilvl w:val="0"/>
          <w:numId w:val="5"/>
        </w:numPr>
        <w:spacing w:line="400" w:lineRule="exact"/>
        <w:ind w:left="0" w:firstLine="359"/>
        <w:rPr>
          <w:rFonts w:cs="Arial"/>
          <w:szCs w:val="21"/>
          <w:highlight w:val="none"/>
        </w:rPr>
      </w:pPr>
      <w:r>
        <w:rPr>
          <w:rFonts w:hint="eastAsia" w:cs="Arial"/>
          <w:szCs w:val="21"/>
          <w:highlight w:val="none"/>
        </w:rPr>
        <w:t>组织对评标结论进行复核确认；</w:t>
      </w:r>
    </w:p>
    <w:p>
      <w:pPr>
        <w:numPr>
          <w:ilvl w:val="0"/>
          <w:numId w:val="5"/>
        </w:numPr>
        <w:spacing w:line="400" w:lineRule="exact"/>
        <w:ind w:left="0" w:firstLine="359"/>
        <w:rPr>
          <w:rFonts w:cs="Arial"/>
          <w:szCs w:val="21"/>
          <w:highlight w:val="none"/>
        </w:rPr>
      </w:pPr>
      <w:r>
        <w:rPr>
          <w:rFonts w:cs="Arial"/>
          <w:szCs w:val="21"/>
          <w:highlight w:val="none"/>
        </w:rPr>
        <w:t>组织编写评标报告</w:t>
      </w:r>
      <w:r>
        <w:rPr>
          <w:rFonts w:hint="eastAsia" w:cs="Arial"/>
          <w:szCs w:val="21"/>
          <w:highlight w:val="none"/>
        </w:rPr>
        <w:t>，推荐中标候选人</w:t>
      </w:r>
      <w:r>
        <w:rPr>
          <w:rFonts w:cs="Arial"/>
          <w:szCs w:val="21"/>
          <w:highlight w:val="none"/>
        </w:rPr>
        <w:t>。</w:t>
      </w:r>
    </w:p>
    <w:p>
      <w:pPr>
        <w:spacing w:line="400" w:lineRule="exact"/>
        <w:ind w:firstLine="359" w:firstLineChars="171"/>
        <w:rPr>
          <w:rFonts w:ascii="Arial" w:hAnsi="Arial" w:cs="Arial"/>
          <w:szCs w:val="21"/>
          <w:highlight w:val="none"/>
        </w:rPr>
      </w:pPr>
      <w:r>
        <w:rPr>
          <w:rFonts w:hint="eastAsia" w:ascii="Arial" w:hAnsi="Arial" w:cs="Arial"/>
          <w:bCs/>
          <w:kern w:val="0"/>
          <w:szCs w:val="21"/>
          <w:highlight w:val="none"/>
        </w:rPr>
        <w:t>A2.2.3</w:t>
      </w:r>
      <w:r>
        <w:rPr>
          <w:rFonts w:ascii="Arial" w:hAnsi="Arial" w:cs="Arial"/>
          <w:kern w:val="0"/>
          <w:szCs w:val="21"/>
          <w:highlight w:val="none"/>
        </w:rPr>
        <w:t>评标委员会主任在与</w:t>
      </w:r>
      <w:r>
        <w:rPr>
          <w:rFonts w:hint="eastAsia" w:ascii="Arial" w:hAnsi="Arial" w:cs="Arial"/>
          <w:kern w:val="0"/>
          <w:szCs w:val="21"/>
          <w:highlight w:val="none"/>
        </w:rPr>
        <w:t>其他</w:t>
      </w:r>
      <w:r>
        <w:rPr>
          <w:rFonts w:ascii="Arial" w:hAnsi="Arial" w:cs="Arial"/>
          <w:kern w:val="0"/>
          <w:szCs w:val="21"/>
          <w:highlight w:val="none"/>
        </w:rPr>
        <w:t>评标委员会成员商议的基础上</w:t>
      </w:r>
      <w:r>
        <w:rPr>
          <w:rFonts w:hint="eastAsia" w:ascii="Arial" w:hAnsi="Arial" w:cs="Arial"/>
          <w:kern w:val="0"/>
          <w:szCs w:val="21"/>
          <w:highlight w:val="none"/>
        </w:rPr>
        <w:t>可以</w:t>
      </w:r>
      <w:r>
        <w:rPr>
          <w:rFonts w:ascii="Arial" w:hAnsi="Arial" w:cs="Arial"/>
          <w:kern w:val="0"/>
          <w:szCs w:val="21"/>
          <w:highlight w:val="none"/>
        </w:rPr>
        <w:t>将评标委员会划分为技术组和商务组。</w:t>
      </w:r>
    </w:p>
    <w:p>
      <w:pPr>
        <w:outlineLvl w:val="0"/>
        <w:rPr>
          <w:rFonts w:cs="Arial"/>
          <w:b/>
          <w:szCs w:val="21"/>
          <w:highlight w:val="none"/>
        </w:rPr>
      </w:pPr>
      <w:r>
        <w:rPr>
          <w:rFonts w:hint="eastAsia" w:ascii="Arial" w:hAnsi="Arial" w:cs="Arial"/>
          <w:kern w:val="0"/>
          <w:szCs w:val="21"/>
          <w:highlight w:val="none"/>
        </w:rPr>
        <w:t xml:space="preserve">   </w:t>
      </w:r>
      <w:bookmarkStart w:id="172" w:name="_Toc395686552"/>
      <w:bookmarkStart w:id="173" w:name="_Toc14300"/>
      <w:bookmarkStart w:id="174" w:name="_Toc434331105"/>
      <w:r>
        <w:rPr>
          <w:rFonts w:hint="eastAsia" w:cs="Arial"/>
          <w:b/>
          <w:szCs w:val="21"/>
          <w:highlight w:val="none"/>
        </w:rPr>
        <w:t>A2.3 熟悉文件资料</w:t>
      </w:r>
      <w:bookmarkEnd w:id="172"/>
      <w:bookmarkEnd w:id="173"/>
      <w:bookmarkEnd w:id="174"/>
    </w:p>
    <w:p>
      <w:pPr>
        <w:autoSpaceDE w:val="0"/>
        <w:autoSpaceDN w:val="0"/>
        <w:adjustRightInd w:val="0"/>
        <w:spacing w:line="400" w:lineRule="exact"/>
        <w:ind w:firstLine="359" w:firstLineChars="171"/>
        <w:jc w:val="left"/>
        <w:rPr>
          <w:rFonts w:cs="Arial"/>
          <w:szCs w:val="21"/>
          <w:highlight w:val="none"/>
        </w:rPr>
      </w:pPr>
      <w:r>
        <w:rPr>
          <w:rFonts w:hint="eastAsia" w:ascii="Arial" w:hAnsi="Arial" w:cs="Arial"/>
          <w:bCs/>
          <w:kern w:val="0"/>
          <w:szCs w:val="21"/>
          <w:highlight w:val="none"/>
        </w:rPr>
        <w:t xml:space="preserve">A2.3.1 </w:t>
      </w:r>
      <w:r>
        <w:rPr>
          <w:rFonts w:ascii="Arial" w:hAnsi="Arial" w:cs="Arial"/>
          <w:bCs/>
          <w:kern w:val="0"/>
          <w:szCs w:val="21"/>
          <w:highlight w:val="none"/>
        </w:rPr>
        <w:t>评标委员会主任应组织评标委员会成员认真研究招标文件，了解和熟悉招标目的、招标范围、主要合同条件、技术标准</w:t>
      </w:r>
      <w:r>
        <w:rPr>
          <w:rFonts w:hint="eastAsia" w:ascii="Arial" w:hAnsi="Arial" w:cs="Arial"/>
          <w:bCs/>
          <w:kern w:val="0"/>
          <w:szCs w:val="21"/>
          <w:highlight w:val="none"/>
        </w:rPr>
        <w:t>和要求、质量标准</w:t>
      </w:r>
      <w:r>
        <w:rPr>
          <w:rFonts w:ascii="Arial" w:hAnsi="Arial" w:cs="Arial"/>
          <w:bCs/>
          <w:kern w:val="0"/>
          <w:szCs w:val="21"/>
          <w:highlight w:val="none"/>
        </w:rPr>
        <w:t>和工期要求，掌握评标标准和方法，熟悉本</w:t>
      </w:r>
      <w:r>
        <w:rPr>
          <w:rFonts w:hint="eastAsia" w:ascii="Arial" w:hAnsi="Arial" w:cs="Arial"/>
          <w:bCs/>
          <w:kern w:val="0"/>
          <w:szCs w:val="21"/>
          <w:highlight w:val="none"/>
        </w:rPr>
        <w:t>章及附件</w:t>
      </w:r>
      <w:r>
        <w:rPr>
          <w:rFonts w:ascii="Arial" w:hAnsi="Arial" w:cs="Arial"/>
          <w:bCs/>
          <w:kern w:val="0"/>
          <w:szCs w:val="21"/>
          <w:highlight w:val="none"/>
        </w:rPr>
        <w:t>中包括的评标表格的使用，如果本</w:t>
      </w:r>
      <w:r>
        <w:rPr>
          <w:rFonts w:hint="eastAsia" w:ascii="Arial" w:hAnsi="Arial" w:cs="Arial"/>
          <w:bCs/>
          <w:kern w:val="0"/>
          <w:szCs w:val="21"/>
          <w:highlight w:val="none"/>
        </w:rPr>
        <w:t>章及附件</w:t>
      </w:r>
      <w:r>
        <w:rPr>
          <w:rFonts w:ascii="Arial" w:hAnsi="Arial" w:cs="Arial"/>
          <w:bCs/>
          <w:kern w:val="0"/>
          <w:szCs w:val="21"/>
          <w:highlight w:val="none"/>
        </w:rPr>
        <w:t>所附的表格不能满足评标所需时，评标委员会应补充编制评标所需的表格，尤其是用于详细分析计算的表格。未在</w:t>
      </w:r>
      <w:r>
        <w:rPr>
          <w:rFonts w:hint="eastAsia" w:ascii="Arial" w:hAnsi="Arial" w:cs="Arial"/>
          <w:bCs/>
          <w:kern w:val="0"/>
          <w:szCs w:val="21"/>
          <w:highlight w:val="none"/>
        </w:rPr>
        <w:t>招标文件中</w:t>
      </w:r>
      <w:r>
        <w:rPr>
          <w:rFonts w:ascii="Arial" w:hAnsi="Arial" w:cs="Arial"/>
          <w:bCs/>
          <w:kern w:val="0"/>
          <w:szCs w:val="21"/>
          <w:highlight w:val="none"/>
        </w:rPr>
        <w:t>规定的标准和方法不得作为评标的依据。</w:t>
      </w:r>
    </w:p>
    <w:p>
      <w:pPr>
        <w:spacing w:line="400" w:lineRule="exact"/>
        <w:ind w:firstLine="359" w:firstLineChars="171"/>
        <w:rPr>
          <w:rFonts w:ascii="Arial" w:hAnsi="Arial" w:cs="Arial"/>
          <w:bCs/>
          <w:kern w:val="0"/>
          <w:szCs w:val="21"/>
          <w:highlight w:val="none"/>
        </w:rPr>
      </w:pPr>
      <w:r>
        <w:rPr>
          <w:rFonts w:hint="eastAsia" w:ascii="Arial" w:hAnsi="Arial" w:cs="Arial"/>
          <w:bCs/>
          <w:kern w:val="0"/>
          <w:szCs w:val="21"/>
          <w:highlight w:val="none"/>
        </w:rPr>
        <w:t xml:space="preserve">A2.3.2 </w:t>
      </w:r>
      <w:r>
        <w:rPr>
          <w:rFonts w:ascii="Arial" w:hAnsi="Arial" w:cs="Arial"/>
          <w:bCs/>
          <w:kern w:val="0"/>
          <w:szCs w:val="21"/>
          <w:highlight w:val="none"/>
        </w:rPr>
        <w:t>招标人或招标代理机构应向评标委员会提供评标所需的信息和数据，包括</w:t>
      </w:r>
      <w:r>
        <w:rPr>
          <w:rFonts w:hint="eastAsia" w:ascii="Arial" w:hAnsi="Arial" w:cs="Arial"/>
          <w:bCs/>
          <w:kern w:val="0"/>
          <w:szCs w:val="21"/>
          <w:highlight w:val="none"/>
        </w:rPr>
        <w:t>：</w:t>
      </w:r>
    </w:p>
    <w:p>
      <w:pPr>
        <w:numPr>
          <w:ilvl w:val="0"/>
          <w:numId w:val="6"/>
        </w:numPr>
        <w:spacing w:line="400" w:lineRule="exact"/>
        <w:ind w:left="0" w:firstLine="359"/>
        <w:rPr>
          <w:rFonts w:cs="Arial"/>
          <w:szCs w:val="21"/>
          <w:highlight w:val="none"/>
        </w:rPr>
      </w:pPr>
      <w:r>
        <w:rPr>
          <w:rFonts w:hint="eastAsia" w:cs="Arial"/>
          <w:szCs w:val="21"/>
          <w:highlight w:val="none"/>
        </w:rPr>
        <w:t>经招投标监管部门备案的</w:t>
      </w:r>
      <w:r>
        <w:rPr>
          <w:rFonts w:cs="Arial"/>
          <w:szCs w:val="21"/>
          <w:highlight w:val="none"/>
        </w:rPr>
        <w:t>招标文件</w:t>
      </w:r>
      <w:r>
        <w:rPr>
          <w:rFonts w:hint="eastAsia" w:cs="Arial"/>
          <w:szCs w:val="21"/>
          <w:highlight w:val="none"/>
        </w:rPr>
        <w:t>及其澄清修改或补充文件；</w:t>
      </w:r>
    </w:p>
    <w:p>
      <w:pPr>
        <w:numPr>
          <w:ilvl w:val="0"/>
          <w:numId w:val="6"/>
        </w:numPr>
        <w:spacing w:line="400" w:lineRule="exact"/>
        <w:ind w:left="0" w:firstLine="359"/>
        <w:rPr>
          <w:rFonts w:cs="Arial"/>
          <w:szCs w:val="21"/>
          <w:highlight w:val="none"/>
        </w:rPr>
      </w:pPr>
      <w:r>
        <w:rPr>
          <w:rFonts w:cs="Arial"/>
          <w:szCs w:val="21"/>
          <w:highlight w:val="none"/>
        </w:rPr>
        <w:t>未在开标会上当场拒绝的各投标文件</w:t>
      </w:r>
      <w:r>
        <w:rPr>
          <w:rFonts w:hint="eastAsia" w:cs="Arial"/>
          <w:szCs w:val="21"/>
          <w:highlight w:val="none"/>
        </w:rPr>
        <w:t>；</w:t>
      </w:r>
    </w:p>
    <w:p>
      <w:pPr>
        <w:numPr>
          <w:ilvl w:val="0"/>
          <w:numId w:val="6"/>
        </w:numPr>
        <w:spacing w:line="400" w:lineRule="exact"/>
        <w:ind w:left="0" w:firstLine="359"/>
        <w:rPr>
          <w:rFonts w:cs="Arial"/>
          <w:szCs w:val="21"/>
          <w:highlight w:val="none"/>
        </w:rPr>
      </w:pPr>
      <w:r>
        <w:rPr>
          <w:rFonts w:cs="Arial"/>
          <w:szCs w:val="21"/>
          <w:highlight w:val="none"/>
        </w:rPr>
        <w:t>开标会记录</w:t>
      </w:r>
      <w:r>
        <w:rPr>
          <w:rFonts w:hint="eastAsia" w:cs="Arial"/>
          <w:szCs w:val="21"/>
          <w:highlight w:val="none"/>
        </w:rPr>
        <w:t>；</w:t>
      </w:r>
    </w:p>
    <w:p>
      <w:pPr>
        <w:numPr>
          <w:ilvl w:val="0"/>
          <w:numId w:val="6"/>
        </w:numPr>
        <w:spacing w:line="400" w:lineRule="exact"/>
        <w:ind w:left="0" w:firstLine="359"/>
        <w:rPr>
          <w:rFonts w:cs="Arial"/>
          <w:szCs w:val="21"/>
          <w:highlight w:val="none"/>
        </w:rPr>
      </w:pPr>
      <w:r>
        <w:rPr>
          <w:rFonts w:hint="eastAsia" w:cs="Arial"/>
          <w:szCs w:val="21"/>
          <w:highlight w:val="none"/>
        </w:rPr>
        <w:t>资格预审文件及</w:t>
      </w:r>
      <w:r>
        <w:rPr>
          <w:rFonts w:cs="Arial"/>
          <w:szCs w:val="21"/>
          <w:highlight w:val="none"/>
        </w:rPr>
        <w:t>各投标人在资格预审阶段递交的资格预审</w:t>
      </w:r>
      <w:r>
        <w:rPr>
          <w:rFonts w:hint="eastAsia" w:cs="Arial"/>
          <w:szCs w:val="21"/>
          <w:highlight w:val="none"/>
        </w:rPr>
        <w:t>申请</w:t>
      </w:r>
      <w:r>
        <w:rPr>
          <w:rFonts w:cs="Arial"/>
          <w:szCs w:val="21"/>
          <w:highlight w:val="none"/>
        </w:rPr>
        <w:t>文件</w:t>
      </w:r>
      <w:r>
        <w:rPr>
          <w:rFonts w:hint="eastAsia" w:cs="Arial"/>
          <w:szCs w:val="21"/>
          <w:highlight w:val="none"/>
        </w:rPr>
        <w:t>及经招投标监管部门备案登记的投标资格登记表</w:t>
      </w:r>
      <w:r>
        <w:rPr>
          <w:rFonts w:cs="Arial"/>
          <w:szCs w:val="21"/>
          <w:highlight w:val="none"/>
        </w:rPr>
        <w:t>（</w:t>
      </w:r>
      <w:r>
        <w:rPr>
          <w:rFonts w:hint="eastAsia" w:cs="Arial"/>
          <w:szCs w:val="21"/>
          <w:highlight w:val="none"/>
        </w:rPr>
        <w:t>适用于已进行资格预审的</w:t>
      </w:r>
      <w:r>
        <w:rPr>
          <w:rFonts w:cs="Arial"/>
          <w:szCs w:val="21"/>
          <w:highlight w:val="none"/>
        </w:rPr>
        <w:t>）</w:t>
      </w:r>
      <w:r>
        <w:rPr>
          <w:rFonts w:hint="eastAsia" w:cs="Arial"/>
          <w:szCs w:val="21"/>
          <w:highlight w:val="none"/>
        </w:rPr>
        <w:t>；</w:t>
      </w:r>
    </w:p>
    <w:p>
      <w:pPr>
        <w:numPr>
          <w:ilvl w:val="0"/>
          <w:numId w:val="6"/>
        </w:numPr>
        <w:spacing w:line="400" w:lineRule="exact"/>
        <w:ind w:left="0" w:firstLine="359"/>
        <w:rPr>
          <w:rFonts w:cs="Arial"/>
          <w:szCs w:val="21"/>
          <w:highlight w:val="none"/>
        </w:rPr>
      </w:pPr>
      <w:r>
        <w:rPr>
          <w:rFonts w:hint="eastAsia" w:cs="Arial"/>
          <w:szCs w:val="21"/>
          <w:highlight w:val="none"/>
        </w:rPr>
        <w:t>资格预审文件及其澄清修改或补充文件</w:t>
      </w:r>
      <w:r>
        <w:rPr>
          <w:rFonts w:cs="Arial"/>
          <w:szCs w:val="21"/>
          <w:highlight w:val="none"/>
        </w:rPr>
        <w:t>（</w:t>
      </w:r>
      <w:r>
        <w:rPr>
          <w:rFonts w:hint="eastAsia" w:cs="Arial"/>
          <w:szCs w:val="21"/>
          <w:highlight w:val="none"/>
        </w:rPr>
        <w:t>适用于已进行资格预审的</w:t>
      </w:r>
      <w:r>
        <w:rPr>
          <w:rFonts w:cs="Arial"/>
          <w:szCs w:val="21"/>
          <w:highlight w:val="none"/>
        </w:rPr>
        <w:t>）</w:t>
      </w:r>
      <w:r>
        <w:rPr>
          <w:rFonts w:hint="eastAsia" w:cs="Arial"/>
          <w:szCs w:val="21"/>
          <w:highlight w:val="none"/>
        </w:rPr>
        <w:t>；</w:t>
      </w:r>
    </w:p>
    <w:p>
      <w:pPr>
        <w:numPr>
          <w:ilvl w:val="0"/>
          <w:numId w:val="6"/>
        </w:numPr>
        <w:spacing w:line="400" w:lineRule="exact"/>
        <w:ind w:left="0" w:firstLine="359"/>
        <w:rPr>
          <w:rFonts w:cs="Arial"/>
          <w:szCs w:val="21"/>
          <w:highlight w:val="none"/>
        </w:rPr>
      </w:pPr>
      <w:r>
        <w:rPr>
          <w:rFonts w:cs="Arial"/>
          <w:szCs w:val="21"/>
          <w:highlight w:val="none"/>
        </w:rPr>
        <w:t>资格预审评审报告（</w:t>
      </w:r>
      <w:r>
        <w:rPr>
          <w:rFonts w:hint="eastAsia" w:cs="Arial"/>
          <w:szCs w:val="21"/>
          <w:highlight w:val="none"/>
        </w:rPr>
        <w:t>适用于已进行资格预审的且投标人在资格预审后更换项目经理的</w:t>
      </w:r>
      <w:r>
        <w:rPr>
          <w:rFonts w:cs="Arial"/>
          <w:szCs w:val="21"/>
          <w:highlight w:val="none"/>
        </w:rPr>
        <w:t>）</w:t>
      </w:r>
      <w:r>
        <w:rPr>
          <w:rFonts w:hint="eastAsia" w:cs="Arial"/>
          <w:szCs w:val="21"/>
          <w:highlight w:val="none"/>
        </w:rPr>
        <w:t>；</w:t>
      </w:r>
    </w:p>
    <w:p>
      <w:pPr>
        <w:numPr>
          <w:ilvl w:val="0"/>
          <w:numId w:val="6"/>
        </w:numPr>
        <w:spacing w:line="400" w:lineRule="exact"/>
        <w:ind w:left="0" w:firstLine="359"/>
        <w:rPr>
          <w:rFonts w:cs="Arial"/>
          <w:szCs w:val="21"/>
          <w:highlight w:val="none"/>
        </w:rPr>
      </w:pPr>
      <w:r>
        <w:rPr>
          <w:rFonts w:cs="Arial"/>
          <w:szCs w:val="21"/>
          <w:highlight w:val="none"/>
        </w:rPr>
        <w:t>在投标截止时间前递交的投标人变更项目</w:t>
      </w:r>
      <w:r>
        <w:rPr>
          <w:rFonts w:hint="eastAsia" w:cs="Arial"/>
          <w:szCs w:val="21"/>
          <w:highlight w:val="none"/>
        </w:rPr>
        <w:t>经理</w:t>
      </w:r>
      <w:r>
        <w:rPr>
          <w:rFonts w:cs="Arial"/>
          <w:szCs w:val="21"/>
          <w:highlight w:val="none"/>
        </w:rPr>
        <w:t>申请、招标人同意变更项目</w:t>
      </w:r>
      <w:r>
        <w:rPr>
          <w:rFonts w:hint="eastAsia" w:cs="Arial"/>
          <w:szCs w:val="21"/>
          <w:highlight w:val="none"/>
        </w:rPr>
        <w:t>经理</w:t>
      </w:r>
      <w:r>
        <w:rPr>
          <w:rFonts w:cs="Arial"/>
          <w:szCs w:val="21"/>
          <w:highlight w:val="none"/>
        </w:rPr>
        <w:t>的书面意见</w:t>
      </w:r>
      <w:r>
        <w:rPr>
          <w:rFonts w:hint="eastAsia" w:cs="Arial"/>
          <w:szCs w:val="21"/>
          <w:highlight w:val="none"/>
        </w:rPr>
        <w:t>（如有）；</w:t>
      </w:r>
    </w:p>
    <w:p>
      <w:pPr>
        <w:numPr>
          <w:ilvl w:val="0"/>
          <w:numId w:val="6"/>
        </w:numPr>
        <w:spacing w:line="400" w:lineRule="exact"/>
        <w:ind w:left="0" w:firstLine="359"/>
        <w:rPr>
          <w:rFonts w:cs="Arial"/>
          <w:szCs w:val="21"/>
          <w:highlight w:val="none"/>
        </w:rPr>
      </w:pPr>
      <w:r>
        <w:rPr>
          <w:rFonts w:hint="eastAsia" w:cs="Arial"/>
          <w:szCs w:val="21"/>
          <w:highlight w:val="none"/>
        </w:rPr>
        <w:t>工程招标控制价（如有）或</w:t>
      </w:r>
      <w:r>
        <w:rPr>
          <w:rFonts w:cs="Arial"/>
          <w:szCs w:val="21"/>
          <w:highlight w:val="none"/>
        </w:rPr>
        <w:t>标底</w:t>
      </w:r>
      <w:r>
        <w:rPr>
          <w:rFonts w:hint="eastAsia" w:cs="Arial"/>
          <w:szCs w:val="21"/>
          <w:highlight w:val="none"/>
        </w:rPr>
        <w:t>（如有）；</w:t>
      </w:r>
    </w:p>
    <w:p>
      <w:pPr>
        <w:numPr>
          <w:ilvl w:val="0"/>
          <w:numId w:val="6"/>
        </w:numPr>
        <w:spacing w:line="400" w:lineRule="exact"/>
        <w:ind w:left="0" w:firstLine="359"/>
        <w:rPr>
          <w:rFonts w:cs="Arial"/>
          <w:szCs w:val="21"/>
          <w:highlight w:val="none"/>
        </w:rPr>
      </w:pPr>
      <w:r>
        <w:rPr>
          <w:rFonts w:hint="eastAsia" w:cs="Arial"/>
          <w:szCs w:val="21"/>
          <w:highlight w:val="none"/>
        </w:rPr>
        <w:t>评标表格；</w:t>
      </w:r>
    </w:p>
    <w:p>
      <w:pPr>
        <w:outlineLvl w:val="0"/>
        <w:rPr>
          <w:rFonts w:cs="Arial"/>
          <w:b/>
          <w:szCs w:val="21"/>
          <w:highlight w:val="none"/>
        </w:rPr>
      </w:pPr>
      <w:bookmarkStart w:id="175" w:name="_Toc434331108"/>
      <w:bookmarkStart w:id="176" w:name="_Toc395686555"/>
      <w:bookmarkStart w:id="177" w:name="_Toc22921"/>
      <w:r>
        <w:rPr>
          <w:rFonts w:hint="eastAsia" w:cs="Arial"/>
          <w:b/>
          <w:szCs w:val="21"/>
          <w:highlight w:val="none"/>
        </w:rPr>
        <w:t>A3. 初步评审</w:t>
      </w:r>
      <w:bookmarkEnd w:id="175"/>
      <w:bookmarkEnd w:id="176"/>
      <w:bookmarkEnd w:id="177"/>
    </w:p>
    <w:p>
      <w:pPr>
        <w:outlineLvl w:val="0"/>
        <w:rPr>
          <w:rFonts w:ascii="Arial" w:hAnsi="Arial" w:cs="Arial"/>
          <w:b/>
          <w:szCs w:val="21"/>
          <w:highlight w:val="none"/>
        </w:rPr>
      </w:pPr>
      <w:bookmarkStart w:id="178" w:name="_Toc395686556"/>
      <w:bookmarkStart w:id="179" w:name="_Toc434331109"/>
      <w:bookmarkStart w:id="180" w:name="_Toc21779"/>
      <w:r>
        <w:rPr>
          <w:rFonts w:hint="eastAsia" w:ascii="Arial" w:hAnsi="Arial" w:cs="Arial"/>
          <w:b/>
          <w:kern w:val="0"/>
          <w:szCs w:val="21"/>
          <w:highlight w:val="none"/>
        </w:rPr>
        <w:t>A3.1</w:t>
      </w:r>
      <w:r>
        <w:rPr>
          <w:rFonts w:hint="eastAsia" w:ascii="Arial" w:hAnsi="Arial" w:cs="Arial"/>
          <w:b/>
          <w:szCs w:val="21"/>
          <w:highlight w:val="none"/>
        </w:rPr>
        <w:t>形式评审</w:t>
      </w:r>
      <w:bookmarkEnd w:id="178"/>
      <w:bookmarkEnd w:id="179"/>
      <w:bookmarkEnd w:id="180"/>
    </w:p>
    <w:p>
      <w:pPr>
        <w:spacing w:line="400" w:lineRule="exact"/>
        <w:ind w:firstLine="359" w:firstLineChars="171"/>
        <w:rPr>
          <w:rFonts w:ascii="Arial" w:hAnsi="Arial" w:cs="Arial"/>
          <w:szCs w:val="21"/>
          <w:highlight w:val="none"/>
        </w:rPr>
      </w:pPr>
      <w:r>
        <w:rPr>
          <w:rFonts w:hint="eastAsia" w:ascii="Arial" w:hAnsi="Arial" w:cs="Arial"/>
          <w:szCs w:val="21"/>
          <w:highlight w:val="none"/>
        </w:rPr>
        <w:t>评标委员会根据评标办法前附表中规定的评审因素和评审标准，对投标人的投标文件进行形式评审，并使用</w:t>
      </w:r>
      <w:r>
        <w:rPr>
          <w:rFonts w:hint="eastAsia" w:ascii="Arial" w:hAnsi="Arial" w:cs="Arial"/>
          <w:b/>
          <w:szCs w:val="21"/>
          <w:highlight w:val="none"/>
        </w:rPr>
        <w:t>附表A-4</w:t>
      </w:r>
      <w:r>
        <w:rPr>
          <w:rFonts w:hint="eastAsia" w:ascii="Arial" w:hAnsi="Arial" w:cs="Arial"/>
          <w:szCs w:val="21"/>
          <w:highlight w:val="none"/>
        </w:rPr>
        <w:t>记录评审结果。</w:t>
      </w:r>
    </w:p>
    <w:p>
      <w:pPr>
        <w:outlineLvl w:val="0"/>
        <w:rPr>
          <w:rFonts w:ascii="Arial" w:hAnsi="Arial" w:cs="Arial"/>
          <w:b/>
          <w:szCs w:val="21"/>
          <w:highlight w:val="none"/>
        </w:rPr>
      </w:pPr>
      <w:bookmarkStart w:id="181" w:name="_Toc434331110"/>
      <w:bookmarkStart w:id="182" w:name="_Toc4857"/>
      <w:bookmarkStart w:id="183" w:name="_Toc395686557"/>
      <w:r>
        <w:rPr>
          <w:rFonts w:hint="eastAsia" w:ascii="Arial" w:hAnsi="Arial" w:cs="Arial"/>
          <w:b/>
          <w:szCs w:val="21"/>
          <w:highlight w:val="none"/>
        </w:rPr>
        <w:t>A3.2资格评审</w:t>
      </w:r>
      <w:bookmarkEnd w:id="181"/>
      <w:bookmarkEnd w:id="182"/>
      <w:bookmarkEnd w:id="183"/>
    </w:p>
    <w:p>
      <w:pPr>
        <w:spacing w:line="400" w:lineRule="exact"/>
        <w:ind w:firstLine="359" w:firstLineChars="171"/>
        <w:rPr>
          <w:rFonts w:ascii="Arial" w:hAnsi="Arial" w:cs="Arial"/>
          <w:szCs w:val="21"/>
          <w:highlight w:val="none"/>
        </w:rPr>
      </w:pPr>
      <w:r>
        <w:rPr>
          <w:rFonts w:hint="eastAsia" w:ascii="Arial" w:hAnsi="Arial" w:cs="Arial"/>
          <w:bCs/>
          <w:kern w:val="0"/>
          <w:szCs w:val="21"/>
          <w:highlight w:val="none"/>
        </w:rPr>
        <w:t xml:space="preserve">A3.2.1  </w:t>
      </w:r>
      <w:r>
        <w:rPr>
          <w:rFonts w:hint="eastAsia" w:ascii="Arial" w:hAnsi="Arial" w:cs="Arial"/>
          <w:szCs w:val="21"/>
          <w:highlight w:val="none"/>
        </w:rPr>
        <w:t>评标委员会根据评标办法前附表中规定的评审因素和评审标准，对投标人的投标文件进行资格评审，并使用</w:t>
      </w:r>
      <w:r>
        <w:rPr>
          <w:rFonts w:hint="eastAsia" w:ascii="Arial" w:hAnsi="Arial" w:cs="Arial"/>
          <w:b/>
          <w:szCs w:val="21"/>
          <w:highlight w:val="none"/>
        </w:rPr>
        <w:t>附表A-5</w:t>
      </w:r>
      <w:r>
        <w:rPr>
          <w:rFonts w:hint="eastAsia" w:ascii="Arial" w:hAnsi="Arial" w:cs="Arial"/>
          <w:szCs w:val="21"/>
          <w:highlight w:val="none"/>
        </w:rPr>
        <w:t>记录评审结果。</w:t>
      </w:r>
    </w:p>
    <w:p>
      <w:pPr>
        <w:outlineLvl w:val="0"/>
        <w:rPr>
          <w:rFonts w:ascii="Arial" w:hAnsi="Arial" w:cs="Arial"/>
          <w:b/>
          <w:szCs w:val="21"/>
          <w:highlight w:val="none"/>
        </w:rPr>
      </w:pPr>
      <w:bookmarkStart w:id="184" w:name="_Toc4395"/>
      <w:bookmarkStart w:id="185" w:name="_Toc434331111"/>
      <w:bookmarkStart w:id="186" w:name="_Toc395686558"/>
      <w:r>
        <w:rPr>
          <w:rFonts w:hint="eastAsia" w:ascii="Arial" w:hAnsi="Arial" w:cs="Arial"/>
          <w:b/>
          <w:szCs w:val="21"/>
          <w:highlight w:val="none"/>
        </w:rPr>
        <w:t>A3.3 响应性评审</w:t>
      </w:r>
      <w:bookmarkEnd w:id="184"/>
      <w:bookmarkEnd w:id="185"/>
      <w:bookmarkEnd w:id="186"/>
    </w:p>
    <w:p>
      <w:pPr>
        <w:spacing w:line="400" w:lineRule="exact"/>
        <w:ind w:firstLine="359" w:firstLineChars="171"/>
        <w:rPr>
          <w:rFonts w:ascii="Arial" w:hAnsi="Arial" w:cs="Arial"/>
          <w:szCs w:val="21"/>
          <w:highlight w:val="none"/>
        </w:rPr>
      </w:pPr>
      <w:r>
        <w:rPr>
          <w:rFonts w:hint="eastAsia" w:ascii="Arial" w:hAnsi="Arial" w:cs="Arial"/>
          <w:szCs w:val="21"/>
          <w:highlight w:val="none"/>
        </w:rPr>
        <w:t>A3.3.1 评标委员会根据评标办法前附表中规定的评审因素和评审标准，对投标人的投标文件进行响应性评审，并使用</w:t>
      </w:r>
      <w:r>
        <w:rPr>
          <w:rFonts w:hint="eastAsia" w:ascii="Arial" w:hAnsi="Arial" w:cs="Arial"/>
          <w:b/>
          <w:szCs w:val="21"/>
          <w:highlight w:val="none"/>
        </w:rPr>
        <w:t>附表A-6</w:t>
      </w:r>
      <w:r>
        <w:rPr>
          <w:rFonts w:hint="eastAsia" w:ascii="Arial" w:hAnsi="Arial" w:cs="Arial"/>
          <w:szCs w:val="21"/>
          <w:highlight w:val="none"/>
        </w:rPr>
        <w:t>记录评审结果。</w:t>
      </w:r>
    </w:p>
    <w:p>
      <w:pPr>
        <w:spacing w:line="400" w:lineRule="exact"/>
        <w:ind w:firstLine="357" w:firstLineChars="170"/>
        <w:rPr>
          <w:rFonts w:ascii="Arial" w:hAnsi="Arial" w:cs="Arial"/>
          <w:szCs w:val="21"/>
          <w:highlight w:val="none"/>
        </w:rPr>
      </w:pPr>
      <w:r>
        <w:rPr>
          <w:rFonts w:hint="eastAsia" w:ascii="Arial" w:hAnsi="Arial" w:cs="Arial"/>
          <w:bCs/>
          <w:szCs w:val="21"/>
          <w:highlight w:val="none"/>
        </w:rPr>
        <w:t xml:space="preserve">A3.3.2 </w:t>
      </w:r>
      <w:r>
        <w:rPr>
          <w:rFonts w:hint="eastAsia" w:ascii="Arial" w:hAnsi="Arial" w:cs="Arial"/>
          <w:szCs w:val="21"/>
          <w:highlight w:val="none"/>
        </w:rPr>
        <w:t>投标人投标价格不得超出（不含等于）按照本章前附表的规定计算的“最高投标限价”，</w:t>
      </w:r>
      <w:r>
        <w:rPr>
          <w:rFonts w:ascii="Arial" w:hAnsi="Arial" w:cs="Arial"/>
          <w:szCs w:val="21"/>
          <w:highlight w:val="none"/>
        </w:rPr>
        <w:t>凡投标人的</w:t>
      </w:r>
      <w:r>
        <w:rPr>
          <w:rFonts w:ascii="Arial" w:hAnsi="Arial" w:cs="Arial"/>
          <w:bCs/>
          <w:szCs w:val="21"/>
          <w:highlight w:val="none"/>
        </w:rPr>
        <w:t>投标价格</w:t>
      </w:r>
      <w:r>
        <w:rPr>
          <w:rFonts w:ascii="Arial" w:hAnsi="Arial" w:cs="Arial"/>
          <w:szCs w:val="21"/>
          <w:highlight w:val="none"/>
        </w:rPr>
        <w:t>超出</w:t>
      </w:r>
      <w:r>
        <w:rPr>
          <w:rFonts w:hint="eastAsia" w:ascii="Arial" w:hAnsi="Arial" w:cs="Arial"/>
          <w:szCs w:val="21"/>
          <w:highlight w:val="none"/>
        </w:rPr>
        <w:t>“最高投标限价”</w:t>
      </w:r>
      <w:r>
        <w:rPr>
          <w:rFonts w:ascii="Arial" w:hAnsi="Arial" w:cs="Arial"/>
          <w:szCs w:val="21"/>
          <w:highlight w:val="none"/>
        </w:rPr>
        <w:t>，该投标人的投标文件</w:t>
      </w:r>
      <w:r>
        <w:rPr>
          <w:rFonts w:hint="eastAsia" w:ascii="Arial" w:hAnsi="Arial" w:cs="Arial"/>
          <w:szCs w:val="21"/>
          <w:highlight w:val="none"/>
        </w:rPr>
        <w:t>不能通过响应性评审。</w:t>
      </w:r>
    </w:p>
    <w:p>
      <w:pPr>
        <w:outlineLvl w:val="0"/>
        <w:rPr>
          <w:rFonts w:cs="Arial"/>
          <w:b/>
          <w:szCs w:val="21"/>
          <w:highlight w:val="none"/>
        </w:rPr>
      </w:pPr>
      <w:bookmarkStart w:id="187" w:name="_Toc21142"/>
      <w:bookmarkStart w:id="188" w:name="_Toc395686559"/>
      <w:bookmarkStart w:id="189" w:name="_Toc434331112"/>
      <w:r>
        <w:rPr>
          <w:rFonts w:hint="eastAsia" w:ascii="Arial" w:hAnsi="Arial" w:cs="Arial"/>
          <w:b/>
          <w:szCs w:val="21"/>
          <w:highlight w:val="none"/>
        </w:rPr>
        <w:t xml:space="preserve">A3.4 </w:t>
      </w:r>
      <w:r>
        <w:rPr>
          <w:rFonts w:hint="eastAsia" w:cs="Arial"/>
          <w:b/>
          <w:szCs w:val="21"/>
          <w:highlight w:val="none"/>
        </w:rPr>
        <w:t>投标偏差分析</w:t>
      </w:r>
      <w:bookmarkEnd w:id="187"/>
      <w:bookmarkEnd w:id="188"/>
      <w:bookmarkEnd w:id="189"/>
    </w:p>
    <w:p>
      <w:pPr>
        <w:spacing w:line="400" w:lineRule="exact"/>
        <w:ind w:firstLine="359" w:firstLineChars="171"/>
        <w:rPr>
          <w:rFonts w:ascii="Arial" w:hAnsi="Arial" w:cs="Arial"/>
          <w:szCs w:val="21"/>
          <w:highlight w:val="none"/>
        </w:rPr>
      </w:pPr>
      <w:r>
        <w:rPr>
          <w:rFonts w:hint="eastAsia" w:ascii="Arial" w:hAnsi="Arial" w:cs="Arial"/>
          <w:szCs w:val="21"/>
          <w:highlight w:val="none"/>
        </w:rPr>
        <w:t>A3.4.1</w:t>
      </w:r>
      <w:r>
        <w:rPr>
          <w:rFonts w:ascii="Arial" w:hAnsi="Arial" w:cs="Arial"/>
          <w:szCs w:val="21"/>
          <w:highlight w:val="none"/>
        </w:rPr>
        <w:t>评标委员会依据招标文件，对所有投标文件进行审查并逐项列出每一份投标文件的全部投标偏差</w:t>
      </w:r>
      <w:r>
        <w:rPr>
          <w:rFonts w:hint="eastAsia" w:ascii="Arial" w:hAnsi="Arial" w:cs="Arial"/>
          <w:szCs w:val="21"/>
          <w:highlight w:val="none"/>
        </w:rPr>
        <w:t>，</w:t>
      </w:r>
      <w:r>
        <w:rPr>
          <w:rFonts w:ascii="Arial" w:hAnsi="Arial" w:cs="Arial"/>
          <w:szCs w:val="21"/>
          <w:highlight w:val="none"/>
        </w:rPr>
        <w:t>并</w:t>
      </w:r>
      <w:r>
        <w:rPr>
          <w:rFonts w:hint="eastAsia" w:ascii="Arial" w:hAnsi="Arial" w:cs="Arial"/>
          <w:szCs w:val="21"/>
          <w:highlight w:val="none"/>
        </w:rPr>
        <w:t>使用</w:t>
      </w:r>
      <w:r>
        <w:rPr>
          <w:rFonts w:hint="eastAsia" w:ascii="Arial" w:hAnsi="Arial" w:cs="Arial"/>
          <w:b/>
          <w:szCs w:val="21"/>
          <w:highlight w:val="none"/>
        </w:rPr>
        <w:t>附表A-7</w:t>
      </w:r>
      <w:r>
        <w:rPr>
          <w:rFonts w:hint="eastAsia" w:ascii="Arial" w:hAnsi="Arial" w:cs="Arial"/>
          <w:szCs w:val="21"/>
          <w:highlight w:val="none"/>
        </w:rPr>
        <w:t>进行记录。投标偏差分为重大偏差和细微偏差。</w:t>
      </w:r>
    </w:p>
    <w:p>
      <w:pPr>
        <w:spacing w:line="400" w:lineRule="exact"/>
        <w:ind w:firstLine="315" w:firstLineChars="150"/>
        <w:outlineLvl w:val="0"/>
        <w:rPr>
          <w:rFonts w:cs="Arial"/>
          <w:szCs w:val="21"/>
          <w:highlight w:val="none"/>
        </w:rPr>
      </w:pPr>
      <w:bookmarkStart w:id="190" w:name="_Toc434331113"/>
      <w:bookmarkStart w:id="191" w:name="_Toc434230423"/>
      <w:bookmarkStart w:id="192" w:name="_Toc28482"/>
      <w:r>
        <w:rPr>
          <w:rFonts w:hint="eastAsia" w:ascii="Arial" w:hAnsi="Arial" w:cs="Arial"/>
          <w:szCs w:val="21"/>
          <w:highlight w:val="none"/>
        </w:rPr>
        <w:t>A3.4.2</w:t>
      </w:r>
      <w:r>
        <w:rPr>
          <w:rFonts w:hint="eastAsia" w:cs="Arial"/>
          <w:szCs w:val="21"/>
          <w:highlight w:val="none"/>
        </w:rPr>
        <w:t>判断投标是否为废标</w:t>
      </w:r>
      <w:bookmarkEnd w:id="190"/>
      <w:bookmarkEnd w:id="191"/>
      <w:bookmarkEnd w:id="192"/>
    </w:p>
    <w:p>
      <w:pPr>
        <w:numPr>
          <w:ilvl w:val="0"/>
          <w:numId w:val="7"/>
        </w:numPr>
        <w:spacing w:line="400" w:lineRule="exact"/>
        <w:ind w:left="0" w:firstLine="359"/>
        <w:rPr>
          <w:rFonts w:cs="Arial"/>
          <w:szCs w:val="21"/>
          <w:highlight w:val="none"/>
        </w:rPr>
      </w:pPr>
      <w:r>
        <w:rPr>
          <w:rFonts w:hint="eastAsia" w:cs="Arial"/>
          <w:szCs w:val="21"/>
          <w:highlight w:val="none"/>
        </w:rPr>
        <w:t>重大偏差是</w:t>
      </w:r>
      <w:r>
        <w:rPr>
          <w:rFonts w:cs="Arial"/>
          <w:szCs w:val="21"/>
          <w:highlight w:val="none"/>
        </w:rPr>
        <w:t>指对</w:t>
      </w:r>
      <w:r>
        <w:rPr>
          <w:rFonts w:hint="eastAsia" w:cs="Arial"/>
          <w:szCs w:val="21"/>
          <w:highlight w:val="none"/>
        </w:rPr>
        <w:t>本招标</w:t>
      </w:r>
      <w:r>
        <w:rPr>
          <w:rFonts w:cs="Arial"/>
          <w:szCs w:val="21"/>
          <w:highlight w:val="none"/>
        </w:rPr>
        <w:t>工程的承包范围、工期、质量</w:t>
      </w:r>
      <w:r>
        <w:rPr>
          <w:rFonts w:hint="eastAsia" w:cs="Arial"/>
          <w:szCs w:val="21"/>
          <w:highlight w:val="none"/>
        </w:rPr>
        <w:t>及</w:t>
      </w:r>
      <w:r>
        <w:rPr>
          <w:rFonts w:cs="Arial"/>
          <w:szCs w:val="21"/>
          <w:highlight w:val="none"/>
        </w:rPr>
        <w:t>实施产生</w:t>
      </w:r>
      <w:r>
        <w:rPr>
          <w:rFonts w:hint="eastAsia" w:cs="Arial"/>
          <w:szCs w:val="21"/>
          <w:highlight w:val="none"/>
        </w:rPr>
        <w:t>了</w:t>
      </w:r>
      <w:r>
        <w:rPr>
          <w:rFonts w:cs="Arial"/>
          <w:szCs w:val="21"/>
          <w:highlight w:val="none"/>
        </w:rPr>
        <w:t>重大影响，或者对招标文件中规定的招标人权利及投标人义务等造成重大削弱或限制</w:t>
      </w:r>
      <w:r>
        <w:rPr>
          <w:rFonts w:hint="eastAsia" w:cs="Arial"/>
          <w:szCs w:val="21"/>
          <w:highlight w:val="none"/>
        </w:rPr>
        <w:t>的偏差</w:t>
      </w:r>
      <w:r>
        <w:rPr>
          <w:rFonts w:cs="Arial"/>
          <w:szCs w:val="21"/>
          <w:highlight w:val="none"/>
        </w:rPr>
        <w:t>，而且纠正</w:t>
      </w:r>
      <w:r>
        <w:rPr>
          <w:rFonts w:hint="eastAsia" w:cs="Arial"/>
          <w:szCs w:val="21"/>
          <w:highlight w:val="none"/>
        </w:rPr>
        <w:t>此类</w:t>
      </w:r>
      <w:r>
        <w:rPr>
          <w:rFonts w:cs="Arial"/>
          <w:szCs w:val="21"/>
          <w:highlight w:val="none"/>
        </w:rPr>
        <w:t>偏</w:t>
      </w:r>
      <w:r>
        <w:rPr>
          <w:rFonts w:hint="eastAsia" w:cs="Arial"/>
          <w:szCs w:val="21"/>
          <w:highlight w:val="none"/>
        </w:rPr>
        <w:t>差</w:t>
      </w:r>
      <w:r>
        <w:rPr>
          <w:rFonts w:cs="Arial"/>
          <w:szCs w:val="21"/>
          <w:highlight w:val="none"/>
        </w:rPr>
        <w:t>将会对响应</w:t>
      </w:r>
      <w:r>
        <w:rPr>
          <w:rFonts w:hint="eastAsia" w:cs="Arial"/>
          <w:szCs w:val="21"/>
          <w:highlight w:val="none"/>
        </w:rPr>
        <w:t>本次</w:t>
      </w:r>
      <w:r>
        <w:rPr>
          <w:rFonts w:cs="Arial"/>
          <w:szCs w:val="21"/>
          <w:highlight w:val="none"/>
        </w:rPr>
        <w:t>招标的其他投标人的竞争地位产生不公正的</w:t>
      </w:r>
      <w:r>
        <w:rPr>
          <w:rFonts w:hint="eastAsia" w:cs="Arial"/>
          <w:szCs w:val="21"/>
          <w:highlight w:val="none"/>
        </w:rPr>
        <w:t>影响</w:t>
      </w:r>
      <w:r>
        <w:rPr>
          <w:rFonts w:cs="Arial"/>
          <w:szCs w:val="21"/>
          <w:highlight w:val="none"/>
        </w:rPr>
        <w:t>。</w:t>
      </w:r>
      <w:r>
        <w:rPr>
          <w:rFonts w:hint="eastAsia" w:cs="Arial"/>
          <w:szCs w:val="21"/>
          <w:highlight w:val="none"/>
        </w:rPr>
        <w:t>符合本章</w:t>
      </w:r>
      <w:r>
        <w:rPr>
          <w:rFonts w:hint="eastAsia" w:ascii="Arial" w:hAnsi="Arial" w:cs="Arial"/>
          <w:b/>
          <w:szCs w:val="21"/>
          <w:highlight w:val="none"/>
        </w:rPr>
        <w:t>附件B</w:t>
      </w:r>
      <w:r>
        <w:rPr>
          <w:rFonts w:hint="eastAsia" w:cs="Arial"/>
          <w:szCs w:val="21"/>
          <w:highlight w:val="none"/>
        </w:rPr>
        <w:t>中规定的废标条件的，属于重大偏差。</w:t>
      </w:r>
    </w:p>
    <w:p>
      <w:pPr>
        <w:numPr>
          <w:ilvl w:val="0"/>
          <w:numId w:val="7"/>
        </w:numPr>
        <w:spacing w:line="400" w:lineRule="exact"/>
        <w:ind w:left="0" w:firstLine="359"/>
        <w:rPr>
          <w:rFonts w:cs="Arial"/>
          <w:szCs w:val="21"/>
          <w:highlight w:val="none"/>
        </w:rPr>
      </w:pPr>
      <w:r>
        <w:rPr>
          <w:rFonts w:hint="eastAsia" w:cs="Arial"/>
          <w:szCs w:val="21"/>
          <w:highlight w:val="none"/>
        </w:rPr>
        <w:t>判断投标人的投标是否为废标的全部条件（包括本章第3.1.2项中规定的条件），在本章</w:t>
      </w:r>
      <w:r>
        <w:rPr>
          <w:rFonts w:hint="eastAsia" w:ascii="Arial" w:hAnsi="Arial" w:cs="Arial"/>
          <w:b/>
          <w:szCs w:val="21"/>
          <w:highlight w:val="none"/>
        </w:rPr>
        <w:t>附件B</w:t>
      </w:r>
      <w:r>
        <w:rPr>
          <w:rFonts w:hint="eastAsia" w:cs="Arial"/>
          <w:szCs w:val="21"/>
          <w:highlight w:val="none"/>
        </w:rPr>
        <w:t>中集中列示。</w:t>
      </w:r>
    </w:p>
    <w:p>
      <w:pPr>
        <w:numPr>
          <w:ilvl w:val="0"/>
          <w:numId w:val="7"/>
        </w:numPr>
        <w:spacing w:line="400" w:lineRule="exact"/>
        <w:ind w:left="0" w:firstLine="359"/>
        <w:rPr>
          <w:rFonts w:cs="Arial"/>
          <w:szCs w:val="21"/>
          <w:highlight w:val="none"/>
        </w:rPr>
      </w:pPr>
      <w:r>
        <w:rPr>
          <w:rFonts w:hint="eastAsia" w:cs="Arial"/>
          <w:szCs w:val="21"/>
          <w:highlight w:val="none"/>
        </w:rPr>
        <w:t>本章</w:t>
      </w:r>
      <w:r>
        <w:rPr>
          <w:rFonts w:hint="eastAsia" w:ascii="Arial" w:hAnsi="Arial" w:cs="Arial"/>
          <w:b/>
          <w:szCs w:val="21"/>
          <w:highlight w:val="none"/>
        </w:rPr>
        <w:t>附件B</w:t>
      </w:r>
      <w:r>
        <w:rPr>
          <w:rFonts w:hint="eastAsia" w:cs="Arial"/>
          <w:szCs w:val="21"/>
          <w:highlight w:val="none"/>
        </w:rPr>
        <w:t>集中列示的废标条件不应与第二章“投标人须知”和本章正文部分包括的废标条件抵触，如果出现相互矛盾的情况，以本章附件B的规定为准。</w:t>
      </w:r>
    </w:p>
    <w:p>
      <w:pPr>
        <w:numPr>
          <w:ilvl w:val="0"/>
          <w:numId w:val="7"/>
        </w:numPr>
        <w:spacing w:line="400" w:lineRule="exact"/>
        <w:ind w:left="0" w:firstLine="359"/>
        <w:rPr>
          <w:rFonts w:cs="Arial"/>
          <w:szCs w:val="21"/>
          <w:highlight w:val="none"/>
        </w:rPr>
      </w:pPr>
      <w:r>
        <w:rPr>
          <w:rFonts w:hint="eastAsia" w:cs="Arial"/>
          <w:szCs w:val="21"/>
          <w:highlight w:val="none"/>
        </w:rPr>
        <w:t>评标委员会在评标（包括初步评审和详细评审）过程中，依据本章</w:t>
      </w:r>
      <w:r>
        <w:rPr>
          <w:rFonts w:hint="eastAsia" w:ascii="Arial" w:hAnsi="Arial" w:cs="Arial"/>
          <w:b/>
          <w:szCs w:val="21"/>
          <w:highlight w:val="none"/>
        </w:rPr>
        <w:t>附件B</w:t>
      </w:r>
      <w:r>
        <w:rPr>
          <w:rFonts w:hint="eastAsia" w:cs="Arial"/>
          <w:szCs w:val="21"/>
          <w:highlight w:val="none"/>
        </w:rPr>
        <w:t>中规定的废标条件判断投标人的投标是否为废标，并根据附表A-7、使用附表A-14对废标情况进行记录。</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A3.4.3</w:t>
      </w:r>
      <w:r>
        <w:rPr>
          <w:rFonts w:hint="eastAsia" w:ascii="Arial" w:hAnsi="Arial" w:cs="Arial"/>
          <w:bCs/>
          <w:szCs w:val="21"/>
          <w:highlight w:val="none"/>
        </w:rPr>
        <w:t>细微偏差是指投标文件在实质上响应招标文件要求，但在个别地方存在漏项或者提供了不完整的技术信息和数据等情况，并且补正这些遗漏和不完整不会对其他投标人造成不公平的结果。细微偏差不影响投标文件的有效性。</w:t>
      </w:r>
      <w:r>
        <w:rPr>
          <w:rFonts w:hint="eastAsia" w:ascii="Arial" w:hAnsi="Arial"/>
          <w:bCs/>
          <w:szCs w:val="21"/>
          <w:highlight w:val="none"/>
        </w:rPr>
        <w:t>评标委员会应当书面要求存在细微偏差的投标人在评标结束前予以补正。</w:t>
      </w:r>
    </w:p>
    <w:p>
      <w:pPr>
        <w:outlineLvl w:val="0"/>
        <w:rPr>
          <w:rFonts w:cs="Arial"/>
          <w:b/>
          <w:szCs w:val="21"/>
          <w:highlight w:val="none"/>
        </w:rPr>
      </w:pPr>
      <w:bookmarkStart w:id="193" w:name="_Toc434331114"/>
      <w:bookmarkStart w:id="194" w:name="_Toc395686560"/>
      <w:bookmarkStart w:id="195" w:name="_Toc30626"/>
      <w:r>
        <w:rPr>
          <w:rFonts w:hint="eastAsia" w:ascii="Arial" w:hAnsi="Arial" w:cs="Arial"/>
          <w:b/>
          <w:kern w:val="0"/>
          <w:szCs w:val="21"/>
          <w:highlight w:val="none"/>
        </w:rPr>
        <w:t xml:space="preserve">A3.5 </w:t>
      </w:r>
      <w:r>
        <w:rPr>
          <w:rFonts w:ascii="Arial" w:hAnsi="Arial" w:cs="Arial"/>
          <w:b/>
          <w:kern w:val="0"/>
          <w:szCs w:val="21"/>
          <w:highlight w:val="none"/>
        </w:rPr>
        <w:t>对投标文件进行基础性</w:t>
      </w:r>
      <w:r>
        <w:rPr>
          <w:rFonts w:hint="eastAsia" w:ascii="Arial" w:hAnsi="Arial" w:cs="Arial"/>
          <w:b/>
          <w:kern w:val="0"/>
          <w:szCs w:val="21"/>
          <w:highlight w:val="none"/>
        </w:rPr>
        <w:t>数据</w:t>
      </w:r>
      <w:r>
        <w:rPr>
          <w:rFonts w:ascii="Arial" w:hAnsi="Arial" w:cs="Arial"/>
          <w:b/>
          <w:kern w:val="0"/>
          <w:szCs w:val="21"/>
          <w:highlight w:val="none"/>
        </w:rPr>
        <w:t>分析和整理工作（</w:t>
      </w:r>
      <w:r>
        <w:rPr>
          <w:rFonts w:hint="eastAsia" w:ascii="Arial" w:hAnsi="Arial" w:cs="Arial"/>
          <w:b/>
          <w:kern w:val="0"/>
          <w:szCs w:val="21"/>
          <w:highlight w:val="none"/>
        </w:rPr>
        <w:t>清单比对，适用于计算机辅助评标）</w:t>
      </w:r>
      <w:bookmarkEnd w:id="193"/>
      <w:bookmarkEnd w:id="194"/>
      <w:bookmarkEnd w:id="195"/>
    </w:p>
    <w:p>
      <w:pPr>
        <w:spacing w:line="400" w:lineRule="exact"/>
        <w:ind w:firstLine="359" w:firstLineChars="171"/>
        <w:rPr>
          <w:rFonts w:ascii="Arial" w:hAnsi="Arial" w:cs="Arial"/>
          <w:bCs/>
          <w:kern w:val="0"/>
          <w:szCs w:val="21"/>
          <w:highlight w:val="none"/>
        </w:rPr>
      </w:pPr>
      <w:r>
        <w:rPr>
          <w:rFonts w:hint="eastAsia" w:ascii="Arial" w:hAnsi="Arial" w:cs="Arial"/>
          <w:bCs/>
          <w:kern w:val="0"/>
          <w:szCs w:val="21"/>
          <w:highlight w:val="none"/>
        </w:rPr>
        <w:t>A3.5.1</w:t>
      </w:r>
      <w:r>
        <w:rPr>
          <w:rFonts w:ascii="Arial" w:hAnsi="Arial" w:cs="Arial"/>
          <w:szCs w:val="21"/>
          <w:highlight w:val="none"/>
        </w:rPr>
        <w:t>在不改变投标人投标文件实质性内容的前提下，</w:t>
      </w:r>
      <w:r>
        <w:rPr>
          <w:rFonts w:hint="eastAsia" w:ascii="Arial" w:hAnsi="Arial" w:cs="Arial"/>
          <w:szCs w:val="21"/>
          <w:highlight w:val="none"/>
        </w:rPr>
        <w:t>评标委员会应当</w:t>
      </w:r>
      <w:r>
        <w:rPr>
          <w:rFonts w:hint="eastAsia" w:cs="Arial"/>
          <w:iCs/>
          <w:szCs w:val="28"/>
          <w:highlight w:val="none"/>
        </w:rPr>
        <w:t>借助计算机辅助评标系统</w:t>
      </w:r>
      <w:r>
        <w:rPr>
          <w:rFonts w:ascii="Arial" w:hAnsi="Arial" w:cs="Arial"/>
          <w:szCs w:val="21"/>
          <w:highlight w:val="none"/>
        </w:rPr>
        <w:t>对投标文件进行基础性数据分析</w:t>
      </w:r>
      <w:r>
        <w:rPr>
          <w:rFonts w:hint="eastAsia" w:ascii="Arial" w:hAnsi="Arial" w:cs="Arial"/>
          <w:szCs w:val="21"/>
          <w:highlight w:val="none"/>
        </w:rPr>
        <w:t>和整理（</w:t>
      </w:r>
      <w:r>
        <w:rPr>
          <w:rFonts w:hint="eastAsia" w:ascii="Arial" w:hAnsi="Arial" w:cs="Arial"/>
          <w:bCs/>
          <w:kern w:val="0"/>
          <w:szCs w:val="21"/>
          <w:highlight w:val="none"/>
        </w:rPr>
        <w:t>本章中</w:t>
      </w:r>
      <w:r>
        <w:rPr>
          <w:rFonts w:ascii="Arial" w:hAnsi="Arial" w:cs="Arial"/>
          <w:bCs/>
          <w:kern w:val="0"/>
          <w:szCs w:val="21"/>
          <w:highlight w:val="none"/>
        </w:rPr>
        <w:t>简称为</w:t>
      </w:r>
      <w:r>
        <w:rPr>
          <w:rFonts w:hint="eastAsia" w:ascii="Arial" w:hAnsi="Arial" w:cs="Arial"/>
          <w:bCs/>
          <w:kern w:val="0"/>
          <w:szCs w:val="21"/>
          <w:highlight w:val="none"/>
        </w:rPr>
        <w:t>“清单比对”）</w:t>
      </w:r>
      <w:r>
        <w:rPr>
          <w:rFonts w:ascii="Arial" w:hAnsi="Arial" w:cs="Arial"/>
          <w:szCs w:val="21"/>
          <w:highlight w:val="none"/>
        </w:rPr>
        <w:t>，从而发现</w:t>
      </w:r>
      <w:r>
        <w:rPr>
          <w:rFonts w:hint="eastAsia" w:ascii="Arial" w:hAnsi="Arial" w:cs="Arial"/>
          <w:szCs w:val="21"/>
          <w:highlight w:val="none"/>
        </w:rPr>
        <w:t>并提取</w:t>
      </w:r>
      <w:r>
        <w:rPr>
          <w:rFonts w:ascii="Arial" w:hAnsi="Arial" w:cs="Arial"/>
          <w:szCs w:val="21"/>
          <w:highlight w:val="none"/>
        </w:rPr>
        <w:t>其中可能存在的对投标报价的算术性错误、错漏项、投标报价构成不合理、不平衡报价等</w:t>
      </w:r>
      <w:r>
        <w:rPr>
          <w:rFonts w:hint="eastAsia" w:ascii="Arial" w:hAnsi="Arial" w:cs="Arial"/>
          <w:szCs w:val="21"/>
          <w:highlight w:val="none"/>
        </w:rPr>
        <w:t>存在明显异常的</w:t>
      </w:r>
      <w:r>
        <w:rPr>
          <w:rFonts w:ascii="Arial" w:hAnsi="Arial" w:cs="Arial"/>
          <w:szCs w:val="21"/>
          <w:highlight w:val="none"/>
        </w:rPr>
        <w:t>问题，并就这些问题整理</w:t>
      </w:r>
      <w:r>
        <w:rPr>
          <w:rFonts w:hint="eastAsia" w:ascii="Arial" w:hAnsi="Arial" w:cs="Arial"/>
          <w:szCs w:val="21"/>
          <w:highlight w:val="none"/>
        </w:rPr>
        <w:t>形成清单比对成果</w:t>
      </w:r>
      <w:r>
        <w:rPr>
          <w:rFonts w:ascii="Arial" w:hAnsi="Arial" w:cs="Arial"/>
          <w:szCs w:val="21"/>
          <w:highlight w:val="none"/>
        </w:rPr>
        <w:t>。评标委员会对</w:t>
      </w:r>
      <w:r>
        <w:rPr>
          <w:rFonts w:hint="eastAsia" w:ascii="Arial" w:hAnsi="Arial" w:cs="Arial"/>
          <w:szCs w:val="21"/>
          <w:highlight w:val="none"/>
        </w:rPr>
        <w:t>清单比对成果</w:t>
      </w:r>
      <w:r>
        <w:rPr>
          <w:rFonts w:ascii="Arial" w:hAnsi="Arial" w:cs="Arial"/>
          <w:szCs w:val="21"/>
          <w:highlight w:val="none"/>
        </w:rPr>
        <w:t>审议后，决定需要投标人书面澄清、说明或补正</w:t>
      </w:r>
      <w:r>
        <w:rPr>
          <w:rFonts w:hint="eastAsia" w:ascii="Arial" w:hAnsi="Arial" w:cs="Arial"/>
          <w:szCs w:val="21"/>
          <w:highlight w:val="none"/>
        </w:rPr>
        <w:t>的问题，形成质疑问卷，通过电子化平台向投标人</w:t>
      </w:r>
      <w:r>
        <w:rPr>
          <w:rFonts w:ascii="Arial" w:hAnsi="Arial" w:cs="Arial"/>
          <w:szCs w:val="21"/>
          <w:highlight w:val="none"/>
        </w:rPr>
        <w:t>发出</w:t>
      </w:r>
      <w:r>
        <w:rPr>
          <w:rFonts w:hint="eastAsia" w:ascii="Arial" w:hAnsi="Arial" w:cs="Arial"/>
          <w:szCs w:val="21"/>
          <w:highlight w:val="none"/>
        </w:rPr>
        <w:t>问题澄清通知（包括</w:t>
      </w:r>
      <w:r>
        <w:rPr>
          <w:rFonts w:ascii="Arial" w:hAnsi="Arial" w:cs="Arial"/>
          <w:szCs w:val="21"/>
          <w:highlight w:val="none"/>
        </w:rPr>
        <w:t>质疑问卷</w:t>
      </w:r>
      <w:r>
        <w:rPr>
          <w:rFonts w:hint="eastAsia" w:ascii="Arial" w:hAnsi="Arial" w:cs="Arial"/>
          <w:szCs w:val="21"/>
          <w:highlight w:val="none"/>
        </w:rPr>
        <w:t>）</w:t>
      </w:r>
      <w:r>
        <w:rPr>
          <w:rFonts w:ascii="Arial" w:hAnsi="Arial" w:cs="Arial"/>
          <w:szCs w:val="21"/>
          <w:highlight w:val="none"/>
        </w:rPr>
        <w:t>。</w:t>
      </w:r>
      <w:r>
        <w:rPr>
          <w:rFonts w:hint="eastAsia" w:ascii="Arial" w:hAnsi="Arial" w:cs="Arial"/>
          <w:szCs w:val="21"/>
          <w:highlight w:val="none"/>
        </w:rPr>
        <w:t>质疑函不得向投标人提出带有暗示性或诱导性问题，或向其明确投标文件中的遗漏和错误。</w:t>
      </w:r>
    </w:p>
    <w:p>
      <w:pPr>
        <w:spacing w:line="400" w:lineRule="exact"/>
        <w:ind w:firstLine="359" w:firstLineChars="171"/>
        <w:rPr>
          <w:rFonts w:cs="Arial"/>
          <w:szCs w:val="21"/>
          <w:highlight w:val="none"/>
        </w:rPr>
      </w:pPr>
      <w:r>
        <w:rPr>
          <w:rFonts w:hint="eastAsia" w:ascii="Arial" w:hAnsi="Arial" w:cs="Arial"/>
          <w:bCs/>
          <w:kern w:val="0"/>
          <w:szCs w:val="21"/>
          <w:highlight w:val="none"/>
        </w:rPr>
        <w:t>A3.5.2</w:t>
      </w:r>
      <w:r>
        <w:rPr>
          <w:rFonts w:ascii="Arial" w:hAnsi="Arial" w:cs="Arial"/>
          <w:szCs w:val="21"/>
          <w:highlight w:val="none"/>
        </w:rPr>
        <w:t>投标人接到评标委员会发出的</w:t>
      </w:r>
      <w:r>
        <w:rPr>
          <w:rFonts w:hint="eastAsia" w:ascii="Arial" w:hAnsi="Arial" w:cs="Arial"/>
          <w:szCs w:val="21"/>
          <w:highlight w:val="none"/>
        </w:rPr>
        <w:t>问题澄清通知</w:t>
      </w:r>
      <w:r>
        <w:rPr>
          <w:rFonts w:ascii="Arial" w:hAnsi="Arial" w:cs="Arial"/>
          <w:szCs w:val="21"/>
          <w:highlight w:val="none"/>
        </w:rPr>
        <w:t>后</w:t>
      </w:r>
      <w:r>
        <w:rPr>
          <w:rFonts w:hint="eastAsia" w:ascii="Arial" w:hAnsi="Arial" w:cs="Arial"/>
          <w:szCs w:val="21"/>
          <w:highlight w:val="none"/>
        </w:rPr>
        <w:t>，</w:t>
      </w:r>
      <w:r>
        <w:rPr>
          <w:rFonts w:ascii="Arial" w:hAnsi="Arial" w:cs="Arial"/>
          <w:szCs w:val="21"/>
          <w:highlight w:val="none"/>
        </w:rPr>
        <w:t>应按评标委员会的要求在规定的时间</w:t>
      </w:r>
      <w:r>
        <w:rPr>
          <w:rFonts w:hint="eastAsia" w:ascii="Arial" w:hAnsi="Arial" w:cs="Arial"/>
          <w:szCs w:val="21"/>
          <w:highlight w:val="none"/>
        </w:rPr>
        <w:t>通过电子化平台上传</w:t>
      </w:r>
      <w:r>
        <w:rPr>
          <w:rFonts w:ascii="Arial" w:hAnsi="Arial" w:cs="Arial"/>
          <w:szCs w:val="21"/>
          <w:highlight w:val="none"/>
        </w:rPr>
        <w:t>澄清资料。</w:t>
      </w:r>
    </w:p>
    <w:p>
      <w:pPr>
        <w:outlineLvl w:val="0"/>
        <w:rPr>
          <w:rFonts w:ascii="Arial" w:hAnsi="Arial" w:cs="Arial"/>
          <w:b/>
          <w:szCs w:val="21"/>
          <w:highlight w:val="none"/>
        </w:rPr>
      </w:pPr>
      <w:bookmarkStart w:id="196" w:name="_Toc395686561"/>
      <w:bookmarkStart w:id="197" w:name="_Toc32710"/>
      <w:bookmarkStart w:id="198" w:name="_Toc434331115"/>
      <w:r>
        <w:rPr>
          <w:rFonts w:hint="eastAsia" w:ascii="Arial" w:hAnsi="Arial" w:cs="Arial"/>
          <w:b/>
          <w:szCs w:val="21"/>
          <w:highlight w:val="none"/>
        </w:rPr>
        <w:t>A3.6 算术错误修正</w:t>
      </w:r>
      <w:bookmarkEnd w:id="196"/>
      <w:bookmarkEnd w:id="197"/>
      <w:bookmarkEnd w:id="198"/>
    </w:p>
    <w:p>
      <w:pPr>
        <w:spacing w:line="400" w:lineRule="exact"/>
        <w:ind w:firstLine="359" w:firstLineChars="171"/>
        <w:rPr>
          <w:rFonts w:ascii="Arial" w:hAnsi="Arial" w:cs="Arial"/>
          <w:szCs w:val="21"/>
          <w:highlight w:val="none"/>
        </w:rPr>
      </w:pPr>
      <w:r>
        <w:rPr>
          <w:rFonts w:hint="eastAsia" w:ascii="Arial" w:hAnsi="Arial" w:cs="Arial"/>
          <w:szCs w:val="21"/>
          <w:highlight w:val="none"/>
        </w:rPr>
        <w:t>评标委员会依据本章中规定的相关原则对投标报价中存在的算术错误进行修正，并根据算术错误修正结果计算评标价。</w:t>
      </w:r>
    </w:p>
    <w:p>
      <w:pPr>
        <w:outlineLvl w:val="0"/>
        <w:rPr>
          <w:rFonts w:cs="Arial"/>
          <w:b/>
          <w:szCs w:val="21"/>
          <w:highlight w:val="none"/>
        </w:rPr>
      </w:pPr>
      <w:bookmarkStart w:id="199" w:name="_Toc3650"/>
      <w:bookmarkStart w:id="200" w:name="_Toc395686562"/>
      <w:bookmarkStart w:id="201" w:name="_Toc434331116"/>
      <w:r>
        <w:rPr>
          <w:rFonts w:hint="eastAsia" w:ascii="Arial" w:hAnsi="Arial" w:cs="Arial"/>
          <w:b/>
          <w:szCs w:val="21"/>
          <w:highlight w:val="none"/>
        </w:rPr>
        <w:t xml:space="preserve">A3.7 </w:t>
      </w:r>
      <w:r>
        <w:rPr>
          <w:rFonts w:hint="eastAsia" w:cs="Arial"/>
          <w:b/>
          <w:szCs w:val="21"/>
          <w:highlight w:val="none"/>
        </w:rPr>
        <w:t>澄清、说明或补正</w:t>
      </w:r>
      <w:bookmarkEnd w:id="199"/>
      <w:bookmarkEnd w:id="200"/>
      <w:bookmarkEnd w:id="201"/>
    </w:p>
    <w:p>
      <w:pPr>
        <w:spacing w:line="400" w:lineRule="exact"/>
        <w:ind w:firstLine="359" w:firstLineChars="171"/>
        <w:rPr>
          <w:rFonts w:ascii="Arial" w:hAnsi="Arial" w:cs="Arial"/>
          <w:b/>
          <w:szCs w:val="21"/>
          <w:highlight w:val="none"/>
        </w:rPr>
      </w:pPr>
      <w:r>
        <w:rPr>
          <w:rFonts w:hint="eastAsia" w:cs="Arial"/>
          <w:szCs w:val="21"/>
          <w:highlight w:val="none"/>
        </w:rPr>
        <w:t>在初步评审过程中，评标委员会应当就投标文件中不明确的内容要求投标人进行澄清、说明或者补正。投标人对此以书面形式予以澄清、说明或者补正。澄清、说明或补正根据本章第3.3款的规定执行。</w:t>
      </w:r>
      <w:r>
        <w:rPr>
          <w:rFonts w:hint="eastAsia" w:ascii="Arial" w:hAnsi="Arial" w:cs="Arial"/>
          <w:szCs w:val="21"/>
          <w:highlight w:val="none"/>
        </w:rPr>
        <w:t>《问题澄清通知》及《问题的澄清》采用投标人须知附表二与投标人须知附表三所提供的格式。</w:t>
      </w:r>
    </w:p>
    <w:p>
      <w:pPr>
        <w:outlineLvl w:val="0"/>
        <w:rPr>
          <w:rFonts w:ascii="Arial" w:hAnsi="Arial" w:cs="Arial"/>
          <w:b/>
          <w:szCs w:val="21"/>
          <w:highlight w:val="none"/>
        </w:rPr>
      </w:pPr>
      <w:bookmarkStart w:id="202" w:name="_Toc434331117"/>
      <w:bookmarkStart w:id="203" w:name="_Toc3592"/>
      <w:bookmarkStart w:id="204" w:name="_Toc395686563"/>
      <w:r>
        <w:rPr>
          <w:rFonts w:hint="eastAsia" w:ascii="Arial" w:hAnsi="Arial" w:cs="Arial"/>
          <w:b/>
          <w:szCs w:val="21"/>
          <w:highlight w:val="none"/>
        </w:rPr>
        <w:t>A4.  详细评审</w:t>
      </w:r>
      <w:bookmarkEnd w:id="202"/>
      <w:bookmarkEnd w:id="203"/>
      <w:bookmarkEnd w:id="204"/>
    </w:p>
    <w:p>
      <w:pPr>
        <w:spacing w:line="400" w:lineRule="exact"/>
        <w:ind w:firstLine="359" w:firstLineChars="171"/>
        <w:rPr>
          <w:rFonts w:ascii="Arial" w:hAnsi="Arial" w:cs="Arial"/>
          <w:szCs w:val="21"/>
          <w:highlight w:val="none"/>
        </w:rPr>
      </w:pPr>
      <w:r>
        <w:rPr>
          <w:rFonts w:hint="eastAsia" w:ascii="Arial" w:hAnsi="Arial" w:cs="Arial"/>
          <w:szCs w:val="21"/>
          <w:highlight w:val="none"/>
        </w:rPr>
        <w:t>只有通过了初步评审、被判定为合格的投标方可进入详细评审。</w:t>
      </w:r>
    </w:p>
    <w:p>
      <w:pPr>
        <w:outlineLvl w:val="0"/>
        <w:rPr>
          <w:rFonts w:ascii="Arial" w:hAnsi="Arial" w:cs="Arial"/>
          <w:b/>
          <w:szCs w:val="21"/>
          <w:highlight w:val="none"/>
        </w:rPr>
      </w:pPr>
      <w:bookmarkStart w:id="205" w:name="_Toc27959"/>
      <w:bookmarkStart w:id="206" w:name="_Toc395686564"/>
      <w:bookmarkStart w:id="207" w:name="_Toc434331118"/>
      <w:r>
        <w:rPr>
          <w:rFonts w:hint="eastAsia" w:ascii="Arial" w:hAnsi="Arial" w:cs="Arial"/>
          <w:b/>
          <w:szCs w:val="21"/>
          <w:highlight w:val="none"/>
        </w:rPr>
        <w:t>A4.1 详细评审的程序</w:t>
      </w:r>
      <w:bookmarkEnd w:id="205"/>
      <w:bookmarkEnd w:id="206"/>
      <w:bookmarkEnd w:id="207"/>
    </w:p>
    <w:p>
      <w:pPr>
        <w:spacing w:line="400" w:lineRule="exact"/>
        <w:ind w:firstLine="359" w:firstLineChars="171"/>
        <w:rPr>
          <w:rFonts w:ascii="Arial" w:hAnsi="Arial" w:cs="Arial"/>
          <w:szCs w:val="21"/>
          <w:highlight w:val="none"/>
        </w:rPr>
      </w:pPr>
      <w:r>
        <w:rPr>
          <w:rFonts w:hint="eastAsia" w:ascii="Arial" w:hAnsi="Arial" w:cs="Arial"/>
          <w:szCs w:val="21"/>
          <w:highlight w:val="none"/>
        </w:rPr>
        <w:t>A4.1.1  评标委员会按照本章第3.2款中规定的程序进行详细评审：</w:t>
      </w:r>
    </w:p>
    <w:p>
      <w:pPr>
        <w:numPr>
          <w:ilvl w:val="0"/>
          <w:numId w:val="8"/>
        </w:numPr>
        <w:spacing w:line="400" w:lineRule="exact"/>
        <w:ind w:left="0" w:firstLine="359"/>
        <w:rPr>
          <w:rFonts w:cs="Arial"/>
          <w:szCs w:val="21"/>
          <w:highlight w:val="none"/>
        </w:rPr>
      </w:pPr>
      <w:r>
        <w:rPr>
          <w:rFonts w:hint="eastAsia" w:cs="Arial"/>
          <w:szCs w:val="21"/>
          <w:highlight w:val="none"/>
        </w:rPr>
        <w:t>施工组织设计评审和评分；</w:t>
      </w:r>
    </w:p>
    <w:p>
      <w:pPr>
        <w:numPr>
          <w:ilvl w:val="0"/>
          <w:numId w:val="8"/>
        </w:numPr>
        <w:spacing w:line="400" w:lineRule="exact"/>
        <w:ind w:left="0" w:firstLine="359"/>
        <w:rPr>
          <w:rFonts w:cs="Arial"/>
          <w:szCs w:val="21"/>
          <w:highlight w:val="none"/>
        </w:rPr>
      </w:pPr>
      <w:r>
        <w:rPr>
          <w:rFonts w:hint="eastAsia" w:cs="Arial"/>
          <w:szCs w:val="21"/>
          <w:highlight w:val="none"/>
        </w:rPr>
        <w:t>项目管理机构评审和评分；</w:t>
      </w:r>
    </w:p>
    <w:p>
      <w:pPr>
        <w:numPr>
          <w:ilvl w:val="0"/>
          <w:numId w:val="8"/>
        </w:numPr>
        <w:spacing w:line="400" w:lineRule="exact"/>
        <w:ind w:left="0" w:firstLine="359"/>
        <w:rPr>
          <w:rFonts w:cs="Arial"/>
          <w:szCs w:val="21"/>
          <w:highlight w:val="none"/>
        </w:rPr>
      </w:pPr>
      <w:r>
        <w:rPr>
          <w:rFonts w:hint="eastAsia" w:cs="Arial"/>
          <w:szCs w:val="21"/>
          <w:highlight w:val="none"/>
        </w:rPr>
        <w:t>投标报价评审和评分，并对明显低于其他投标报价的投标报价，或者在设有标底时明显低于标底的投标报价，判断是否低于其个别成本；</w:t>
      </w:r>
    </w:p>
    <w:p>
      <w:pPr>
        <w:numPr>
          <w:ilvl w:val="0"/>
          <w:numId w:val="8"/>
        </w:numPr>
        <w:spacing w:line="400" w:lineRule="exact"/>
        <w:ind w:left="0" w:firstLine="359"/>
        <w:rPr>
          <w:rFonts w:cs="Arial"/>
          <w:szCs w:val="21"/>
          <w:highlight w:val="none"/>
        </w:rPr>
      </w:pPr>
      <w:r>
        <w:rPr>
          <w:rFonts w:hint="eastAsia" w:cs="Arial"/>
          <w:szCs w:val="21"/>
          <w:highlight w:val="none"/>
        </w:rPr>
        <w:t>其他因素评审和评分；</w:t>
      </w:r>
    </w:p>
    <w:p>
      <w:pPr>
        <w:numPr>
          <w:ilvl w:val="0"/>
          <w:numId w:val="8"/>
        </w:numPr>
        <w:spacing w:line="400" w:lineRule="exact"/>
        <w:ind w:left="0" w:firstLine="359"/>
        <w:rPr>
          <w:rFonts w:cs="Arial"/>
          <w:szCs w:val="21"/>
          <w:highlight w:val="none"/>
        </w:rPr>
      </w:pPr>
      <w:r>
        <w:rPr>
          <w:rFonts w:hint="eastAsia" w:cs="Arial"/>
          <w:szCs w:val="21"/>
          <w:highlight w:val="none"/>
        </w:rPr>
        <w:t>汇总评分结果。</w:t>
      </w:r>
    </w:p>
    <w:p>
      <w:pPr>
        <w:outlineLvl w:val="0"/>
        <w:rPr>
          <w:rFonts w:ascii="Arial" w:hAnsi="Arial" w:cs="Arial"/>
          <w:b/>
          <w:szCs w:val="21"/>
          <w:highlight w:val="none"/>
        </w:rPr>
      </w:pPr>
      <w:bookmarkStart w:id="208" w:name="_Toc434331119"/>
      <w:bookmarkStart w:id="209" w:name="_Toc21399"/>
      <w:bookmarkStart w:id="210" w:name="_Toc395686565"/>
      <w:r>
        <w:rPr>
          <w:rFonts w:hint="eastAsia" w:ascii="Arial" w:hAnsi="Arial" w:cs="Arial"/>
          <w:b/>
          <w:szCs w:val="21"/>
          <w:highlight w:val="none"/>
        </w:rPr>
        <w:t>A4.2  施工组织设计评审和评分</w:t>
      </w:r>
      <w:bookmarkEnd w:id="208"/>
      <w:bookmarkEnd w:id="209"/>
      <w:bookmarkEnd w:id="210"/>
    </w:p>
    <w:p>
      <w:pPr>
        <w:spacing w:line="400" w:lineRule="exact"/>
        <w:ind w:firstLine="359" w:firstLineChars="171"/>
        <w:rPr>
          <w:rFonts w:cs="Arial"/>
          <w:szCs w:val="21"/>
          <w:highlight w:val="none"/>
        </w:rPr>
      </w:pPr>
      <w:r>
        <w:rPr>
          <w:rFonts w:hint="eastAsia" w:ascii="Arial" w:hAnsi="Arial" w:cs="Arial"/>
          <w:szCs w:val="21"/>
          <w:highlight w:val="none"/>
        </w:rPr>
        <w:t>A4.2.1 按照评标办法前附表中规定的分值设定、各项评分因素、评分标准，对施工组织设计进行评审和评分，并使用</w:t>
      </w:r>
      <w:r>
        <w:rPr>
          <w:rFonts w:hint="eastAsia" w:ascii="Arial" w:hAnsi="Arial" w:cs="Arial"/>
          <w:b/>
          <w:szCs w:val="21"/>
          <w:highlight w:val="none"/>
        </w:rPr>
        <w:t>附表A-8</w:t>
      </w:r>
      <w:r>
        <w:rPr>
          <w:rFonts w:hint="eastAsia" w:ascii="Arial" w:hAnsi="Arial" w:cs="Arial"/>
          <w:szCs w:val="21"/>
          <w:highlight w:val="none"/>
        </w:rPr>
        <w:t>记录对施工组织设计的评分结果，施工组织设计的得分记录为</w:t>
      </w:r>
      <w:r>
        <w:rPr>
          <w:rFonts w:hint="eastAsia"/>
          <w:b/>
          <w:szCs w:val="21"/>
          <w:highlight w:val="none"/>
        </w:rPr>
        <w:t>A</w:t>
      </w:r>
      <w:r>
        <w:rPr>
          <w:rFonts w:hint="eastAsia" w:ascii="Arial" w:hAnsi="Arial" w:cs="Arial"/>
          <w:szCs w:val="21"/>
          <w:highlight w:val="none"/>
        </w:rPr>
        <w:t>。</w:t>
      </w:r>
      <w:r>
        <w:rPr>
          <w:rFonts w:hint="eastAsia"/>
          <w:szCs w:val="21"/>
          <w:highlight w:val="none"/>
        </w:rPr>
        <w:t>（适用于施工组织设计打分制</w:t>
      </w:r>
      <w:r>
        <w:rPr>
          <w:rFonts w:hint="eastAsia" w:cs="Arial"/>
          <w:szCs w:val="21"/>
          <w:highlight w:val="none"/>
        </w:rPr>
        <w:t>）</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在</w:t>
      </w:r>
      <w:r>
        <w:rPr>
          <w:rFonts w:hint="eastAsia"/>
          <w:szCs w:val="21"/>
          <w:highlight w:val="none"/>
        </w:rPr>
        <w:t>施工组织设计</w:t>
      </w:r>
      <w:r>
        <w:rPr>
          <w:rFonts w:hint="eastAsia" w:ascii="Arial" w:hAnsi="Arial" w:cs="Arial"/>
          <w:szCs w:val="21"/>
          <w:highlight w:val="none"/>
        </w:rPr>
        <w:t>评审过程中，针对每个评分项目评标委员会个别成员的单项评分与其余评标委员会成员的单项评分平均差异在20%以上或者有重大意见分歧时，评标委员会负责人应当提醒其进行复核，经复核后该评标委员会成员仍坚持其独立意见的，应当作出书面说明。但是该成员所评出的总分顺序与其他成员相对一致、不影响中标结果的，应当视为合理。</w:t>
      </w:r>
    </w:p>
    <w:p>
      <w:pPr>
        <w:outlineLvl w:val="0"/>
        <w:rPr>
          <w:rFonts w:ascii="Arial" w:hAnsi="Arial" w:cs="Arial"/>
          <w:b/>
          <w:szCs w:val="21"/>
          <w:highlight w:val="none"/>
        </w:rPr>
      </w:pPr>
      <w:bookmarkStart w:id="211" w:name="_Toc395686566"/>
      <w:bookmarkStart w:id="212" w:name="_Toc434331120"/>
      <w:bookmarkStart w:id="213" w:name="_Toc30305"/>
      <w:r>
        <w:rPr>
          <w:rFonts w:hint="eastAsia" w:ascii="Arial" w:hAnsi="Arial" w:cs="Arial"/>
          <w:b/>
          <w:szCs w:val="21"/>
          <w:highlight w:val="none"/>
        </w:rPr>
        <w:t>A4.3 项目管理机构评审和评分</w:t>
      </w:r>
      <w:bookmarkEnd w:id="211"/>
      <w:bookmarkEnd w:id="212"/>
      <w:bookmarkEnd w:id="213"/>
    </w:p>
    <w:p>
      <w:pPr>
        <w:spacing w:line="400" w:lineRule="exact"/>
        <w:ind w:firstLine="359" w:firstLineChars="171"/>
        <w:rPr>
          <w:rFonts w:ascii="Arial" w:hAnsi="Arial" w:cs="Arial"/>
          <w:szCs w:val="21"/>
          <w:highlight w:val="none"/>
        </w:rPr>
      </w:pPr>
      <w:r>
        <w:rPr>
          <w:rFonts w:hint="eastAsia" w:ascii="Arial" w:hAnsi="Arial" w:cs="Arial"/>
          <w:szCs w:val="21"/>
          <w:highlight w:val="none"/>
        </w:rPr>
        <w:t>A4.3.1 按照评标办法前附表中规定的分值设定、各项评分因素、评分标准，对项目管理机构进行评审和评分，并使用</w:t>
      </w:r>
      <w:r>
        <w:rPr>
          <w:rFonts w:hint="eastAsia" w:ascii="Arial" w:hAnsi="Arial" w:cs="Arial"/>
          <w:b/>
          <w:szCs w:val="21"/>
          <w:highlight w:val="none"/>
        </w:rPr>
        <w:t>附表A-9</w:t>
      </w:r>
      <w:r>
        <w:rPr>
          <w:rFonts w:hint="eastAsia" w:ascii="Arial" w:hAnsi="Arial" w:cs="Arial"/>
          <w:szCs w:val="21"/>
          <w:highlight w:val="none"/>
        </w:rPr>
        <w:t>记录对项目管理机构的评分结果，项目管理机构的得分记录为</w:t>
      </w:r>
      <w:r>
        <w:rPr>
          <w:rFonts w:hint="eastAsia"/>
          <w:b/>
          <w:szCs w:val="21"/>
          <w:highlight w:val="none"/>
        </w:rPr>
        <w:t>B</w:t>
      </w:r>
      <w:r>
        <w:rPr>
          <w:rFonts w:hint="eastAsia" w:ascii="Arial" w:hAnsi="Arial" w:cs="Arial"/>
          <w:szCs w:val="21"/>
          <w:highlight w:val="none"/>
        </w:rPr>
        <w:t>。</w:t>
      </w:r>
    </w:p>
    <w:p>
      <w:pPr>
        <w:outlineLvl w:val="0"/>
        <w:rPr>
          <w:rFonts w:ascii="Arial" w:hAnsi="Arial" w:cs="Arial"/>
          <w:b/>
          <w:szCs w:val="21"/>
          <w:highlight w:val="none"/>
        </w:rPr>
      </w:pPr>
      <w:bookmarkStart w:id="214" w:name="_Toc434331121"/>
      <w:bookmarkStart w:id="215" w:name="_Toc395686567"/>
      <w:bookmarkStart w:id="216" w:name="_Toc10038"/>
      <w:r>
        <w:rPr>
          <w:rFonts w:hint="eastAsia" w:ascii="Arial" w:hAnsi="Arial" w:cs="Arial"/>
          <w:b/>
          <w:szCs w:val="21"/>
          <w:highlight w:val="none"/>
        </w:rPr>
        <w:t>A4.4 投标报价评审和评分（仅按投标总报价进行评分）</w:t>
      </w:r>
      <w:bookmarkEnd w:id="214"/>
      <w:bookmarkEnd w:id="215"/>
      <w:bookmarkEnd w:id="216"/>
    </w:p>
    <w:p>
      <w:pPr>
        <w:spacing w:line="400" w:lineRule="exact"/>
        <w:ind w:firstLine="359" w:firstLineChars="171"/>
        <w:rPr>
          <w:rFonts w:ascii="Arial" w:hAnsi="Arial" w:cs="Arial"/>
          <w:szCs w:val="21"/>
          <w:highlight w:val="none"/>
        </w:rPr>
      </w:pPr>
      <w:r>
        <w:rPr>
          <w:rFonts w:hint="eastAsia" w:ascii="Arial" w:hAnsi="Arial" w:cs="Arial"/>
          <w:szCs w:val="21"/>
          <w:highlight w:val="none"/>
        </w:rPr>
        <w:t>A4.4.1 按照评标办法前附表中规定的方法计算“评标基准价”。</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A4.4.2 按照评标办法前附表中规定的方法，计算各个已通过了初步评审、施工组织设计评审和项目管理机构评审并且经过评审认定为不低于其成本的投标报价的“偏差率”。</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A4.4.3 按照评标办法前附表中规定的评分标准，对照投标报价的偏差率，分别对各个投标报价进行评分，使用</w:t>
      </w:r>
      <w:r>
        <w:rPr>
          <w:rFonts w:hint="eastAsia" w:ascii="Arial" w:hAnsi="Arial" w:cs="Arial"/>
          <w:b/>
          <w:szCs w:val="21"/>
          <w:highlight w:val="none"/>
        </w:rPr>
        <w:t>附表A-10</w:t>
      </w:r>
      <w:r>
        <w:rPr>
          <w:rFonts w:hint="eastAsia" w:ascii="Arial" w:hAnsi="Arial" w:cs="Arial"/>
          <w:szCs w:val="21"/>
          <w:highlight w:val="none"/>
        </w:rPr>
        <w:t>记录对投标报价的评分结果，投标报价的得分记录为</w:t>
      </w:r>
      <w:r>
        <w:rPr>
          <w:rFonts w:hint="eastAsia"/>
          <w:b/>
          <w:szCs w:val="21"/>
          <w:highlight w:val="none"/>
        </w:rPr>
        <w:t>C。</w:t>
      </w:r>
    </w:p>
    <w:p>
      <w:pPr>
        <w:outlineLvl w:val="0"/>
        <w:rPr>
          <w:rFonts w:ascii="Arial" w:hAnsi="Arial" w:cs="Arial"/>
          <w:b/>
          <w:szCs w:val="21"/>
          <w:highlight w:val="none"/>
        </w:rPr>
      </w:pPr>
      <w:bookmarkStart w:id="217" w:name="_Toc395686569"/>
      <w:bookmarkStart w:id="218" w:name="_Toc14416"/>
      <w:bookmarkStart w:id="219" w:name="_Toc434331123"/>
      <w:r>
        <w:rPr>
          <w:rFonts w:hint="eastAsia" w:ascii="Arial" w:hAnsi="Arial" w:cs="Arial"/>
          <w:b/>
          <w:szCs w:val="21"/>
          <w:highlight w:val="none"/>
        </w:rPr>
        <w:t>A4.5  其他因素的评审和评分</w:t>
      </w:r>
      <w:bookmarkEnd w:id="217"/>
      <w:bookmarkEnd w:id="218"/>
      <w:bookmarkEnd w:id="219"/>
    </w:p>
    <w:p>
      <w:pPr>
        <w:pStyle w:val="208"/>
        <w:autoSpaceDE w:val="0"/>
        <w:autoSpaceDN w:val="0"/>
        <w:adjustRightInd w:val="0"/>
        <w:spacing w:line="400" w:lineRule="exact"/>
        <w:ind w:left="0" w:firstLine="359" w:firstLineChars="171"/>
        <w:rPr>
          <w:rFonts w:ascii="Arial" w:hAnsi="Arial" w:cs="Arial"/>
          <w:szCs w:val="21"/>
          <w:highlight w:val="none"/>
        </w:rPr>
      </w:pPr>
      <w:r>
        <w:rPr>
          <w:rFonts w:hint="eastAsia"/>
          <w:highlight w:val="none"/>
        </w:rPr>
        <w:t>根据评标办法前附表中规定的分值设定、各项评分因素和相应的评分标准，对其他因素（如有）进行评审和评分，并使用</w:t>
      </w:r>
      <w:r>
        <w:rPr>
          <w:rFonts w:hint="eastAsia" w:ascii="Arial" w:hAnsi="Arial" w:cs="Arial"/>
          <w:b/>
          <w:szCs w:val="21"/>
          <w:highlight w:val="none"/>
        </w:rPr>
        <w:t>附表A-11</w:t>
      </w:r>
      <w:r>
        <w:rPr>
          <w:rFonts w:hint="eastAsia"/>
          <w:highlight w:val="none"/>
        </w:rPr>
        <w:t>记录对其他因素的评分结果，其他因素的得分记录为</w:t>
      </w:r>
      <w:r>
        <w:rPr>
          <w:rFonts w:hint="eastAsia"/>
          <w:b/>
          <w:highlight w:val="none"/>
        </w:rPr>
        <w:t>D</w:t>
      </w:r>
      <w:r>
        <w:rPr>
          <w:rFonts w:hint="eastAsia"/>
          <w:highlight w:val="none"/>
        </w:rPr>
        <w:t>。</w:t>
      </w:r>
    </w:p>
    <w:p>
      <w:pPr>
        <w:outlineLvl w:val="0"/>
        <w:rPr>
          <w:rFonts w:ascii="Arial" w:hAnsi="Arial" w:cs="Arial"/>
          <w:b/>
          <w:szCs w:val="21"/>
          <w:highlight w:val="none"/>
        </w:rPr>
      </w:pPr>
      <w:bookmarkStart w:id="220" w:name="_Toc3234"/>
      <w:bookmarkStart w:id="221" w:name="_Toc395686570"/>
      <w:bookmarkStart w:id="222" w:name="_Toc434331124"/>
      <w:r>
        <w:rPr>
          <w:rFonts w:hint="eastAsia" w:ascii="Arial" w:hAnsi="Arial" w:cs="Arial"/>
          <w:b/>
          <w:szCs w:val="21"/>
          <w:highlight w:val="none"/>
        </w:rPr>
        <w:t>A4.6  判断投标报价是否低于成本</w:t>
      </w:r>
      <w:bookmarkEnd w:id="220"/>
      <w:bookmarkEnd w:id="221"/>
      <w:bookmarkEnd w:id="222"/>
    </w:p>
    <w:p>
      <w:pPr>
        <w:spacing w:line="400" w:lineRule="exact"/>
        <w:ind w:firstLine="359" w:firstLineChars="171"/>
        <w:rPr>
          <w:rFonts w:cs="Arial"/>
          <w:szCs w:val="21"/>
          <w:highlight w:val="none"/>
        </w:rPr>
      </w:pPr>
      <w:r>
        <w:rPr>
          <w:rFonts w:hint="eastAsia" w:cs="Arial"/>
          <w:szCs w:val="21"/>
          <w:highlight w:val="none"/>
        </w:rPr>
        <w:t>根据本章第3.2.4项的规定，评标委员会根据本章</w:t>
      </w:r>
      <w:r>
        <w:rPr>
          <w:rFonts w:hint="eastAsia" w:cs="Arial"/>
          <w:b/>
          <w:szCs w:val="21"/>
          <w:highlight w:val="none"/>
        </w:rPr>
        <w:t>附件C</w:t>
      </w:r>
      <w:r>
        <w:rPr>
          <w:rFonts w:hint="eastAsia" w:cs="Arial"/>
          <w:szCs w:val="21"/>
          <w:highlight w:val="none"/>
        </w:rPr>
        <w:t>中规定的程序、标准和方法，判断投标报价是否低于其成本。由评标委员会认定投标人以低于成本竞标的，其投标作废标处理。</w:t>
      </w:r>
    </w:p>
    <w:p>
      <w:pPr>
        <w:outlineLvl w:val="0"/>
        <w:rPr>
          <w:rFonts w:ascii="Arial" w:hAnsi="Arial" w:cs="Arial"/>
          <w:b/>
          <w:szCs w:val="21"/>
          <w:highlight w:val="none"/>
        </w:rPr>
      </w:pPr>
      <w:bookmarkStart w:id="223" w:name="_Toc434331125"/>
      <w:bookmarkStart w:id="224" w:name="_Toc395686571"/>
      <w:bookmarkStart w:id="225" w:name="_Toc24949"/>
      <w:r>
        <w:rPr>
          <w:rFonts w:hint="eastAsia" w:ascii="Arial" w:hAnsi="Arial" w:cs="Arial"/>
          <w:b/>
          <w:szCs w:val="21"/>
          <w:highlight w:val="none"/>
        </w:rPr>
        <w:t>A4.7 澄清、说明或补正</w:t>
      </w:r>
      <w:bookmarkEnd w:id="223"/>
      <w:bookmarkEnd w:id="224"/>
      <w:bookmarkEnd w:id="225"/>
    </w:p>
    <w:p>
      <w:pPr>
        <w:spacing w:line="400" w:lineRule="exact"/>
        <w:ind w:firstLine="359" w:firstLineChars="171"/>
        <w:rPr>
          <w:rFonts w:cs="Arial"/>
          <w:szCs w:val="21"/>
          <w:highlight w:val="none"/>
        </w:rPr>
      </w:pPr>
      <w:r>
        <w:rPr>
          <w:rFonts w:hint="eastAsia" w:cs="Arial"/>
          <w:szCs w:val="21"/>
          <w:highlight w:val="none"/>
        </w:rPr>
        <w:t>在详细评审过程中，评标委员会应当就投标文件中不明确的内容要求投标人进行澄清、说明或者补正。投标人对此以书面形式予以澄清、说明或者补正。澄清、说明或补正根据本章第3.3款的规定执行。</w:t>
      </w:r>
      <w:r>
        <w:rPr>
          <w:rFonts w:hint="eastAsia" w:ascii="Arial" w:hAnsi="Arial" w:cs="Arial"/>
          <w:szCs w:val="21"/>
          <w:highlight w:val="none"/>
        </w:rPr>
        <w:t>《问题澄清通知》及《问题的澄清》采用投标人须知附表二与投标人须知附表三所提供的格式。</w:t>
      </w:r>
    </w:p>
    <w:p>
      <w:pPr>
        <w:outlineLvl w:val="0"/>
        <w:rPr>
          <w:rFonts w:ascii="Arial" w:hAnsi="Arial" w:cs="Arial"/>
          <w:b/>
          <w:szCs w:val="21"/>
          <w:highlight w:val="none"/>
        </w:rPr>
      </w:pPr>
      <w:bookmarkStart w:id="226" w:name="_Toc395686572"/>
      <w:bookmarkStart w:id="227" w:name="_Toc29587"/>
      <w:bookmarkStart w:id="228" w:name="_Toc434331126"/>
      <w:r>
        <w:rPr>
          <w:rFonts w:hint="eastAsia" w:ascii="Arial" w:hAnsi="Arial" w:cs="Arial"/>
          <w:b/>
          <w:szCs w:val="21"/>
          <w:highlight w:val="none"/>
        </w:rPr>
        <w:t>A4.8  汇总评分结果</w:t>
      </w:r>
      <w:bookmarkEnd w:id="226"/>
      <w:bookmarkEnd w:id="227"/>
      <w:bookmarkEnd w:id="228"/>
    </w:p>
    <w:p>
      <w:pPr>
        <w:spacing w:line="400" w:lineRule="exact"/>
        <w:ind w:firstLine="359" w:firstLineChars="171"/>
        <w:rPr>
          <w:rFonts w:ascii="Arial" w:hAnsi="Arial" w:cs="Arial"/>
          <w:szCs w:val="21"/>
          <w:highlight w:val="none"/>
        </w:rPr>
      </w:pPr>
      <w:r>
        <w:rPr>
          <w:rFonts w:hint="eastAsia" w:ascii="Arial" w:hAnsi="Arial" w:cs="Arial"/>
          <w:szCs w:val="21"/>
          <w:highlight w:val="none"/>
        </w:rPr>
        <w:t>A4.8.1</w:t>
      </w:r>
      <w:r>
        <w:rPr>
          <w:rFonts w:ascii="Arial" w:hAnsi="Arial" w:cs="Arial"/>
          <w:szCs w:val="21"/>
          <w:highlight w:val="none"/>
        </w:rPr>
        <w:t>评标委员会</w:t>
      </w:r>
      <w:r>
        <w:rPr>
          <w:rFonts w:hint="eastAsia" w:ascii="Arial" w:hAnsi="Arial" w:cs="Arial"/>
          <w:szCs w:val="21"/>
          <w:highlight w:val="none"/>
        </w:rPr>
        <w:t>成员</w:t>
      </w:r>
      <w:r>
        <w:rPr>
          <w:rFonts w:ascii="Arial" w:hAnsi="Arial" w:cs="Arial"/>
          <w:szCs w:val="21"/>
          <w:highlight w:val="none"/>
        </w:rPr>
        <w:t>应按照</w:t>
      </w:r>
      <w:r>
        <w:rPr>
          <w:rFonts w:hint="eastAsia" w:ascii="Arial" w:hAnsi="Arial" w:cs="Arial"/>
          <w:b/>
          <w:szCs w:val="21"/>
          <w:highlight w:val="none"/>
        </w:rPr>
        <w:t>附表A-12</w:t>
      </w:r>
      <w:r>
        <w:rPr>
          <w:rFonts w:ascii="Arial" w:hAnsi="Arial" w:cs="Arial"/>
          <w:szCs w:val="21"/>
          <w:highlight w:val="none"/>
        </w:rPr>
        <w:t>的格式填写</w:t>
      </w:r>
      <w:r>
        <w:rPr>
          <w:rFonts w:hint="eastAsia" w:ascii="Arial" w:hAnsi="Arial" w:cs="Arial"/>
          <w:szCs w:val="21"/>
          <w:highlight w:val="none"/>
        </w:rPr>
        <w:t>详细评审</w:t>
      </w:r>
      <w:r>
        <w:rPr>
          <w:rFonts w:ascii="Arial" w:hAnsi="Arial" w:cs="Arial"/>
          <w:szCs w:val="21"/>
          <w:highlight w:val="none"/>
        </w:rPr>
        <w:t>评</w:t>
      </w:r>
      <w:r>
        <w:rPr>
          <w:rFonts w:hint="eastAsia" w:ascii="Arial" w:hAnsi="Arial" w:cs="Arial"/>
          <w:szCs w:val="21"/>
          <w:highlight w:val="none"/>
        </w:rPr>
        <w:t>分</w:t>
      </w:r>
      <w:r>
        <w:rPr>
          <w:rFonts w:ascii="Arial" w:hAnsi="Arial" w:cs="Arial"/>
          <w:szCs w:val="21"/>
          <w:highlight w:val="none"/>
        </w:rPr>
        <w:t>汇总表。</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A4.8.2详细</w:t>
      </w:r>
      <w:r>
        <w:rPr>
          <w:rFonts w:ascii="Arial" w:hAnsi="Arial" w:cs="Arial"/>
          <w:szCs w:val="21"/>
          <w:highlight w:val="none"/>
        </w:rPr>
        <w:t>评审工作全部结束后，按照</w:t>
      </w:r>
      <w:r>
        <w:rPr>
          <w:rFonts w:hint="eastAsia" w:ascii="Arial" w:hAnsi="Arial" w:cs="Arial"/>
          <w:b/>
          <w:szCs w:val="21"/>
          <w:highlight w:val="none"/>
        </w:rPr>
        <w:t>附表A-13</w:t>
      </w:r>
      <w:r>
        <w:rPr>
          <w:rFonts w:ascii="Arial" w:hAnsi="Arial" w:cs="Arial"/>
          <w:szCs w:val="21"/>
          <w:highlight w:val="none"/>
        </w:rPr>
        <w:t>的格式</w:t>
      </w:r>
      <w:r>
        <w:rPr>
          <w:rFonts w:hint="eastAsia" w:ascii="Arial" w:hAnsi="Arial" w:cs="Arial"/>
          <w:szCs w:val="21"/>
          <w:highlight w:val="none"/>
        </w:rPr>
        <w:t>汇总各个评标委员会成员的详细评审评分结果，并按照详细评审最终得分由高至低的次序对投标人进行排序。</w:t>
      </w:r>
      <w:r>
        <w:rPr>
          <w:rFonts w:ascii="Arial" w:hAnsi="Arial" w:cs="Arial"/>
          <w:szCs w:val="21"/>
          <w:highlight w:val="none"/>
        </w:rPr>
        <w:t>如果出现</w:t>
      </w:r>
      <w:r>
        <w:rPr>
          <w:rFonts w:hint="eastAsia" w:ascii="Arial" w:hAnsi="Arial" w:cs="Arial"/>
          <w:szCs w:val="21"/>
          <w:highlight w:val="none"/>
        </w:rPr>
        <w:t>最终得分</w:t>
      </w:r>
      <w:r>
        <w:rPr>
          <w:rFonts w:ascii="Arial" w:hAnsi="Arial" w:cs="Arial"/>
          <w:szCs w:val="21"/>
          <w:highlight w:val="none"/>
        </w:rPr>
        <w:t>相同的情况</w:t>
      </w:r>
      <w:r>
        <w:rPr>
          <w:rFonts w:hint="eastAsia" w:ascii="Arial" w:hAnsi="Arial" w:cs="Arial"/>
          <w:szCs w:val="21"/>
          <w:highlight w:val="none"/>
        </w:rPr>
        <w:t>时，详见补充条款</w:t>
      </w:r>
      <w:r>
        <w:rPr>
          <w:rFonts w:hint="eastAsia" w:ascii="Arial" w:hAnsi="Arial" w:cs="Arial"/>
          <w:b/>
          <w:szCs w:val="21"/>
          <w:highlight w:val="none"/>
        </w:rPr>
        <w:t>A7.1</w:t>
      </w:r>
      <w:r>
        <w:rPr>
          <w:rFonts w:ascii="Arial" w:hAnsi="Arial" w:cs="Arial"/>
          <w:szCs w:val="21"/>
          <w:highlight w:val="none"/>
        </w:rPr>
        <w:t>排名次序的标准</w:t>
      </w:r>
      <w:r>
        <w:rPr>
          <w:rFonts w:hint="eastAsia" w:ascii="Arial" w:hAnsi="Arial" w:cs="Arial"/>
          <w:szCs w:val="21"/>
          <w:highlight w:val="none"/>
        </w:rPr>
        <w:t>。</w:t>
      </w:r>
    </w:p>
    <w:p>
      <w:pPr>
        <w:outlineLvl w:val="0"/>
        <w:rPr>
          <w:rFonts w:ascii="Arial" w:hAnsi="Arial" w:cs="Arial"/>
          <w:b/>
          <w:szCs w:val="21"/>
          <w:highlight w:val="none"/>
        </w:rPr>
      </w:pPr>
      <w:bookmarkStart w:id="229" w:name="_Toc434331127"/>
      <w:bookmarkStart w:id="230" w:name="_Toc395686573"/>
      <w:bookmarkStart w:id="231" w:name="_Toc14760"/>
      <w:r>
        <w:rPr>
          <w:rFonts w:hint="eastAsia" w:ascii="Arial" w:hAnsi="Arial" w:cs="Arial"/>
          <w:b/>
          <w:szCs w:val="21"/>
          <w:highlight w:val="none"/>
        </w:rPr>
        <w:t>A5  推荐中标候选人或者直接确定中标人</w:t>
      </w:r>
      <w:bookmarkEnd w:id="229"/>
      <w:bookmarkEnd w:id="230"/>
      <w:bookmarkEnd w:id="231"/>
    </w:p>
    <w:p>
      <w:pPr>
        <w:outlineLvl w:val="0"/>
        <w:rPr>
          <w:rFonts w:ascii="Arial" w:hAnsi="Arial" w:cs="Arial"/>
          <w:b/>
          <w:szCs w:val="21"/>
          <w:highlight w:val="none"/>
        </w:rPr>
      </w:pPr>
      <w:bookmarkStart w:id="232" w:name="_Toc434331128"/>
      <w:bookmarkStart w:id="233" w:name="_Toc395686574"/>
      <w:bookmarkStart w:id="234" w:name="_Toc10124"/>
      <w:r>
        <w:rPr>
          <w:rFonts w:hint="eastAsia" w:ascii="Arial" w:hAnsi="Arial" w:cs="Arial"/>
          <w:b/>
          <w:szCs w:val="21"/>
          <w:highlight w:val="none"/>
        </w:rPr>
        <w:t>A5.1 推荐中标候选人</w:t>
      </w:r>
      <w:bookmarkEnd w:id="232"/>
      <w:bookmarkEnd w:id="233"/>
      <w:bookmarkEnd w:id="234"/>
    </w:p>
    <w:p>
      <w:pPr>
        <w:spacing w:line="400" w:lineRule="exact"/>
        <w:ind w:firstLine="359" w:firstLineChars="171"/>
        <w:rPr>
          <w:rFonts w:ascii="Arial" w:hAnsi="Arial" w:cs="Arial"/>
          <w:szCs w:val="21"/>
          <w:highlight w:val="none"/>
        </w:rPr>
      </w:pPr>
      <w:r>
        <w:rPr>
          <w:rFonts w:hint="eastAsia" w:ascii="Arial" w:hAnsi="Arial" w:cs="Arial"/>
          <w:szCs w:val="21"/>
          <w:highlight w:val="none"/>
        </w:rPr>
        <w:t>A5.1.1  除第二章“投标人须知”前附表第7.1款授权直接确定中标人外，</w:t>
      </w:r>
      <w:r>
        <w:rPr>
          <w:rFonts w:ascii="Arial" w:hAnsi="Arial" w:cs="Arial"/>
          <w:szCs w:val="21"/>
          <w:highlight w:val="none"/>
        </w:rPr>
        <w:t>评标委员会在推荐中标候选人时，应遵照以下原则：</w:t>
      </w:r>
    </w:p>
    <w:p>
      <w:pPr>
        <w:numPr>
          <w:ilvl w:val="0"/>
          <w:numId w:val="9"/>
        </w:numPr>
        <w:spacing w:line="400" w:lineRule="exact"/>
        <w:ind w:left="0" w:firstLine="359"/>
        <w:rPr>
          <w:rFonts w:cs="Arial"/>
          <w:szCs w:val="21"/>
          <w:highlight w:val="none"/>
        </w:rPr>
      </w:pPr>
      <w:r>
        <w:rPr>
          <w:rFonts w:cs="Arial"/>
          <w:szCs w:val="21"/>
          <w:highlight w:val="none"/>
        </w:rPr>
        <w:t>评标委员会</w:t>
      </w:r>
      <w:r>
        <w:rPr>
          <w:rFonts w:hint="eastAsia" w:cs="Arial"/>
          <w:szCs w:val="21"/>
          <w:highlight w:val="none"/>
        </w:rPr>
        <w:t>按照最终得分</w:t>
      </w:r>
      <w:r>
        <w:rPr>
          <w:rFonts w:cs="Arial"/>
          <w:szCs w:val="21"/>
          <w:highlight w:val="none"/>
        </w:rPr>
        <w:t>由</w:t>
      </w:r>
      <w:r>
        <w:rPr>
          <w:rFonts w:hint="eastAsia" w:cs="Arial"/>
          <w:szCs w:val="21"/>
          <w:highlight w:val="none"/>
        </w:rPr>
        <w:t>高</w:t>
      </w:r>
      <w:r>
        <w:rPr>
          <w:rFonts w:cs="Arial"/>
          <w:szCs w:val="21"/>
          <w:highlight w:val="none"/>
        </w:rPr>
        <w:t>至</w:t>
      </w:r>
      <w:r>
        <w:rPr>
          <w:rFonts w:hint="eastAsia" w:cs="Arial"/>
          <w:szCs w:val="21"/>
          <w:highlight w:val="none"/>
        </w:rPr>
        <w:t>低</w:t>
      </w:r>
      <w:r>
        <w:rPr>
          <w:rFonts w:cs="Arial"/>
          <w:szCs w:val="21"/>
          <w:highlight w:val="none"/>
        </w:rPr>
        <w:t>的次序排列</w:t>
      </w:r>
      <w:r>
        <w:rPr>
          <w:rFonts w:hint="eastAsia" w:cs="Arial"/>
          <w:szCs w:val="21"/>
          <w:highlight w:val="none"/>
        </w:rPr>
        <w:t>，并根据第二章“投标人须知”前附表第</w:t>
      </w:r>
      <w:r>
        <w:rPr>
          <w:rFonts w:hint="eastAsia" w:ascii="Arial" w:hAnsi="Arial" w:cs="Arial"/>
          <w:bCs/>
          <w:szCs w:val="21"/>
          <w:highlight w:val="none"/>
        </w:rPr>
        <w:t>7.1</w:t>
      </w:r>
      <w:r>
        <w:rPr>
          <w:rFonts w:hint="eastAsia" w:cs="Arial"/>
          <w:szCs w:val="21"/>
          <w:highlight w:val="none"/>
        </w:rPr>
        <w:t>款规定的中标候选人数量，将排序在前的</w:t>
      </w:r>
      <w:r>
        <w:rPr>
          <w:rFonts w:cs="Arial"/>
          <w:szCs w:val="21"/>
          <w:highlight w:val="none"/>
        </w:rPr>
        <w:t>投标人</w:t>
      </w:r>
      <w:r>
        <w:rPr>
          <w:rFonts w:hint="eastAsia" w:cs="Arial"/>
          <w:szCs w:val="21"/>
          <w:highlight w:val="none"/>
        </w:rPr>
        <w:t>推荐为</w:t>
      </w:r>
      <w:r>
        <w:rPr>
          <w:rFonts w:cs="Arial"/>
          <w:szCs w:val="21"/>
          <w:highlight w:val="none"/>
        </w:rPr>
        <w:t>中标候选人。</w:t>
      </w:r>
    </w:p>
    <w:p>
      <w:pPr>
        <w:numPr>
          <w:ilvl w:val="0"/>
          <w:numId w:val="9"/>
        </w:numPr>
        <w:spacing w:line="400" w:lineRule="exact"/>
        <w:ind w:left="0" w:firstLine="359"/>
        <w:rPr>
          <w:rFonts w:cs="Arial"/>
          <w:szCs w:val="21"/>
          <w:highlight w:val="none"/>
        </w:rPr>
      </w:pPr>
      <w:r>
        <w:rPr>
          <w:rFonts w:cs="Arial"/>
          <w:szCs w:val="21"/>
          <w:highlight w:val="none"/>
        </w:rPr>
        <w:t>如果评标委员会根据本</w:t>
      </w:r>
      <w:r>
        <w:rPr>
          <w:rFonts w:hint="eastAsia" w:cs="Arial"/>
          <w:szCs w:val="21"/>
          <w:highlight w:val="none"/>
        </w:rPr>
        <w:t>章</w:t>
      </w:r>
      <w:r>
        <w:rPr>
          <w:rFonts w:cs="Arial"/>
          <w:szCs w:val="21"/>
          <w:highlight w:val="none"/>
        </w:rPr>
        <w:t>的规定</w:t>
      </w:r>
      <w:r>
        <w:rPr>
          <w:rFonts w:hint="eastAsia" w:cs="Arial"/>
          <w:szCs w:val="21"/>
          <w:highlight w:val="none"/>
        </w:rPr>
        <w:t>作</w:t>
      </w:r>
      <w:r>
        <w:rPr>
          <w:rFonts w:cs="Arial"/>
          <w:szCs w:val="21"/>
          <w:highlight w:val="none"/>
        </w:rPr>
        <w:t>废标</w:t>
      </w:r>
      <w:r>
        <w:rPr>
          <w:rFonts w:hint="eastAsia" w:cs="Arial"/>
          <w:szCs w:val="21"/>
          <w:highlight w:val="none"/>
        </w:rPr>
        <w:t>处理</w:t>
      </w:r>
      <w:r>
        <w:rPr>
          <w:rFonts w:cs="Arial"/>
          <w:szCs w:val="21"/>
          <w:highlight w:val="none"/>
        </w:rPr>
        <w:t>后，有效投标不足三个，</w:t>
      </w:r>
      <w:r>
        <w:rPr>
          <w:rFonts w:hint="eastAsia" w:cs="Arial"/>
          <w:szCs w:val="21"/>
          <w:highlight w:val="none"/>
        </w:rPr>
        <w:t>且少于第二章“投标人须知”前附表第7.1款规定的中标候选人数量的，</w:t>
      </w:r>
      <w:r>
        <w:rPr>
          <w:rFonts w:cs="Arial"/>
          <w:szCs w:val="21"/>
          <w:highlight w:val="none"/>
        </w:rPr>
        <w:t>则评标委员会可以将所有有效投标按</w:t>
      </w:r>
      <w:r>
        <w:rPr>
          <w:rFonts w:hint="eastAsia" w:cs="Arial"/>
          <w:szCs w:val="21"/>
          <w:highlight w:val="none"/>
        </w:rPr>
        <w:t>最终得分</w:t>
      </w:r>
      <w:r>
        <w:rPr>
          <w:rFonts w:cs="Arial"/>
          <w:szCs w:val="21"/>
          <w:highlight w:val="none"/>
        </w:rPr>
        <w:t>由</w:t>
      </w:r>
      <w:r>
        <w:rPr>
          <w:rFonts w:hint="eastAsia" w:cs="Arial"/>
          <w:szCs w:val="21"/>
          <w:highlight w:val="none"/>
        </w:rPr>
        <w:t>高</w:t>
      </w:r>
      <w:r>
        <w:rPr>
          <w:rFonts w:cs="Arial"/>
          <w:szCs w:val="21"/>
          <w:highlight w:val="none"/>
        </w:rPr>
        <w:t>至</w:t>
      </w:r>
      <w:r>
        <w:rPr>
          <w:rFonts w:hint="eastAsia" w:cs="Arial"/>
          <w:szCs w:val="21"/>
          <w:highlight w:val="none"/>
        </w:rPr>
        <w:t>低</w:t>
      </w:r>
      <w:r>
        <w:rPr>
          <w:rFonts w:cs="Arial"/>
          <w:szCs w:val="21"/>
          <w:highlight w:val="none"/>
        </w:rPr>
        <w:t>的次序作为中标候选人向招标人推荐。如果因有效投标不足三个使得投标明显缺乏竞争的，评标委员会可以建议招标人重新招标。</w:t>
      </w:r>
    </w:p>
    <w:p>
      <w:pPr>
        <w:spacing w:line="400" w:lineRule="exact"/>
        <w:ind w:left="360"/>
        <w:rPr>
          <w:rFonts w:cs="Arial"/>
          <w:szCs w:val="21"/>
          <w:highlight w:val="none"/>
        </w:rPr>
      </w:pPr>
      <w:r>
        <w:rPr>
          <w:rFonts w:hint="eastAsia" w:ascii="Arial" w:hAnsi="Arial" w:cs="Arial"/>
          <w:szCs w:val="21"/>
          <w:highlight w:val="none"/>
        </w:rPr>
        <w:t xml:space="preserve">A5.2.2  </w:t>
      </w:r>
      <w:r>
        <w:rPr>
          <w:rFonts w:ascii="Arial" w:hAnsi="Arial" w:cs="Arial"/>
          <w:szCs w:val="21"/>
          <w:highlight w:val="none"/>
        </w:rPr>
        <w:t>投标人数量少于三个或者所有投标被否决的</w:t>
      </w:r>
      <w:r>
        <w:rPr>
          <w:rFonts w:hint="eastAsia" w:ascii="Arial" w:hAnsi="Arial" w:cs="Arial"/>
          <w:szCs w:val="21"/>
          <w:highlight w:val="none"/>
        </w:rPr>
        <w:t>，</w:t>
      </w:r>
      <w:r>
        <w:rPr>
          <w:rFonts w:ascii="Arial" w:hAnsi="Arial" w:cs="Arial"/>
          <w:szCs w:val="21"/>
          <w:highlight w:val="none"/>
        </w:rPr>
        <w:t>招标人应当依法重新招标。</w:t>
      </w:r>
    </w:p>
    <w:p>
      <w:pPr>
        <w:outlineLvl w:val="0"/>
        <w:rPr>
          <w:rFonts w:ascii="Arial" w:hAnsi="Arial" w:cs="Arial"/>
          <w:b/>
          <w:szCs w:val="21"/>
          <w:highlight w:val="none"/>
        </w:rPr>
      </w:pPr>
      <w:bookmarkStart w:id="235" w:name="_Toc434331129"/>
      <w:bookmarkStart w:id="236" w:name="_Toc395686575"/>
      <w:bookmarkStart w:id="237" w:name="_Toc15653"/>
      <w:r>
        <w:rPr>
          <w:rFonts w:hint="eastAsia" w:ascii="Arial" w:hAnsi="Arial" w:cs="Arial"/>
          <w:b/>
          <w:szCs w:val="21"/>
          <w:highlight w:val="none"/>
        </w:rPr>
        <w:t>A5.2 直接确定中标人</w:t>
      </w:r>
      <w:bookmarkEnd w:id="235"/>
      <w:bookmarkEnd w:id="236"/>
      <w:bookmarkEnd w:id="237"/>
    </w:p>
    <w:p>
      <w:pPr>
        <w:spacing w:line="400" w:lineRule="exact"/>
        <w:ind w:firstLine="359" w:firstLineChars="171"/>
        <w:rPr>
          <w:highlight w:val="none"/>
        </w:rPr>
      </w:pPr>
      <w:r>
        <w:rPr>
          <w:rFonts w:hint="eastAsia"/>
          <w:highlight w:val="none"/>
        </w:rPr>
        <w:t xml:space="preserve"> 第二章“投标人须知”前附表授权评标委员会直接确定中标人的，</w:t>
      </w:r>
      <w:r>
        <w:rPr>
          <w:rFonts w:ascii="Arial" w:hAnsi="Arial" w:cs="Arial"/>
          <w:szCs w:val="21"/>
          <w:highlight w:val="none"/>
        </w:rPr>
        <w:t>评标委员会</w:t>
      </w:r>
      <w:r>
        <w:rPr>
          <w:rFonts w:hint="eastAsia" w:ascii="Arial" w:hAnsi="Arial" w:cs="Arial"/>
          <w:szCs w:val="21"/>
          <w:highlight w:val="none"/>
        </w:rPr>
        <w:t>按照最终得分</w:t>
      </w:r>
      <w:r>
        <w:rPr>
          <w:rFonts w:ascii="Arial" w:hAnsi="Arial" w:cs="Arial"/>
          <w:szCs w:val="21"/>
          <w:highlight w:val="none"/>
        </w:rPr>
        <w:t>由</w:t>
      </w:r>
      <w:r>
        <w:rPr>
          <w:rFonts w:hint="eastAsia" w:ascii="Arial" w:hAnsi="Arial" w:cs="Arial"/>
          <w:szCs w:val="21"/>
          <w:highlight w:val="none"/>
        </w:rPr>
        <w:t>高</w:t>
      </w:r>
      <w:r>
        <w:rPr>
          <w:rFonts w:ascii="Arial" w:hAnsi="Arial" w:cs="Arial"/>
          <w:szCs w:val="21"/>
          <w:highlight w:val="none"/>
        </w:rPr>
        <w:t>至</w:t>
      </w:r>
      <w:r>
        <w:rPr>
          <w:rFonts w:hint="eastAsia" w:ascii="Arial" w:hAnsi="Arial" w:cs="Arial"/>
          <w:szCs w:val="21"/>
          <w:highlight w:val="none"/>
        </w:rPr>
        <w:t>低</w:t>
      </w:r>
      <w:r>
        <w:rPr>
          <w:rFonts w:ascii="Arial" w:hAnsi="Arial" w:cs="Arial"/>
          <w:szCs w:val="21"/>
          <w:highlight w:val="none"/>
        </w:rPr>
        <w:t>的次序排列</w:t>
      </w:r>
      <w:r>
        <w:rPr>
          <w:rFonts w:hint="eastAsia" w:ascii="Arial" w:hAnsi="Arial" w:cs="Arial"/>
          <w:szCs w:val="21"/>
          <w:highlight w:val="none"/>
        </w:rPr>
        <w:t>，</w:t>
      </w:r>
      <w:r>
        <w:rPr>
          <w:rFonts w:hint="eastAsia"/>
          <w:highlight w:val="none"/>
        </w:rPr>
        <w:t>并确定排名第一的投标人为中标人。</w:t>
      </w:r>
    </w:p>
    <w:p>
      <w:pPr>
        <w:outlineLvl w:val="0"/>
        <w:rPr>
          <w:rFonts w:ascii="Arial" w:hAnsi="Arial" w:cs="Arial"/>
          <w:b/>
          <w:szCs w:val="21"/>
          <w:highlight w:val="none"/>
        </w:rPr>
      </w:pPr>
      <w:bookmarkStart w:id="238" w:name="_Toc16256"/>
      <w:bookmarkStart w:id="239" w:name="_Toc395686576"/>
      <w:bookmarkStart w:id="240" w:name="_Toc434331130"/>
      <w:r>
        <w:rPr>
          <w:rFonts w:hint="eastAsia" w:ascii="Arial" w:hAnsi="Arial" w:cs="Arial"/>
          <w:b/>
          <w:szCs w:val="21"/>
          <w:highlight w:val="none"/>
        </w:rPr>
        <w:t>A5.3 编制评标报告</w:t>
      </w:r>
      <w:bookmarkEnd w:id="238"/>
      <w:bookmarkEnd w:id="239"/>
      <w:bookmarkEnd w:id="240"/>
    </w:p>
    <w:p>
      <w:pPr>
        <w:spacing w:line="400" w:lineRule="exact"/>
        <w:ind w:firstLine="359" w:firstLineChars="171"/>
        <w:rPr>
          <w:rFonts w:cs="Arial"/>
          <w:szCs w:val="21"/>
          <w:highlight w:val="none"/>
        </w:rPr>
      </w:pPr>
      <w:r>
        <w:rPr>
          <w:rFonts w:hint="eastAsia"/>
          <w:highlight w:val="none"/>
        </w:rPr>
        <w:t>评标委员会根据本章第3.4.2项的规定向招标人提交</w:t>
      </w:r>
      <w:r>
        <w:rPr>
          <w:highlight w:val="none"/>
        </w:rPr>
        <w:t>评标</w:t>
      </w:r>
      <w:r>
        <w:rPr>
          <w:rFonts w:hint="eastAsia"/>
          <w:highlight w:val="none"/>
        </w:rPr>
        <w:t>报告。</w:t>
      </w:r>
      <w:r>
        <w:rPr>
          <w:highlight w:val="none"/>
        </w:rPr>
        <w:t>评标报告应当由全体评标委员会成员签字</w:t>
      </w:r>
      <w:r>
        <w:rPr>
          <w:rFonts w:hint="eastAsia"/>
          <w:highlight w:val="none"/>
        </w:rPr>
        <w:t>，</w:t>
      </w:r>
      <w:r>
        <w:rPr>
          <w:highlight w:val="none"/>
        </w:rPr>
        <w:t>并</w:t>
      </w:r>
      <w:r>
        <w:rPr>
          <w:rFonts w:hint="eastAsia"/>
          <w:highlight w:val="none"/>
        </w:rPr>
        <w:t>于评标结束时</w:t>
      </w:r>
      <w:r>
        <w:rPr>
          <w:highlight w:val="none"/>
        </w:rPr>
        <w:t>抄送有关行政监督部门</w:t>
      </w:r>
      <w:r>
        <w:rPr>
          <w:rFonts w:hint="eastAsia"/>
          <w:highlight w:val="none"/>
        </w:rPr>
        <w:t>。</w:t>
      </w:r>
    </w:p>
    <w:p>
      <w:pPr>
        <w:outlineLvl w:val="0"/>
        <w:rPr>
          <w:rFonts w:ascii="黑体" w:eastAsia="黑体" w:cs="Arial"/>
          <w:sz w:val="24"/>
          <w:highlight w:val="none"/>
        </w:rPr>
      </w:pPr>
      <w:bookmarkStart w:id="241" w:name="_Toc3116"/>
      <w:bookmarkStart w:id="242" w:name="_Toc434331131"/>
      <w:bookmarkStart w:id="243" w:name="_Toc395686577"/>
      <w:r>
        <w:rPr>
          <w:rFonts w:hint="eastAsia" w:cs="Arial"/>
          <w:b/>
          <w:szCs w:val="21"/>
          <w:highlight w:val="none"/>
        </w:rPr>
        <w:t>A6. 特殊情况的处置程序</w:t>
      </w:r>
      <w:bookmarkEnd w:id="241"/>
      <w:bookmarkEnd w:id="242"/>
      <w:bookmarkEnd w:id="243"/>
    </w:p>
    <w:bookmarkEnd w:id="37"/>
    <w:bookmarkEnd w:id="38"/>
    <w:bookmarkEnd w:id="39"/>
    <w:bookmarkEnd w:id="40"/>
    <w:p>
      <w:pPr>
        <w:spacing w:line="400" w:lineRule="exact"/>
        <w:ind w:firstLine="359" w:firstLineChars="171"/>
        <w:rPr>
          <w:rFonts w:ascii="Arial" w:hAnsi="Arial" w:cs="Arial"/>
          <w:b/>
          <w:szCs w:val="21"/>
          <w:highlight w:val="none"/>
        </w:rPr>
      </w:pPr>
      <w:r>
        <w:rPr>
          <w:rFonts w:hint="eastAsia" w:ascii="Arial" w:hAnsi="Arial" w:cs="Arial"/>
          <w:szCs w:val="21"/>
          <w:highlight w:val="none"/>
        </w:rPr>
        <w:t xml:space="preserve">A6.2.1 </w:t>
      </w:r>
      <w:r>
        <w:rPr>
          <w:rFonts w:ascii="Arial" w:hAnsi="Arial" w:cs="Arial"/>
          <w:szCs w:val="21"/>
          <w:highlight w:val="none"/>
        </w:rPr>
        <w:t>评标委员会应当执行连续评标的原则，按评标办法中规定的程序、内容、方法、标准完成全部评标工作。只有发生不可抗力导致评标工作无法继续时，评标活动方可暂停。</w:t>
      </w:r>
    </w:p>
    <w:p>
      <w:pPr>
        <w:tabs>
          <w:tab w:val="left" w:pos="780"/>
        </w:tabs>
        <w:spacing w:line="400" w:lineRule="exact"/>
        <w:ind w:firstLine="359" w:firstLineChars="171"/>
        <w:rPr>
          <w:rFonts w:ascii="Arial" w:hAnsi="Arial" w:cs="Arial"/>
          <w:szCs w:val="21"/>
          <w:highlight w:val="none"/>
        </w:rPr>
      </w:pPr>
      <w:r>
        <w:rPr>
          <w:rFonts w:hint="eastAsia" w:ascii="Arial" w:hAnsi="Arial" w:cs="Arial"/>
          <w:szCs w:val="21"/>
          <w:highlight w:val="none"/>
        </w:rPr>
        <w:t xml:space="preserve">A6.2.2 </w:t>
      </w:r>
      <w:r>
        <w:rPr>
          <w:rFonts w:ascii="Arial" w:hAnsi="Arial" w:cs="Arial"/>
          <w:szCs w:val="21"/>
          <w:highlight w:val="none"/>
        </w:rPr>
        <w:t>发生评标暂停情况时，评标委员会应当封存全部投标文件和评标记录，待不可抗力的影响结束且具备继续评标的条件时，由原评标委员会继续评标。</w:t>
      </w:r>
    </w:p>
    <w:p>
      <w:pPr>
        <w:outlineLvl w:val="0"/>
        <w:rPr>
          <w:rFonts w:ascii="Arial" w:hAnsi="Arial" w:cs="Arial"/>
          <w:b/>
          <w:szCs w:val="21"/>
          <w:highlight w:val="none"/>
        </w:rPr>
      </w:pPr>
      <w:bookmarkStart w:id="244" w:name="_Toc4954"/>
      <w:bookmarkStart w:id="245" w:name="_Toc395686580"/>
      <w:bookmarkStart w:id="246" w:name="_Toc434331134"/>
      <w:r>
        <w:rPr>
          <w:rFonts w:hint="eastAsia" w:ascii="Arial" w:hAnsi="Arial" w:cs="Arial"/>
          <w:b/>
          <w:szCs w:val="21"/>
          <w:highlight w:val="none"/>
        </w:rPr>
        <w:t xml:space="preserve">A6.3  </w:t>
      </w:r>
      <w:r>
        <w:rPr>
          <w:rFonts w:ascii="Arial" w:hAnsi="Arial" w:cs="Arial"/>
          <w:b/>
          <w:szCs w:val="21"/>
          <w:highlight w:val="none"/>
        </w:rPr>
        <w:t>关于评标中途更换评委</w:t>
      </w:r>
      <w:bookmarkEnd w:id="244"/>
      <w:bookmarkEnd w:id="245"/>
      <w:bookmarkEnd w:id="246"/>
    </w:p>
    <w:p>
      <w:pPr>
        <w:spacing w:line="400" w:lineRule="exact"/>
        <w:ind w:firstLine="359" w:firstLineChars="171"/>
        <w:rPr>
          <w:rFonts w:ascii="Arial" w:hAnsi="Arial" w:cs="Arial"/>
          <w:szCs w:val="21"/>
          <w:highlight w:val="none"/>
        </w:rPr>
      </w:pPr>
      <w:r>
        <w:rPr>
          <w:rFonts w:hint="eastAsia" w:ascii="Arial" w:hAnsi="Arial" w:cs="Arial"/>
          <w:szCs w:val="21"/>
          <w:highlight w:val="none"/>
        </w:rPr>
        <w:t xml:space="preserve">A6.3.1  </w:t>
      </w:r>
      <w:r>
        <w:rPr>
          <w:rFonts w:ascii="Arial" w:hAnsi="Arial" w:cs="Arial"/>
          <w:szCs w:val="21"/>
          <w:highlight w:val="none"/>
        </w:rPr>
        <w:t>除非发生下列情况之一，评标委员会成员不得在评标中途更换：</w:t>
      </w:r>
    </w:p>
    <w:p>
      <w:pPr>
        <w:numPr>
          <w:ilvl w:val="0"/>
          <w:numId w:val="10"/>
        </w:numPr>
        <w:tabs>
          <w:tab w:val="left" w:pos="1080"/>
        </w:tabs>
        <w:spacing w:line="400" w:lineRule="exact"/>
        <w:rPr>
          <w:rFonts w:ascii="Arial" w:hAnsi="Arial" w:cs="Arial"/>
          <w:szCs w:val="21"/>
          <w:highlight w:val="none"/>
        </w:rPr>
      </w:pPr>
      <w:r>
        <w:rPr>
          <w:rFonts w:ascii="Arial" w:hAnsi="Arial" w:cs="Arial"/>
          <w:szCs w:val="21"/>
          <w:highlight w:val="none"/>
        </w:rPr>
        <w:t>因不可抗拒的客观原因，不能到场或需在评标中途退出评标活动</w:t>
      </w:r>
      <w:r>
        <w:rPr>
          <w:rFonts w:hint="eastAsia" w:ascii="Arial" w:hAnsi="Arial" w:cs="Arial"/>
          <w:szCs w:val="21"/>
          <w:highlight w:val="none"/>
        </w:rPr>
        <w:t>。</w:t>
      </w:r>
    </w:p>
    <w:p>
      <w:pPr>
        <w:numPr>
          <w:ilvl w:val="0"/>
          <w:numId w:val="10"/>
        </w:numPr>
        <w:tabs>
          <w:tab w:val="left" w:pos="1080"/>
        </w:tabs>
        <w:spacing w:line="400" w:lineRule="exact"/>
        <w:rPr>
          <w:rFonts w:ascii="Arial" w:hAnsi="Arial" w:cs="Arial"/>
          <w:szCs w:val="21"/>
          <w:highlight w:val="none"/>
        </w:rPr>
      </w:pPr>
      <w:r>
        <w:rPr>
          <w:rFonts w:ascii="Arial" w:hAnsi="Arial" w:cs="Arial"/>
          <w:szCs w:val="21"/>
          <w:highlight w:val="none"/>
        </w:rPr>
        <w:t>根据法律法规规定</w:t>
      </w:r>
      <w:r>
        <w:rPr>
          <w:rFonts w:hint="eastAsia" w:ascii="Arial" w:hAnsi="Arial" w:cs="Arial"/>
          <w:szCs w:val="21"/>
          <w:highlight w:val="none"/>
        </w:rPr>
        <w:t>，某个或某几个评标委员会成员</w:t>
      </w:r>
      <w:r>
        <w:rPr>
          <w:rFonts w:ascii="Arial" w:hAnsi="Arial" w:cs="Arial"/>
          <w:szCs w:val="21"/>
          <w:highlight w:val="none"/>
        </w:rPr>
        <w:t>需要回避。</w:t>
      </w:r>
    </w:p>
    <w:p>
      <w:pPr>
        <w:spacing w:line="400" w:lineRule="exact"/>
        <w:ind w:firstLine="359" w:firstLineChars="171"/>
        <w:rPr>
          <w:rFonts w:ascii="Arial" w:hAnsi="Arial" w:cs="Arial"/>
          <w:szCs w:val="21"/>
          <w:highlight w:val="none"/>
        </w:rPr>
      </w:pPr>
      <w:r>
        <w:rPr>
          <w:rFonts w:hint="eastAsia" w:ascii="Arial" w:hAnsi="Arial" w:cs="Arial"/>
          <w:szCs w:val="21"/>
          <w:highlight w:val="none"/>
        </w:rPr>
        <w:t xml:space="preserve">A6.3.2  </w:t>
      </w:r>
      <w:r>
        <w:rPr>
          <w:rFonts w:ascii="Arial" w:hAnsi="Arial" w:cs="Arial"/>
          <w:szCs w:val="21"/>
          <w:highlight w:val="none"/>
        </w:rPr>
        <w:t>退出评标的</w:t>
      </w:r>
      <w:r>
        <w:rPr>
          <w:rFonts w:hint="eastAsia" w:ascii="Arial" w:hAnsi="Arial" w:cs="Arial"/>
          <w:szCs w:val="21"/>
          <w:highlight w:val="none"/>
        </w:rPr>
        <w:t>评标委员会成员</w:t>
      </w:r>
      <w:r>
        <w:rPr>
          <w:rFonts w:ascii="Arial" w:hAnsi="Arial" w:cs="Arial"/>
          <w:szCs w:val="21"/>
          <w:highlight w:val="none"/>
        </w:rPr>
        <w:t>，其已完成的评标行为无效。由招标人根据本</w:t>
      </w:r>
      <w:r>
        <w:rPr>
          <w:rFonts w:hint="eastAsia" w:ascii="Arial" w:hAnsi="Arial" w:cs="Arial"/>
          <w:szCs w:val="21"/>
          <w:highlight w:val="none"/>
        </w:rPr>
        <w:t>招标文件</w:t>
      </w:r>
      <w:r>
        <w:rPr>
          <w:rFonts w:ascii="Arial" w:hAnsi="Arial" w:cs="Arial"/>
          <w:szCs w:val="21"/>
          <w:highlight w:val="none"/>
        </w:rPr>
        <w:t>规定的评标委员会成员生产方式另行确定替代者进行评标。</w:t>
      </w:r>
    </w:p>
    <w:p>
      <w:pPr>
        <w:outlineLvl w:val="0"/>
        <w:rPr>
          <w:rFonts w:ascii="Arial" w:hAnsi="Arial" w:cs="Arial"/>
          <w:b/>
          <w:szCs w:val="21"/>
          <w:highlight w:val="none"/>
        </w:rPr>
      </w:pPr>
      <w:bookmarkStart w:id="247" w:name="_Toc434331135"/>
      <w:bookmarkStart w:id="248" w:name="_Toc15594"/>
      <w:bookmarkStart w:id="249" w:name="_Toc395686581"/>
      <w:r>
        <w:rPr>
          <w:rFonts w:hint="eastAsia" w:ascii="Arial" w:hAnsi="Arial" w:cs="Arial"/>
          <w:b/>
          <w:szCs w:val="21"/>
          <w:highlight w:val="none"/>
        </w:rPr>
        <w:t>A6.4  记名投票</w:t>
      </w:r>
      <w:bookmarkEnd w:id="247"/>
      <w:bookmarkEnd w:id="248"/>
      <w:bookmarkEnd w:id="249"/>
    </w:p>
    <w:p>
      <w:pPr>
        <w:spacing w:line="400" w:lineRule="exact"/>
        <w:ind w:firstLine="357" w:firstLineChars="170"/>
        <w:rPr>
          <w:rFonts w:ascii="Arial" w:hAnsi="Arial" w:cs="Arial"/>
          <w:szCs w:val="21"/>
          <w:highlight w:val="none"/>
        </w:rPr>
      </w:pPr>
      <w:r>
        <w:rPr>
          <w:rFonts w:hint="eastAsia" w:ascii="Arial" w:hAnsi="Arial" w:cs="Arial"/>
          <w:szCs w:val="21"/>
          <w:highlight w:val="none"/>
        </w:rPr>
        <w:t>在任何评标环节中，需评标委员会就某项</w:t>
      </w:r>
      <w:r>
        <w:rPr>
          <w:rFonts w:ascii="Arial" w:hAnsi="Arial" w:cs="Arial"/>
          <w:szCs w:val="21"/>
          <w:highlight w:val="none"/>
        </w:rPr>
        <w:t>定性的</w:t>
      </w:r>
      <w:r>
        <w:rPr>
          <w:rFonts w:hint="eastAsia" w:ascii="Arial" w:hAnsi="Arial" w:cs="Arial"/>
          <w:szCs w:val="21"/>
          <w:highlight w:val="none"/>
        </w:rPr>
        <w:t>评审</w:t>
      </w:r>
      <w:r>
        <w:rPr>
          <w:rFonts w:ascii="Arial" w:hAnsi="Arial" w:cs="Arial"/>
          <w:szCs w:val="21"/>
          <w:highlight w:val="none"/>
        </w:rPr>
        <w:t>结论</w:t>
      </w:r>
      <w:r>
        <w:rPr>
          <w:rFonts w:hint="eastAsia" w:ascii="Arial" w:hAnsi="Arial" w:cs="Arial"/>
          <w:szCs w:val="21"/>
          <w:highlight w:val="none"/>
        </w:rPr>
        <w:t>做出表决的，</w:t>
      </w:r>
      <w:r>
        <w:rPr>
          <w:rFonts w:ascii="Arial" w:hAnsi="Arial" w:cs="Arial"/>
          <w:szCs w:val="21"/>
          <w:highlight w:val="none"/>
        </w:rPr>
        <w:t>由评标委员会全体</w:t>
      </w:r>
      <w:r>
        <w:rPr>
          <w:rFonts w:hint="eastAsia" w:ascii="Arial" w:hAnsi="Arial" w:cs="Arial"/>
          <w:szCs w:val="21"/>
          <w:highlight w:val="none"/>
        </w:rPr>
        <w:t>成员</w:t>
      </w:r>
      <w:r>
        <w:rPr>
          <w:rFonts w:ascii="Arial" w:hAnsi="Arial" w:cs="Arial"/>
          <w:szCs w:val="21"/>
          <w:highlight w:val="none"/>
        </w:rPr>
        <w:t>按</w:t>
      </w:r>
      <w:r>
        <w:rPr>
          <w:rFonts w:hint="eastAsia" w:ascii="Arial" w:hAnsi="Arial" w:cs="Arial"/>
          <w:szCs w:val="21"/>
          <w:highlight w:val="none"/>
        </w:rPr>
        <w:t>照</w:t>
      </w:r>
      <w:r>
        <w:rPr>
          <w:rFonts w:ascii="Arial" w:hAnsi="Arial" w:cs="Arial"/>
          <w:szCs w:val="21"/>
          <w:highlight w:val="none"/>
        </w:rPr>
        <w:t>少数服从多数的原则，以记名投票方式</w:t>
      </w:r>
      <w:r>
        <w:rPr>
          <w:rFonts w:hint="eastAsia" w:ascii="Arial" w:hAnsi="Arial" w:cs="Arial"/>
          <w:szCs w:val="21"/>
          <w:highlight w:val="none"/>
        </w:rPr>
        <w:t>表</w:t>
      </w:r>
      <w:r>
        <w:rPr>
          <w:rFonts w:ascii="Arial" w:hAnsi="Arial" w:cs="Arial"/>
          <w:szCs w:val="21"/>
          <w:highlight w:val="none"/>
        </w:rPr>
        <w:t>决。</w:t>
      </w:r>
    </w:p>
    <w:p>
      <w:pPr>
        <w:outlineLvl w:val="0"/>
        <w:rPr>
          <w:rFonts w:ascii="Arial" w:hAnsi="Arial" w:cs="Arial"/>
          <w:b/>
          <w:szCs w:val="21"/>
          <w:highlight w:val="none"/>
        </w:rPr>
      </w:pPr>
      <w:bookmarkStart w:id="250" w:name="_Toc395686582"/>
      <w:bookmarkStart w:id="251" w:name="_Toc434331136"/>
      <w:bookmarkStart w:id="252" w:name="_Toc11996"/>
      <w:r>
        <w:rPr>
          <w:rFonts w:hint="eastAsia" w:ascii="Arial" w:hAnsi="Arial" w:cs="Arial"/>
          <w:b/>
          <w:szCs w:val="21"/>
          <w:highlight w:val="none"/>
        </w:rPr>
        <w:t>A7. 补充条款</w:t>
      </w:r>
      <w:bookmarkEnd w:id="250"/>
      <w:bookmarkEnd w:id="251"/>
      <w:bookmarkEnd w:id="252"/>
    </w:p>
    <w:p>
      <w:pPr>
        <w:spacing w:line="400" w:lineRule="exact"/>
        <w:ind w:firstLine="315" w:firstLineChars="150"/>
        <w:rPr>
          <w:rFonts w:ascii="Arial" w:hAnsi="Arial" w:cs="Arial"/>
          <w:szCs w:val="21"/>
          <w:highlight w:val="none"/>
        </w:rPr>
      </w:pPr>
      <w:r>
        <w:rPr>
          <w:rFonts w:hint="eastAsia" w:ascii="Arial" w:hAnsi="Arial" w:cs="Arial"/>
          <w:szCs w:val="21"/>
          <w:highlight w:val="none"/>
        </w:rPr>
        <w:t>A7.1如果出现最终得分相同的情况，按照评标办法（综合评估法）正文部分第一条规定仍无法排出先后顺序的，确定先后顺序的标准如下：</w:t>
      </w:r>
      <w:r>
        <w:rPr>
          <w:rFonts w:hint="eastAsia" w:ascii="Arial" w:hAnsi="Arial" w:cs="Arial"/>
          <w:szCs w:val="21"/>
          <w:highlight w:val="none"/>
          <w:u w:val="single"/>
        </w:rPr>
        <w:t>综合评分相等时，按有效投标报价由低至高的顺序优先排名次序，有效投标报价也相同时，按照技术部分得分由高至低的顺序确定优先排名次序。</w:t>
      </w:r>
    </w:p>
    <w:p>
      <w:pPr>
        <w:pStyle w:val="3"/>
        <w:spacing w:before="0" w:after="156" w:afterLines="50" w:line="400" w:lineRule="exact"/>
        <w:rPr>
          <w:rFonts w:ascii="黑体" w:hAnsi="宋体" w:cs="Arial"/>
          <w:bCs w:val="0"/>
          <w:sz w:val="24"/>
          <w:highlight w:val="none"/>
        </w:rPr>
      </w:pPr>
      <w:r>
        <w:rPr>
          <w:rFonts w:cs="Arial"/>
          <w:szCs w:val="21"/>
          <w:highlight w:val="none"/>
        </w:rPr>
        <w:br w:type="page"/>
      </w:r>
      <w:bookmarkStart w:id="253" w:name="_Toc241459652"/>
      <w:bookmarkStart w:id="254" w:name="_Toc18770"/>
      <w:bookmarkStart w:id="255" w:name="_Toc434331137"/>
      <w:bookmarkStart w:id="256" w:name="_Toc342296255"/>
      <w:r>
        <w:rPr>
          <w:rFonts w:hint="eastAsia" w:ascii="黑体" w:hAnsi="宋体" w:cs="Arial"/>
          <w:bCs w:val="0"/>
          <w:sz w:val="24"/>
          <w:highlight w:val="none"/>
        </w:rPr>
        <w:t>附件</w:t>
      </w:r>
      <w:r>
        <w:rPr>
          <w:rFonts w:hint="eastAsia" w:ascii="宋体" w:hAnsi="宋体" w:cs="Arial"/>
          <w:sz w:val="24"/>
          <w:highlight w:val="none"/>
        </w:rPr>
        <w:t>B：</w:t>
      </w:r>
      <w:r>
        <w:rPr>
          <w:rFonts w:hint="eastAsia" w:ascii="黑体" w:hAnsi="宋体" w:cs="Arial"/>
          <w:bCs w:val="0"/>
          <w:sz w:val="24"/>
          <w:highlight w:val="none"/>
        </w:rPr>
        <w:t>废标条件</w:t>
      </w:r>
      <w:bookmarkEnd w:id="253"/>
      <w:bookmarkEnd w:id="254"/>
      <w:bookmarkEnd w:id="255"/>
      <w:bookmarkEnd w:id="256"/>
    </w:p>
    <w:p>
      <w:pPr>
        <w:spacing w:after="156" w:afterLines="50" w:line="300" w:lineRule="auto"/>
        <w:jc w:val="center"/>
        <w:rPr>
          <w:rFonts w:ascii="黑体" w:eastAsia="黑体" w:cs="Arial"/>
          <w:bCs/>
          <w:sz w:val="28"/>
          <w:szCs w:val="28"/>
          <w:highlight w:val="none"/>
        </w:rPr>
      </w:pPr>
      <w:r>
        <w:rPr>
          <w:rFonts w:hint="eastAsia" w:ascii="黑体" w:eastAsia="黑体" w:cs="Arial"/>
          <w:bCs/>
          <w:sz w:val="28"/>
          <w:szCs w:val="28"/>
          <w:highlight w:val="none"/>
        </w:rPr>
        <w:t>废标条件</w:t>
      </w:r>
    </w:p>
    <w:p>
      <w:pPr>
        <w:outlineLvl w:val="0"/>
        <w:rPr>
          <w:highlight w:val="none"/>
        </w:rPr>
      </w:pPr>
      <w:bookmarkStart w:id="257" w:name="_Toc395686584"/>
      <w:bookmarkStart w:id="258" w:name="_Toc434331138"/>
      <w:bookmarkStart w:id="259" w:name="_Toc13436"/>
      <w:r>
        <w:rPr>
          <w:rFonts w:hint="eastAsia"/>
          <w:b/>
          <w:highlight w:val="none"/>
        </w:rPr>
        <w:t>B0. 总  则</w:t>
      </w:r>
      <w:bookmarkEnd w:id="257"/>
      <w:bookmarkEnd w:id="258"/>
      <w:bookmarkEnd w:id="259"/>
    </w:p>
    <w:p>
      <w:pPr>
        <w:spacing w:line="400" w:lineRule="exact"/>
        <w:ind w:firstLine="420" w:firstLineChars="200"/>
        <w:rPr>
          <w:rFonts w:cs="Arial"/>
          <w:szCs w:val="21"/>
          <w:highlight w:val="none"/>
        </w:rPr>
      </w:pPr>
      <w:r>
        <w:rPr>
          <w:rFonts w:hint="eastAsia"/>
          <w:highlight w:val="none"/>
        </w:rPr>
        <w:t>本附件所集中列示的废标条件，是本章“评标办法”的组成部分，是对</w:t>
      </w:r>
      <w:r>
        <w:rPr>
          <w:rFonts w:hint="eastAsia" w:ascii="Arial" w:hAnsi="Arial" w:cs="Arial"/>
          <w:szCs w:val="21"/>
          <w:highlight w:val="none"/>
        </w:rPr>
        <w:t>第二章“投标人须知”和本章正文部分所规定的废标条件的总结和补充，如果出现不一致的情况，按</w:t>
      </w:r>
      <w:r>
        <w:rPr>
          <w:rFonts w:hint="eastAsia" w:ascii="Arial" w:hAnsi="Arial" w:cs="Arial"/>
          <w:b/>
          <w:szCs w:val="21"/>
          <w:highlight w:val="none"/>
        </w:rPr>
        <w:t>本附件</w:t>
      </w:r>
      <w:r>
        <w:rPr>
          <w:rFonts w:hint="eastAsia" w:ascii="Arial" w:hAnsi="Arial" w:cs="Arial"/>
          <w:szCs w:val="21"/>
          <w:highlight w:val="none"/>
        </w:rPr>
        <w:t>的规定执行。</w:t>
      </w:r>
    </w:p>
    <w:p>
      <w:pPr>
        <w:outlineLvl w:val="0"/>
        <w:rPr>
          <w:b/>
          <w:bCs/>
          <w:highlight w:val="none"/>
        </w:rPr>
      </w:pPr>
      <w:bookmarkStart w:id="260" w:name="_Toc395686585"/>
      <w:bookmarkStart w:id="261" w:name="_Toc434331139"/>
      <w:bookmarkStart w:id="262" w:name="_Toc24844"/>
      <w:r>
        <w:rPr>
          <w:rFonts w:hint="eastAsia"/>
          <w:b/>
          <w:bCs/>
          <w:highlight w:val="none"/>
        </w:rPr>
        <w:t>B1. 废标条件</w:t>
      </w:r>
      <w:bookmarkEnd w:id="260"/>
      <w:bookmarkEnd w:id="261"/>
      <w:bookmarkEnd w:id="262"/>
    </w:p>
    <w:p>
      <w:pPr>
        <w:spacing w:line="400" w:lineRule="exact"/>
        <w:ind w:firstLine="420" w:firstLineChars="200"/>
        <w:rPr>
          <w:highlight w:val="none"/>
        </w:rPr>
      </w:pPr>
      <w:r>
        <w:rPr>
          <w:rFonts w:hint="eastAsia"/>
          <w:highlight w:val="none"/>
        </w:rPr>
        <w:t>投标人或投标其投标文件有下列情形之一的，其作废标处理：</w:t>
      </w:r>
    </w:p>
    <w:p>
      <w:pPr>
        <w:numPr>
          <w:ilvl w:val="0"/>
          <w:numId w:val="11"/>
        </w:numPr>
        <w:spacing w:line="400" w:lineRule="exact"/>
        <w:ind w:left="0" w:firstLine="426"/>
        <w:rPr>
          <w:highlight w:val="none"/>
        </w:rPr>
      </w:pPr>
      <w:r>
        <w:rPr>
          <w:rFonts w:hint="eastAsia"/>
          <w:highlight w:val="none"/>
        </w:rPr>
        <w:t>有第二章“投标人须知”第1.4.3项规定的下列任何一种情形的：</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为招标人不具有独立法人资格的附属机构（单位）；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为本标段前期准备提供设计或咨询服务的，但设计施工总承包的除外；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为本标段的监理人；</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为本标段的代建人；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为本标段提供招标代理服务的；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与本标段的监理人或代建人或招标代理机构同为一个法定代表人的；</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与本标段的监理人或代建人或招标代理机构相互控股或参股的；</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与本标段的监理人或代建人或招标代理机构相互任职或工作的；</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被责令停业的；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 xml:space="preserve">被暂停或取消投标资格的； </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财产被接管或冻结的；</w:t>
      </w:r>
    </w:p>
    <w:p>
      <w:pPr>
        <w:numPr>
          <w:ilvl w:val="0"/>
          <w:numId w:val="12"/>
        </w:numPr>
        <w:spacing w:line="400" w:lineRule="exact"/>
        <w:rPr>
          <w:rFonts w:ascii="Arial" w:hAnsi="Arial" w:cs="Arial"/>
          <w:szCs w:val="21"/>
          <w:highlight w:val="none"/>
        </w:rPr>
      </w:pPr>
      <w:r>
        <w:rPr>
          <w:rFonts w:hint="eastAsia" w:ascii="Arial" w:hAnsi="Arial" w:cs="Arial"/>
          <w:szCs w:val="21"/>
          <w:highlight w:val="none"/>
        </w:rPr>
        <w:t>在最近三年内有骗取中标或严重违约或重大工程质量问题的。</w:t>
      </w:r>
    </w:p>
    <w:p>
      <w:pPr>
        <w:numPr>
          <w:ilvl w:val="0"/>
          <w:numId w:val="11"/>
        </w:numPr>
        <w:spacing w:line="400" w:lineRule="exact"/>
        <w:ind w:left="0" w:firstLine="426"/>
        <w:rPr>
          <w:highlight w:val="none"/>
        </w:rPr>
      </w:pPr>
      <w:r>
        <w:rPr>
          <w:rFonts w:hint="eastAsia"/>
          <w:highlight w:val="none"/>
        </w:rPr>
        <w:t xml:space="preserve"> </w:t>
      </w:r>
      <w:r>
        <w:rPr>
          <w:highlight w:val="none"/>
        </w:rPr>
        <w:t>与招标人存在利害关系</w:t>
      </w:r>
      <w:r>
        <w:rPr>
          <w:rFonts w:hint="eastAsia"/>
          <w:highlight w:val="none"/>
        </w:rPr>
        <w:t>且</w:t>
      </w:r>
      <w:r>
        <w:rPr>
          <w:highlight w:val="none"/>
        </w:rPr>
        <w:t>影响招标公正性的</w:t>
      </w:r>
      <w:r>
        <w:rPr>
          <w:rFonts w:hint="eastAsia"/>
          <w:highlight w:val="none"/>
        </w:rPr>
        <w:t>。</w:t>
      </w:r>
    </w:p>
    <w:p>
      <w:pPr>
        <w:numPr>
          <w:ilvl w:val="0"/>
          <w:numId w:val="11"/>
        </w:numPr>
        <w:spacing w:line="400" w:lineRule="exact"/>
        <w:ind w:left="0" w:firstLine="426"/>
        <w:rPr>
          <w:highlight w:val="none"/>
        </w:rPr>
      </w:pPr>
      <w:r>
        <w:rPr>
          <w:rFonts w:hint="eastAsia"/>
          <w:highlight w:val="none"/>
        </w:rPr>
        <w:t>有串通投标或弄虚作假或有其他违法行为的，包括：</w:t>
      </w:r>
    </w:p>
    <w:p>
      <w:pPr>
        <w:spacing w:line="400" w:lineRule="exact"/>
        <w:ind w:firstLine="718" w:firstLineChars="342"/>
        <w:rPr>
          <w:highlight w:val="none"/>
        </w:rPr>
      </w:pPr>
      <w:r>
        <w:rPr>
          <w:rFonts w:hint="eastAsia"/>
          <w:highlight w:val="none"/>
        </w:rPr>
        <w:t>其中有下列</w:t>
      </w:r>
      <w:r>
        <w:rPr>
          <w:highlight w:val="none"/>
        </w:rPr>
        <w:t>情形</w:t>
      </w:r>
      <w:r>
        <w:rPr>
          <w:rFonts w:hint="eastAsia"/>
          <w:highlight w:val="none"/>
        </w:rPr>
        <w:t>之一的，视为投标人相互串通投标</w:t>
      </w:r>
      <w:r>
        <w:rPr>
          <w:highlight w:val="none"/>
        </w:rPr>
        <w:t>：</w:t>
      </w:r>
    </w:p>
    <w:p>
      <w:pPr>
        <w:numPr>
          <w:ilvl w:val="0"/>
          <w:numId w:val="13"/>
        </w:numPr>
        <w:spacing w:line="400" w:lineRule="exact"/>
        <w:rPr>
          <w:rFonts w:ascii="Arial" w:hAnsi="Arial" w:cs="Arial"/>
          <w:szCs w:val="21"/>
          <w:highlight w:val="none"/>
        </w:rPr>
      </w:pPr>
      <w:r>
        <w:rPr>
          <w:rFonts w:ascii="Arial" w:hAnsi="Arial" w:cs="Arial"/>
          <w:szCs w:val="21"/>
          <w:highlight w:val="none"/>
        </w:rPr>
        <w:t>不同投标人的投标文件由同一单位或者个人编制的；</w:t>
      </w:r>
    </w:p>
    <w:p>
      <w:pPr>
        <w:numPr>
          <w:ilvl w:val="0"/>
          <w:numId w:val="13"/>
        </w:numPr>
        <w:spacing w:line="400" w:lineRule="exact"/>
        <w:rPr>
          <w:rFonts w:ascii="Arial" w:hAnsi="Arial" w:cs="Arial"/>
          <w:szCs w:val="21"/>
          <w:highlight w:val="none"/>
        </w:rPr>
      </w:pPr>
      <w:r>
        <w:rPr>
          <w:rFonts w:ascii="Arial" w:hAnsi="Arial" w:cs="Arial"/>
          <w:szCs w:val="21"/>
          <w:highlight w:val="none"/>
        </w:rPr>
        <w:t>不同投标人委托同一单位或者个人办理投标事宜的；</w:t>
      </w:r>
    </w:p>
    <w:p>
      <w:pPr>
        <w:numPr>
          <w:ilvl w:val="0"/>
          <w:numId w:val="13"/>
        </w:numPr>
        <w:spacing w:line="400" w:lineRule="exact"/>
        <w:rPr>
          <w:rFonts w:ascii="Arial" w:hAnsi="Arial" w:cs="Arial"/>
          <w:szCs w:val="21"/>
          <w:highlight w:val="none"/>
        </w:rPr>
      </w:pPr>
      <w:r>
        <w:rPr>
          <w:rFonts w:ascii="Arial" w:hAnsi="Arial" w:cs="Arial"/>
          <w:szCs w:val="21"/>
          <w:highlight w:val="none"/>
        </w:rPr>
        <w:t>不同投标人的投标文件载明的项目管理机构成员出现同一人的；</w:t>
      </w:r>
    </w:p>
    <w:p>
      <w:pPr>
        <w:numPr>
          <w:ilvl w:val="0"/>
          <w:numId w:val="13"/>
        </w:numPr>
        <w:spacing w:line="400" w:lineRule="exact"/>
        <w:rPr>
          <w:rFonts w:ascii="Arial" w:hAnsi="Arial" w:cs="Arial"/>
          <w:szCs w:val="21"/>
          <w:highlight w:val="none"/>
        </w:rPr>
      </w:pPr>
      <w:r>
        <w:rPr>
          <w:rFonts w:hint="eastAsia" w:ascii="Arial" w:hAnsi="Arial" w:cs="Arial"/>
          <w:szCs w:val="21"/>
          <w:highlight w:val="none"/>
        </w:rPr>
        <w:t>不同投标人的投标文件异常一致或者投标报价呈规律性差异；</w:t>
      </w:r>
    </w:p>
    <w:p>
      <w:pPr>
        <w:numPr>
          <w:ilvl w:val="0"/>
          <w:numId w:val="13"/>
        </w:numPr>
        <w:spacing w:line="400" w:lineRule="exact"/>
        <w:rPr>
          <w:rFonts w:ascii="Arial" w:hAnsi="Arial" w:cs="Arial"/>
          <w:szCs w:val="21"/>
          <w:highlight w:val="none"/>
        </w:rPr>
      </w:pPr>
      <w:r>
        <w:rPr>
          <w:rFonts w:ascii="Arial" w:hAnsi="Arial" w:cs="Arial"/>
          <w:szCs w:val="21"/>
          <w:highlight w:val="none"/>
        </w:rPr>
        <w:t>不同投标人的投标文件相互混装的；</w:t>
      </w:r>
    </w:p>
    <w:p>
      <w:pPr>
        <w:numPr>
          <w:ilvl w:val="0"/>
          <w:numId w:val="13"/>
        </w:numPr>
        <w:spacing w:line="400" w:lineRule="exact"/>
        <w:rPr>
          <w:rFonts w:ascii="Arial" w:hAnsi="Arial" w:cs="Arial"/>
          <w:szCs w:val="21"/>
          <w:highlight w:val="none"/>
        </w:rPr>
      </w:pPr>
      <w:r>
        <w:rPr>
          <w:rFonts w:ascii="Arial" w:hAnsi="Arial" w:cs="Arial"/>
          <w:szCs w:val="21"/>
          <w:highlight w:val="none"/>
        </w:rPr>
        <w:t>不同投标人的投标保证金从同一单位或者个人的账户转出的；</w:t>
      </w:r>
    </w:p>
    <w:p>
      <w:pPr>
        <w:numPr>
          <w:ilvl w:val="0"/>
          <w:numId w:val="13"/>
        </w:numPr>
        <w:spacing w:line="400" w:lineRule="exact"/>
        <w:rPr>
          <w:rFonts w:ascii="Arial" w:hAnsi="Arial" w:cs="Arial"/>
          <w:szCs w:val="21"/>
          <w:highlight w:val="none"/>
        </w:rPr>
      </w:pPr>
      <w:r>
        <w:rPr>
          <w:rFonts w:hint="eastAsia" w:ascii="Arial" w:hAnsi="Arial" w:cs="Arial"/>
          <w:szCs w:val="21"/>
          <w:highlight w:val="none"/>
        </w:rPr>
        <w:t>法律、法规、规章和规范性文件规定的其他串通投标的情形：</w:t>
      </w:r>
    </w:p>
    <w:p>
      <w:pPr>
        <w:numPr>
          <w:ilvl w:val="0"/>
          <w:numId w:val="11"/>
        </w:numPr>
        <w:spacing w:line="400" w:lineRule="exact"/>
        <w:ind w:left="0" w:firstLine="426"/>
        <w:rPr>
          <w:highlight w:val="none"/>
        </w:rPr>
      </w:pPr>
      <w:r>
        <w:rPr>
          <w:highlight w:val="none"/>
        </w:rPr>
        <w:t>　使用通过受让或者租借等方式获取的资格、资质证书投标</w:t>
      </w:r>
      <w:r>
        <w:rPr>
          <w:rFonts w:hint="eastAsia"/>
          <w:highlight w:val="none"/>
        </w:rPr>
        <w:t>，或</w:t>
      </w:r>
      <w:r>
        <w:rPr>
          <w:highlight w:val="none"/>
        </w:rPr>
        <w:t>以其他方式弄虚作假的</w:t>
      </w:r>
      <w:r>
        <w:rPr>
          <w:rFonts w:hint="eastAsia"/>
          <w:highlight w:val="none"/>
        </w:rPr>
        <w:t>。</w:t>
      </w:r>
    </w:p>
    <w:p>
      <w:pPr>
        <w:numPr>
          <w:ilvl w:val="0"/>
          <w:numId w:val="11"/>
        </w:numPr>
        <w:spacing w:line="400" w:lineRule="exact"/>
        <w:ind w:left="0" w:firstLine="426"/>
        <w:rPr>
          <w:highlight w:val="none"/>
        </w:rPr>
      </w:pPr>
      <w:r>
        <w:rPr>
          <w:rFonts w:hint="eastAsia"/>
          <w:highlight w:val="none"/>
        </w:rPr>
        <w:t>不按评标委员会要求澄清、说明或补正的。</w:t>
      </w:r>
    </w:p>
    <w:p>
      <w:pPr>
        <w:numPr>
          <w:ilvl w:val="0"/>
          <w:numId w:val="11"/>
        </w:numPr>
        <w:spacing w:line="400" w:lineRule="exact"/>
        <w:ind w:left="0" w:firstLine="426"/>
        <w:rPr>
          <w:highlight w:val="none"/>
        </w:rPr>
      </w:pPr>
      <w:r>
        <w:rPr>
          <w:rFonts w:hint="eastAsia"/>
          <w:highlight w:val="none"/>
        </w:rPr>
        <w:t>在形式评审、资格评审（适用于未进行资格预审的）、响应性评审中，评标委员会认定投标人的投标不符合评标办法前附表中规定的任何一项评审标准的。</w:t>
      </w:r>
    </w:p>
    <w:p>
      <w:pPr>
        <w:numPr>
          <w:ilvl w:val="0"/>
          <w:numId w:val="11"/>
        </w:numPr>
        <w:spacing w:line="400" w:lineRule="exact"/>
        <w:ind w:left="0" w:firstLine="426"/>
        <w:rPr>
          <w:highlight w:val="none"/>
        </w:rPr>
      </w:pPr>
      <w:r>
        <w:rPr>
          <w:rFonts w:hint="eastAsia"/>
          <w:highlight w:val="none"/>
        </w:rPr>
        <w:t>未披露或未真实披露投标人与其</w:t>
      </w:r>
      <w:r>
        <w:rPr>
          <w:highlight w:val="none"/>
        </w:rPr>
        <w:t>关联</w:t>
      </w:r>
      <w:r>
        <w:rPr>
          <w:rFonts w:hint="eastAsia"/>
          <w:highlight w:val="none"/>
        </w:rPr>
        <w:t>单位的关系的相关情况的。</w:t>
      </w:r>
    </w:p>
    <w:p>
      <w:pPr>
        <w:numPr>
          <w:ilvl w:val="0"/>
          <w:numId w:val="11"/>
        </w:numPr>
        <w:spacing w:line="400" w:lineRule="exact"/>
        <w:ind w:left="0" w:firstLine="420"/>
        <w:rPr>
          <w:highlight w:val="none"/>
        </w:rPr>
      </w:pPr>
      <w:r>
        <w:rPr>
          <w:rFonts w:hint="eastAsia"/>
          <w:highlight w:val="none"/>
        </w:rPr>
        <w:t>当投标人资格预审申请文件的内容发生下列重大变化时，未在投标文件提交截止时间前取得招标人的书面同意的，或者其在投标文件中更新的资料不符合资格预审文件中规定的审查标准的</w:t>
      </w:r>
      <w:r>
        <w:rPr>
          <w:highlight w:val="none"/>
        </w:rPr>
        <w:t>或者其投标影响招标公正性的</w:t>
      </w:r>
      <w:r>
        <w:rPr>
          <w:rFonts w:hint="eastAsia"/>
          <w:highlight w:val="none"/>
        </w:rPr>
        <w:t>。（适用于已进行资格预审的）</w:t>
      </w:r>
    </w:p>
    <w:p>
      <w:pPr>
        <w:numPr>
          <w:ilvl w:val="0"/>
          <w:numId w:val="14"/>
        </w:numPr>
        <w:spacing w:line="400" w:lineRule="exact"/>
        <w:rPr>
          <w:rFonts w:ascii="Arial" w:hAnsi="Arial" w:cs="Arial"/>
          <w:szCs w:val="21"/>
          <w:highlight w:val="none"/>
        </w:rPr>
      </w:pPr>
      <w:r>
        <w:rPr>
          <w:rFonts w:hint="eastAsia" w:ascii="Arial" w:hAnsi="Arial" w:cs="Arial"/>
          <w:szCs w:val="21"/>
          <w:highlight w:val="none"/>
        </w:rPr>
        <w:t>投标人名称变化；</w:t>
      </w:r>
    </w:p>
    <w:p>
      <w:pPr>
        <w:numPr>
          <w:ilvl w:val="0"/>
          <w:numId w:val="14"/>
        </w:numPr>
        <w:spacing w:line="400" w:lineRule="exact"/>
        <w:rPr>
          <w:rFonts w:ascii="Arial" w:hAnsi="Arial" w:cs="Arial"/>
          <w:szCs w:val="21"/>
          <w:highlight w:val="none"/>
        </w:rPr>
      </w:pPr>
      <w:r>
        <w:rPr>
          <w:rFonts w:hint="eastAsia" w:ascii="Arial" w:hAnsi="Arial" w:cs="Arial"/>
          <w:szCs w:val="21"/>
          <w:highlight w:val="none"/>
        </w:rPr>
        <w:t>投标人发生合并、分立、破产等重大变化；</w:t>
      </w:r>
    </w:p>
    <w:p>
      <w:pPr>
        <w:numPr>
          <w:ilvl w:val="0"/>
          <w:numId w:val="14"/>
        </w:numPr>
        <w:spacing w:line="400" w:lineRule="exact"/>
        <w:rPr>
          <w:rFonts w:ascii="Arial" w:hAnsi="Arial" w:cs="Arial"/>
          <w:szCs w:val="21"/>
          <w:highlight w:val="none"/>
        </w:rPr>
      </w:pPr>
      <w:r>
        <w:rPr>
          <w:rFonts w:hint="eastAsia" w:ascii="Arial" w:hAnsi="Arial" w:cs="Arial"/>
          <w:szCs w:val="21"/>
          <w:highlight w:val="none"/>
        </w:rPr>
        <w:t>投标人财务状况、经营状况发生重大变化；</w:t>
      </w:r>
    </w:p>
    <w:p>
      <w:pPr>
        <w:numPr>
          <w:ilvl w:val="0"/>
          <w:numId w:val="14"/>
        </w:numPr>
        <w:spacing w:line="400" w:lineRule="exact"/>
        <w:rPr>
          <w:rFonts w:ascii="Arial" w:hAnsi="Arial" w:cs="Arial"/>
          <w:szCs w:val="21"/>
          <w:highlight w:val="none"/>
        </w:rPr>
      </w:pPr>
      <w:r>
        <w:rPr>
          <w:rFonts w:hint="eastAsia" w:ascii="Arial" w:hAnsi="Arial" w:cs="Arial"/>
          <w:szCs w:val="21"/>
          <w:highlight w:val="none"/>
        </w:rPr>
        <w:t>更换项目经理；</w:t>
      </w:r>
    </w:p>
    <w:p>
      <w:pPr>
        <w:numPr>
          <w:ilvl w:val="0"/>
          <w:numId w:val="14"/>
        </w:numPr>
        <w:spacing w:line="400" w:lineRule="exact"/>
        <w:rPr>
          <w:rFonts w:ascii="Arial" w:hAnsi="Arial" w:cs="Arial"/>
          <w:szCs w:val="21"/>
          <w:highlight w:val="none"/>
        </w:rPr>
      </w:pPr>
      <w:r>
        <w:rPr>
          <w:rFonts w:hint="eastAsia" w:ascii="Arial" w:hAnsi="Arial" w:cs="Arial"/>
          <w:szCs w:val="21"/>
          <w:highlight w:val="none"/>
        </w:rPr>
        <w:t>联合体分工比例变化；</w:t>
      </w:r>
    </w:p>
    <w:p>
      <w:pPr>
        <w:numPr>
          <w:ilvl w:val="0"/>
          <w:numId w:val="11"/>
        </w:numPr>
        <w:spacing w:line="400" w:lineRule="exact"/>
        <w:ind w:left="0" w:firstLine="426"/>
        <w:rPr>
          <w:highlight w:val="none"/>
        </w:rPr>
      </w:pPr>
      <w:r>
        <w:rPr>
          <w:rFonts w:hint="eastAsia"/>
          <w:highlight w:val="none"/>
        </w:rPr>
        <w:t xml:space="preserve">   投标报价文件（投标函除外）未按招标文件规定的格式经造价人员和/或有注册执业资格的造价工程师签字并加盖执业专用章的；</w:t>
      </w:r>
    </w:p>
    <w:p>
      <w:pPr>
        <w:numPr>
          <w:ilvl w:val="0"/>
          <w:numId w:val="11"/>
        </w:numPr>
        <w:spacing w:line="400" w:lineRule="exact"/>
        <w:ind w:left="0" w:firstLine="426"/>
        <w:rPr>
          <w:highlight w:val="none"/>
        </w:rPr>
      </w:pPr>
      <w:r>
        <w:rPr>
          <w:rFonts w:hint="eastAsia"/>
          <w:highlight w:val="none"/>
        </w:rPr>
        <w:t>在施工组织设计和项目管理机构评审中，评标委员会认定投标人的投标未能通过此项评审的。</w:t>
      </w:r>
    </w:p>
    <w:p>
      <w:pPr>
        <w:numPr>
          <w:ilvl w:val="0"/>
          <w:numId w:val="11"/>
        </w:numPr>
        <w:spacing w:line="400" w:lineRule="exact"/>
        <w:rPr>
          <w:highlight w:val="none"/>
        </w:rPr>
      </w:pPr>
      <w:r>
        <w:rPr>
          <w:rFonts w:hint="eastAsia"/>
          <w:highlight w:val="none"/>
        </w:rPr>
        <w:t>评标委员会认定投标人以低于成本报价竞标的：</w:t>
      </w:r>
    </w:p>
    <w:p>
      <w:pPr>
        <w:numPr>
          <w:ilvl w:val="0"/>
          <w:numId w:val="11"/>
        </w:numPr>
        <w:spacing w:line="400" w:lineRule="exact"/>
        <w:rPr>
          <w:highlight w:val="none"/>
        </w:rPr>
      </w:pPr>
      <w:r>
        <w:rPr>
          <w:rFonts w:hint="eastAsia"/>
          <w:highlight w:val="none"/>
        </w:rPr>
        <w:t>投标人未按第二章“投标人须知”第10.7款下述规定出席开标会的：</w:t>
      </w:r>
    </w:p>
    <w:p>
      <w:pPr>
        <w:numPr>
          <w:ilvl w:val="0"/>
          <w:numId w:val="15"/>
        </w:numPr>
        <w:spacing w:line="400" w:lineRule="exact"/>
        <w:rPr>
          <w:rFonts w:ascii="Arial" w:hAnsi="Arial" w:cs="Arial"/>
          <w:szCs w:val="21"/>
          <w:highlight w:val="none"/>
        </w:rPr>
      </w:pPr>
      <w:r>
        <w:rPr>
          <w:rFonts w:ascii="Arial" w:hAnsi="Arial" w:cs="Arial"/>
          <w:szCs w:val="21"/>
          <w:highlight w:val="none"/>
        </w:rPr>
        <w:t>投标人拟派项目</w:t>
      </w:r>
      <w:r>
        <w:rPr>
          <w:rFonts w:hint="eastAsia" w:ascii="Arial" w:hAnsi="Arial" w:cs="Arial"/>
          <w:szCs w:val="21"/>
          <w:highlight w:val="none"/>
        </w:rPr>
        <w:t>经理</w:t>
      </w:r>
      <w:r>
        <w:rPr>
          <w:rFonts w:ascii="Arial" w:hAnsi="Arial" w:cs="Arial"/>
          <w:szCs w:val="21"/>
          <w:highlight w:val="none"/>
        </w:rPr>
        <w:t>出席开标会迟到</w:t>
      </w:r>
      <w:r>
        <w:rPr>
          <w:rFonts w:hint="eastAsia" w:ascii="Arial" w:hAnsi="Arial" w:cs="Arial"/>
          <w:szCs w:val="21"/>
          <w:highlight w:val="none"/>
        </w:rPr>
        <w:t>的；</w:t>
      </w:r>
    </w:p>
    <w:p>
      <w:pPr>
        <w:numPr>
          <w:ilvl w:val="0"/>
          <w:numId w:val="15"/>
        </w:numPr>
        <w:spacing w:line="400" w:lineRule="exact"/>
        <w:rPr>
          <w:rFonts w:ascii="Arial" w:hAnsi="Arial" w:cs="Arial"/>
          <w:szCs w:val="21"/>
          <w:highlight w:val="none"/>
        </w:rPr>
      </w:pPr>
      <w:r>
        <w:rPr>
          <w:rFonts w:hint="eastAsia" w:ascii="Arial" w:hAnsi="Arial" w:cs="Arial"/>
          <w:szCs w:val="21"/>
          <w:highlight w:val="none"/>
        </w:rPr>
        <w:t>未提交法</w:t>
      </w:r>
      <w:r>
        <w:rPr>
          <w:rFonts w:ascii="Arial" w:hAnsi="Arial" w:cs="Arial"/>
          <w:szCs w:val="21"/>
          <w:highlight w:val="none"/>
        </w:rPr>
        <w:t>定代表人身份证明文件</w:t>
      </w:r>
      <w:r>
        <w:rPr>
          <w:rFonts w:hint="eastAsia" w:ascii="Arial" w:hAnsi="Arial" w:cs="Arial"/>
          <w:szCs w:val="21"/>
          <w:highlight w:val="none"/>
        </w:rPr>
        <w:t>（适用于项目经理为法定代表人）</w:t>
      </w:r>
      <w:r>
        <w:rPr>
          <w:rFonts w:ascii="Arial" w:hAnsi="Arial" w:cs="Arial"/>
          <w:szCs w:val="21"/>
          <w:highlight w:val="none"/>
        </w:rPr>
        <w:t>或法定代表人授权委托书</w:t>
      </w:r>
      <w:r>
        <w:rPr>
          <w:rFonts w:hint="eastAsia" w:ascii="Arial" w:hAnsi="Arial" w:cs="Arial"/>
          <w:szCs w:val="21"/>
          <w:highlight w:val="none"/>
        </w:rPr>
        <w:t>（适用于项目经理非法定代表人）的；</w:t>
      </w:r>
    </w:p>
    <w:p>
      <w:pPr>
        <w:numPr>
          <w:ilvl w:val="0"/>
          <w:numId w:val="15"/>
        </w:numPr>
        <w:spacing w:line="400" w:lineRule="exact"/>
        <w:rPr>
          <w:rFonts w:ascii="Arial" w:hAnsi="Arial" w:cs="Arial"/>
          <w:szCs w:val="21"/>
          <w:highlight w:val="none"/>
        </w:rPr>
      </w:pPr>
      <w:r>
        <w:rPr>
          <w:rFonts w:ascii="Arial" w:hAnsi="Arial" w:cs="Arial"/>
          <w:szCs w:val="21"/>
          <w:highlight w:val="none"/>
        </w:rPr>
        <w:t>未持个人有效身份证明文件原件及复印件参加开标会的</w:t>
      </w:r>
      <w:r>
        <w:rPr>
          <w:rFonts w:hint="eastAsia" w:ascii="Arial" w:hAnsi="Arial" w:cs="Arial"/>
          <w:szCs w:val="21"/>
          <w:highlight w:val="none"/>
        </w:rPr>
        <w:t>；</w:t>
      </w:r>
    </w:p>
    <w:p>
      <w:pPr>
        <w:numPr>
          <w:ilvl w:val="0"/>
          <w:numId w:val="11"/>
        </w:numPr>
        <w:spacing w:line="400" w:lineRule="exact"/>
        <w:ind w:left="0" w:firstLine="420"/>
        <w:rPr>
          <w:rFonts w:cs="Arial"/>
          <w:szCs w:val="21"/>
          <w:highlight w:val="none"/>
        </w:rPr>
      </w:pPr>
      <w:r>
        <w:rPr>
          <w:rFonts w:hint="eastAsia" w:cs="Arial"/>
          <w:szCs w:val="21"/>
          <w:highlight w:val="none"/>
        </w:rPr>
        <w:t>投标人的开标授权代表对开标结果拒绝签字确认，且经招投标监管部门监管工作人员到场核实无误后，仍拒绝签字确认的。</w:t>
      </w:r>
    </w:p>
    <w:p>
      <w:pPr>
        <w:numPr>
          <w:ilvl w:val="0"/>
          <w:numId w:val="11"/>
        </w:numPr>
        <w:spacing w:line="400" w:lineRule="exact"/>
        <w:ind w:left="0" w:firstLine="420"/>
        <w:rPr>
          <w:highlight w:val="none"/>
        </w:rPr>
      </w:pPr>
      <w:r>
        <w:rPr>
          <w:highlight w:val="none"/>
        </w:rPr>
        <w:t>投标</w:t>
      </w:r>
      <w:r>
        <w:rPr>
          <w:rFonts w:hint="eastAsia"/>
          <w:highlight w:val="none"/>
        </w:rPr>
        <w:t>报</w:t>
      </w:r>
      <w:r>
        <w:rPr>
          <w:highlight w:val="none"/>
        </w:rPr>
        <w:t>价中包含的</w:t>
      </w:r>
      <w:r>
        <w:rPr>
          <w:rFonts w:hint="eastAsia"/>
          <w:highlight w:val="none"/>
        </w:rPr>
        <w:t>专业分包工程整项</w:t>
      </w:r>
      <w:r>
        <w:rPr>
          <w:highlight w:val="none"/>
        </w:rPr>
        <w:t>暂估价</w:t>
      </w:r>
      <w:r>
        <w:rPr>
          <w:rFonts w:hint="eastAsia"/>
          <w:highlight w:val="none"/>
        </w:rPr>
        <w:t>或材料和工程设备暂估单价或暂列金额</w:t>
      </w:r>
      <w:r>
        <w:rPr>
          <w:highlight w:val="none"/>
        </w:rPr>
        <w:t>与招标文件中</w:t>
      </w:r>
      <w:r>
        <w:rPr>
          <w:rFonts w:hint="eastAsia"/>
          <w:highlight w:val="none"/>
        </w:rPr>
        <w:t>给定</w:t>
      </w:r>
      <w:r>
        <w:rPr>
          <w:highlight w:val="none"/>
        </w:rPr>
        <w:t>的不一致的</w:t>
      </w:r>
      <w:r>
        <w:rPr>
          <w:rFonts w:hint="eastAsia"/>
          <w:highlight w:val="none"/>
        </w:rPr>
        <w:t>。</w:t>
      </w:r>
    </w:p>
    <w:p>
      <w:pPr>
        <w:numPr>
          <w:ilvl w:val="0"/>
          <w:numId w:val="11"/>
        </w:numPr>
        <w:spacing w:line="400" w:lineRule="exact"/>
        <w:ind w:left="0" w:firstLine="420"/>
        <w:rPr>
          <w:highlight w:val="none"/>
        </w:rPr>
      </w:pPr>
      <w:r>
        <w:rPr>
          <w:rFonts w:hint="eastAsia"/>
          <w:highlight w:val="none"/>
        </w:rPr>
        <w:t>投标文件内容不全或关键字迹模糊、无法辨认。</w:t>
      </w:r>
    </w:p>
    <w:p>
      <w:pPr>
        <w:numPr>
          <w:ilvl w:val="0"/>
          <w:numId w:val="11"/>
        </w:numPr>
        <w:spacing w:line="400" w:lineRule="exact"/>
        <w:ind w:left="0" w:firstLine="420"/>
        <w:rPr>
          <w:highlight w:val="none"/>
        </w:rPr>
      </w:pPr>
      <w:r>
        <w:rPr>
          <w:rFonts w:hint="eastAsia"/>
          <w:highlight w:val="none"/>
        </w:rPr>
        <w:t>未按照招标文件要求制定相应的安全文明施工措施的。</w:t>
      </w:r>
    </w:p>
    <w:p>
      <w:pPr>
        <w:numPr>
          <w:ilvl w:val="0"/>
          <w:numId w:val="11"/>
        </w:numPr>
        <w:spacing w:line="400" w:lineRule="exact"/>
        <w:ind w:left="0" w:firstLine="420"/>
        <w:rPr>
          <w:highlight w:val="none"/>
        </w:rPr>
      </w:pPr>
      <w:r>
        <w:rPr>
          <w:highlight w:val="none"/>
        </w:rPr>
        <w:t>投标人编制的投标文件技术暗标，其副本的封面（包括封底和侧封）</w:t>
      </w:r>
      <w:r>
        <w:rPr>
          <w:rFonts w:hint="eastAsia"/>
          <w:highlight w:val="none"/>
        </w:rPr>
        <w:t>或</w:t>
      </w:r>
      <w:r>
        <w:rPr>
          <w:highlight w:val="none"/>
        </w:rPr>
        <w:t>技术暗标（包括正本、副本）正文内容中出现投标人名称</w:t>
      </w:r>
      <w:r>
        <w:rPr>
          <w:rFonts w:hint="eastAsia"/>
          <w:highlight w:val="none"/>
        </w:rPr>
        <w:t>或</w:t>
      </w:r>
      <w:r>
        <w:rPr>
          <w:highlight w:val="none"/>
        </w:rPr>
        <w:t>其他可识别投标人身份的任何字符、徽标、业绩、荣誉</w:t>
      </w:r>
      <w:r>
        <w:rPr>
          <w:rFonts w:hint="eastAsia"/>
          <w:highlight w:val="none"/>
        </w:rPr>
        <w:t>或</w:t>
      </w:r>
      <w:r>
        <w:rPr>
          <w:highlight w:val="none"/>
        </w:rPr>
        <w:t>人员姓名等</w:t>
      </w:r>
      <w:r>
        <w:rPr>
          <w:rFonts w:hint="eastAsia"/>
          <w:highlight w:val="none"/>
        </w:rPr>
        <w:t>（仅适用于非计算机辅助评标）</w:t>
      </w:r>
      <w:r>
        <w:rPr>
          <w:highlight w:val="none"/>
        </w:rPr>
        <w:t>。</w:t>
      </w:r>
    </w:p>
    <w:p>
      <w:pPr>
        <w:numPr>
          <w:ilvl w:val="0"/>
          <w:numId w:val="11"/>
        </w:numPr>
        <w:spacing w:line="400" w:lineRule="exact"/>
        <w:ind w:left="0" w:firstLine="420"/>
        <w:rPr>
          <w:highlight w:val="none"/>
        </w:rPr>
      </w:pPr>
      <w:r>
        <w:rPr>
          <w:highlight w:val="none"/>
        </w:rPr>
        <w:t>投标人编制的投标文件技术暗标，其封面</w:t>
      </w:r>
      <w:r>
        <w:rPr>
          <w:rFonts w:hint="eastAsia"/>
          <w:highlight w:val="none"/>
        </w:rPr>
        <w:t>或</w:t>
      </w:r>
      <w:r>
        <w:rPr>
          <w:highlight w:val="none"/>
        </w:rPr>
        <w:t>技术暗标正文内容中出现投标人名称</w:t>
      </w:r>
      <w:r>
        <w:rPr>
          <w:rFonts w:hint="eastAsia"/>
          <w:highlight w:val="none"/>
        </w:rPr>
        <w:t>或</w:t>
      </w:r>
      <w:r>
        <w:rPr>
          <w:highlight w:val="none"/>
        </w:rPr>
        <w:t>其他可识别投标人身份的任何字符、徽标、业绩、荣誉</w:t>
      </w:r>
      <w:r>
        <w:rPr>
          <w:rFonts w:hint="eastAsia"/>
          <w:highlight w:val="none"/>
        </w:rPr>
        <w:t>或</w:t>
      </w:r>
      <w:r>
        <w:rPr>
          <w:highlight w:val="none"/>
        </w:rPr>
        <w:t>人员姓名等</w:t>
      </w:r>
      <w:r>
        <w:rPr>
          <w:rFonts w:hint="eastAsia"/>
          <w:highlight w:val="none"/>
        </w:rPr>
        <w:t>（仅适用于计算机辅助评标或电子化招标）</w:t>
      </w:r>
      <w:r>
        <w:rPr>
          <w:highlight w:val="none"/>
        </w:rPr>
        <w:t>。</w:t>
      </w:r>
    </w:p>
    <w:p>
      <w:pPr>
        <w:numPr>
          <w:ilvl w:val="0"/>
          <w:numId w:val="11"/>
        </w:numPr>
        <w:spacing w:line="400" w:lineRule="exact"/>
        <w:ind w:left="0" w:firstLine="420"/>
        <w:rPr>
          <w:highlight w:val="none"/>
        </w:rPr>
      </w:pPr>
      <w:r>
        <w:rPr>
          <w:rFonts w:hint="eastAsia"/>
          <w:highlight w:val="none"/>
        </w:rPr>
        <w:t>单位负责人为同一人或者存在控股、管理关系的不同单位，参加同一标段投标或者未划分标段的同一招标项目投标的。</w:t>
      </w:r>
    </w:p>
    <w:p>
      <w:pPr>
        <w:spacing w:line="400" w:lineRule="exact"/>
        <w:ind w:left="420"/>
        <w:rPr>
          <w:highlight w:val="none"/>
        </w:rPr>
      </w:pPr>
      <w:r>
        <w:rPr>
          <w:rFonts w:hint="eastAsia"/>
          <w:highlight w:val="none"/>
        </w:rPr>
        <w:t>B1.21   有下列情况之一的（仅适用电子辅助评标或电子化招标）：</w:t>
      </w:r>
    </w:p>
    <w:p>
      <w:pPr>
        <w:spacing w:line="400" w:lineRule="exact"/>
        <w:ind w:left="420"/>
        <w:rPr>
          <w:highlight w:val="none"/>
        </w:rPr>
      </w:pPr>
      <w:r>
        <w:rPr>
          <w:rFonts w:hint="eastAsia"/>
          <w:highlight w:val="none"/>
        </w:rPr>
        <w:t>（1）未按照招标文件规定的递交方式递交的；</w:t>
      </w:r>
    </w:p>
    <w:p>
      <w:pPr>
        <w:spacing w:line="400" w:lineRule="exact"/>
        <w:ind w:left="420"/>
        <w:rPr>
          <w:highlight w:val="none"/>
        </w:rPr>
      </w:pPr>
      <w:r>
        <w:rPr>
          <w:rFonts w:hint="eastAsia"/>
          <w:highlight w:val="none"/>
        </w:rPr>
        <w:t>（2）回执载明的传输完成时间超出招标文件规定投标文件递交截止时间的；</w:t>
      </w:r>
    </w:p>
    <w:p>
      <w:pPr>
        <w:spacing w:line="400" w:lineRule="exact"/>
        <w:ind w:left="420"/>
        <w:rPr>
          <w:highlight w:val="none"/>
        </w:rPr>
      </w:pPr>
      <w:r>
        <w:rPr>
          <w:rFonts w:hint="eastAsia"/>
          <w:highlight w:val="none"/>
        </w:rPr>
        <w:t>（3）电子化平台中无投标文件，且无成功递交回执的；</w:t>
      </w:r>
    </w:p>
    <w:p>
      <w:pPr>
        <w:spacing w:line="400" w:lineRule="exact"/>
        <w:ind w:left="420"/>
        <w:rPr>
          <w:highlight w:val="none"/>
        </w:rPr>
      </w:pPr>
      <w:r>
        <w:rPr>
          <w:rFonts w:hint="eastAsia"/>
          <w:highlight w:val="none"/>
        </w:rPr>
        <w:t>（4）因投标人原因，电子化平台无法正常打开的；</w:t>
      </w:r>
    </w:p>
    <w:p>
      <w:pPr>
        <w:spacing w:line="400" w:lineRule="exact"/>
        <w:ind w:left="420"/>
        <w:rPr>
          <w:highlight w:val="none"/>
        </w:rPr>
      </w:pPr>
      <w:r>
        <w:rPr>
          <w:rFonts w:hint="eastAsia"/>
          <w:highlight w:val="none"/>
        </w:rPr>
        <w:t>（5）电子投标文件不是使用招标投标交易场所提供的“电子标书生成器”生成的GEF文件的；</w:t>
      </w:r>
    </w:p>
    <w:p>
      <w:pPr>
        <w:spacing w:line="400" w:lineRule="exact"/>
        <w:ind w:left="420"/>
        <w:rPr>
          <w:highlight w:val="none"/>
        </w:rPr>
      </w:pPr>
      <w:r>
        <w:rPr>
          <w:rFonts w:hint="eastAsia"/>
          <w:highlight w:val="none"/>
        </w:rPr>
        <w:t>（6）投标文件与其他投标人的投标文件使用同一电子标书生成器生成的。</w:t>
      </w:r>
    </w:p>
    <w:p>
      <w:pPr>
        <w:spacing w:line="400" w:lineRule="exact"/>
        <w:ind w:left="420"/>
        <w:rPr>
          <w:highlight w:val="none"/>
        </w:rPr>
      </w:pPr>
      <w:r>
        <w:rPr>
          <w:rFonts w:hint="eastAsia"/>
          <w:highlight w:val="none"/>
        </w:rPr>
        <w:t>B1.22  投标人的开标授权代表（即：拟派项目负责人）对开标结果拒绝签字（盖电子印章）确认，且经招投标监管部门监管工作人员到场核实无误后，仍拒绝签字（盖电子印章）确认的；</w:t>
      </w:r>
    </w:p>
    <w:p>
      <w:pPr>
        <w:spacing w:line="400" w:lineRule="exact"/>
        <w:ind w:left="420"/>
        <w:rPr>
          <w:highlight w:val="none"/>
        </w:rPr>
      </w:pPr>
      <w:r>
        <w:rPr>
          <w:rFonts w:hint="eastAsia"/>
          <w:highlight w:val="none"/>
        </w:rPr>
        <w:t>B1.23  投标人提交两份或多份内容不同的投标文件，或在一份投标文件中对本招标工程报有两个或多个报价，但未声明哪一个有效的；</w:t>
      </w:r>
    </w:p>
    <w:p>
      <w:pPr>
        <w:spacing w:line="400" w:lineRule="exact"/>
        <w:ind w:left="420"/>
        <w:rPr>
          <w:highlight w:val="none"/>
        </w:rPr>
      </w:pPr>
      <w:r>
        <w:rPr>
          <w:rFonts w:hint="eastAsia"/>
          <w:highlight w:val="none"/>
        </w:rPr>
        <w:t>B1.24  未按规定的格式填写，内容不全或投标函及其附录中关键字迹模糊、无法辨认的；</w:t>
      </w:r>
    </w:p>
    <w:p>
      <w:pPr>
        <w:spacing w:line="400" w:lineRule="exact"/>
        <w:ind w:left="420"/>
        <w:rPr>
          <w:highlight w:val="none"/>
        </w:rPr>
      </w:pPr>
      <w:r>
        <w:rPr>
          <w:rFonts w:hint="eastAsia"/>
          <w:highlight w:val="none"/>
        </w:rPr>
        <w:t>B1.25  未按照招标文件要求提供投标保证担保或者所提供的投标保证担保有瑕疵的。其中，瑕疵是指以下情形：</w:t>
      </w:r>
    </w:p>
    <w:p>
      <w:pPr>
        <w:spacing w:line="400" w:lineRule="exact"/>
        <w:ind w:left="420"/>
        <w:rPr>
          <w:highlight w:val="none"/>
        </w:rPr>
      </w:pPr>
      <w:r>
        <w:rPr>
          <w:rFonts w:hint="eastAsia"/>
          <w:highlight w:val="none"/>
        </w:rPr>
        <w:t>（1）投标保证金的有效期不符合招标文件规定；</w:t>
      </w:r>
    </w:p>
    <w:p>
      <w:pPr>
        <w:spacing w:line="400" w:lineRule="exact"/>
        <w:ind w:left="945" w:leftChars="200" w:hanging="525" w:hangingChars="250"/>
        <w:rPr>
          <w:highlight w:val="none"/>
        </w:rPr>
      </w:pPr>
      <w:r>
        <w:rPr>
          <w:rFonts w:hint="eastAsia"/>
          <w:highlight w:val="none"/>
        </w:rPr>
        <w:t>（2）以保证金的形式出具时，出具人与被保证的投标人名称不一致，或以保函的形式出具时，被保证人与该投标人名称不一致；</w:t>
      </w:r>
    </w:p>
    <w:p>
      <w:pPr>
        <w:spacing w:line="400" w:lineRule="exact"/>
        <w:ind w:left="420"/>
        <w:rPr>
          <w:highlight w:val="none"/>
        </w:rPr>
      </w:pPr>
      <w:r>
        <w:rPr>
          <w:rFonts w:hint="eastAsia"/>
          <w:highlight w:val="none"/>
        </w:rPr>
        <w:t>（3）投标保证金以保函形式出具时，担保机构不是合法的担保机构；</w:t>
      </w:r>
    </w:p>
    <w:p>
      <w:pPr>
        <w:spacing w:line="400" w:lineRule="exact"/>
        <w:ind w:left="420"/>
        <w:rPr>
          <w:highlight w:val="none"/>
        </w:rPr>
      </w:pPr>
      <w:r>
        <w:rPr>
          <w:rFonts w:hint="eastAsia"/>
          <w:highlight w:val="none"/>
        </w:rPr>
        <w:t>（4）以现金或者支票形式提交的投标保证金不是从投标人基本账户转出；</w:t>
      </w:r>
    </w:p>
    <w:p>
      <w:pPr>
        <w:spacing w:line="400" w:lineRule="exact"/>
        <w:ind w:left="420"/>
        <w:rPr>
          <w:highlight w:val="none"/>
        </w:rPr>
      </w:pPr>
      <w:r>
        <w:rPr>
          <w:rFonts w:hint="eastAsia"/>
          <w:highlight w:val="none"/>
        </w:rPr>
        <w:t>（5）投标保证金以保函形式出具时，保函的实质性条款不符合招标文件规定；</w:t>
      </w:r>
    </w:p>
    <w:p>
      <w:pPr>
        <w:spacing w:line="400" w:lineRule="exact"/>
        <w:ind w:left="420"/>
        <w:rPr>
          <w:highlight w:val="none"/>
        </w:rPr>
      </w:pPr>
      <w:r>
        <w:rPr>
          <w:rFonts w:hint="eastAsia"/>
          <w:highlight w:val="none"/>
        </w:rPr>
        <w:t>B1.26   投标函及其附录没有加盖投标人公章的，或没有法定代表人或其委托代理人签字；</w:t>
      </w:r>
    </w:p>
    <w:p>
      <w:pPr>
        <w:spacing w:line="400" w:lineRule="exact"/>
        <w:ind w:left="420"/>
        <w:rPr>
          <w:highlight w:val="none"/>
        </w:rPr>
      </w:pPr>
      <w:r>
        <w:rPr>
          <w:rFonts w:hint="eastAsia"/>
          <w:highlight w:val="none"/>
        </w:rPr>
        <w:t>B1.27   招标文件中设立最高投标限价（或招标控制价）时投标报价超出最高投标限价（或招标控制价）的（不含等于）；</w:t>
      </w:r>
    </w:p>
    <w:p>
      <w:pPr>
        <w:spacing w:line="400" w:lineRule="exact"/>
        <w:ind w:left="420"/>
        <w:rPr>
          <w:highlight w:val="none"/>
        </w:rPr>
      </w:pPr>
      <w:r>
        <w:rPr>
          <w:rFonts w:hint="eastAsia"/>
          <w:highlight w:val="none"/>
        </w:rPr>
        <w:t>B1.28   评标过程中，评标委员会发现投标人的投标报价低于标底6%或招标控制价6%，或者市政工程投标人的投标报价低于标底6%或招标控制价8%，启动质疑程序后投标人不能按评标委员会要求进行合理说明或补正或不能提供相关证明材料的；</w:t>
      </w:r>
      <w:r>
        <w:rPr>
          <w:rFonts w:hint="eastAsia"/>
          <w:b/>
          <w:highlight w:val="none"/>
        </w:rPr>
        <w:t>（本条不适用）</w:t>
      </w:r>
    </w:p>
    <w:p>
      <w:pPr>
        <w:spacing w:line="400" w:lineRule="exact"/>
        <w:ind w:left="420"/>
        <w:rPr>
          <w:highlight w:val="none"/>
        </w:rPr>
      </w:pPr>
      <w:r>
        <w:rPr>
          <w:rFonts w:hint="eastAsia"/>
          <w:highlight w:val="none"/>
        </w:rPr>
        <w:t>B1.29   投标报价中的整项暂估价或材料设备暂估价单价或暂列金额与招标文件不符的；</w:t>
      </w:r>
    </w:p>
    <w:p>
      <w:pPr>
        <w:spacing w:line="400" w:lineRule="exact"/>
        <w:ind w:left="420"/>
        <w:rPr>
          <w:highlight w:val="none"/>
        </w:rPr>
      </w:pPr>
      <w:r>
        <w:rPr>
          <w:rFonts w:hint="eastAsia"/>
          <w:highlight w:val="none"/>
        </w:rPr>
        <w:t>B1.30   投标文件载明的招标工程完成期限超过招标文件规定的期限的；</w:t>
      </w:r>
    </w:p>
    <w:p>
      <w:pPr>
        <w:spacing w:line="400" w:lineRule="exact"/>
        <w:ind w:left="420"/>
        <w:rPr>
          <w:highlight w:val="none"/>
        </w:rPr>
      </w:pPr>
      <w:r>
        <w:rPr>
          <w:rFonts w:hint="eastAsia"/>
          <w:highlight w:val="none"/>
        </w:rPr>
        <w:t>B1.31   投标文件中载明的质量标准达不到招标文件规定的质量标准的；</w:t>
      </w:r>
    </w:p>
    <w:p>
      <w:pPr>
        <w:spacing w:line="400" w:lineRule="exact"/>
        <w:ind w:left="420"/>
        <w:rPr>
          <w:highlight w:val="none"/>
        </w:rPr>
      </w:pPr>
      <w:r>
        <w:rPr>
          <w:rFonts w:hint="eastAsia"/>
          <w:highlight w:val="none"/>
        </w:rPr>
        <w:t>B1.32   实质性不响应招标文件中规定的技术标准和要求的；</w:t>
      </w:r>
    </w:p>
    <w:p>
      <w:pPr>
        <w:spacing w:line="400" w:lineRule="exact"/>
        <w:ind w:left="420"/>
        <w:rPr>
          <w:highlight w:val="none"/>
        </w:rPr>
      </w:pPr>
      <w:r>
        <w:rPr>
          <w:rFonts w:hint="eastAsia"/>
          <w:highlight w:val="none"/>
        </w:rPr>
        <w:t>B1.33   投标文件附有招标人不能接受的条件的；</w:t>
      </w:r>
    </w:p>
    <w:p>
      <w:pPr>
        <w:spacing w:line="400" w:lineRule="exact"/>
        <w:ind w:left="420"/>
        <w:rPr>
          <w:rFonts w:hint="eastAsia"/>
          <w:highlight w:val="none"/>
        </w:rPr>
      </w:pPr>
      <w:r>
        <w:rPr>
          <w:rFonts w:hint="eastAsia"/>
          <w:highlight w:val="none"/>
        </w:rPr>
        <w:t>B1.3</w:t>
      </w:r>
      <w:r>
        <w:rPr>
          <w:rFonts w:hint="eastAsia"/>
          <w:highlight w:val="none"/>
          <w:lang w:val="en-US" w:eastAsia="zh-CN"/>
        </w:rPr>
        <w:t xml:space="preserve">4   </w:t>
      </w:r>
      <w:r>
        <w:rPr>
          <w:rFonts w:hint="eastAsia"/>
          <w:highlight w:val="none"/>
        </w:rPr>
        <w:t>投标报价中</w:t>
      </w:r>
      <w:r>
        <w:rPr>
          <w:rFonts w:hint="eastAsia"/>
          <w:highlight w:val="none"/>
          <w:lang w:val="en-US" w:eastAsia="zh-CN"/>
        </w:rPr>
        <w:t>存在</w:t>
      </w:r>
      <w:r>
        <w:rPr>
          <w:rFonts w:hint="eastAsia"/>
          <w:highlight w:val="none"/>
        </w:rPr>
        <w:t>缺项、漏项</w:t>
      </w:r>
      <w:r>
        <w:rPr>
          <w:rFonts w:hint="eastAsia"/>
          <w:highlight w:val="none"/>
          <w:lang w:val="en-US" w:eastAsia="zh-CN"/>
        </w:rPr>
        <w:t>的</w:t>
      </w:r>
      <w:r>
        <w:rPr>
          <w:rFonts w:hint="eastAsia"/>
          <w:highlight w:val="none"/>
          <w:lang w:eastAsia="zh-CN"/>
        </w:rPr>
        <w:t>。</w:t>
      </w:r>
      <w:r>
        <w:rPr>
          <w:rFonts w:hint="eastAsia"/>
          <w:highlight w:val="none"/>
        </w:rPr>
        <w:t xml:space="preserve"> </w:t>
      </w:r>
    </w:p>
    <w:p>
      <w:pPr>
        <w:pStyle w:val="3"/>
        <w:rPr>
          <w:rFonts w:ascii="黑体" w:hAnsi="宋体" w:cs="Arial"/>
          <w:b w:val="0"/>
          <w:bCs w:val="0"/>
          <w:sz w:val="24"/>
          <w:highlight w:val="none"/>
        </w:rPr>
      </w:pPr>
      <w:r>
        <w:rPr>
          <w:rFonts w:ascii="宋体" w:hAnsi="宋体" w:cs="Arial"/>
          <w:szCs w:val="21"/>
          <w:highlight w:val="none"/>
        </w:rPr>
        <w:br w:type="page"/>
      </w:r>
      <w:bookmarkStart w:id="263" w:name="_Toc434331140"/>
      <w:bookmarkStart w:id="264" w:name="_Toc30758"/>
      <w:bookmarkStart w:id="265" w:name="_Toc342296256"/>
      <w:bookmarkStart w:id="266" w:name="_Toc241459653"/>
      <w:r>
        <w:rPr>
          <w:rFonts w:hint="eastAsia" w:ascii="黑体" w:hAnsi="宋体" w:cs="Arial"/>
          <w:b w:val="0"/>
          <w:bCs w:val="0"/>
          <w:sz w:val="24"/>
          <w:highlight w:val="none"/>
        </w:rPr>
        <w:t>附件C：投标人成本评审办法</w:t>
      </w:r>
      <w:bookmarkEnd w:id="263"/>
      <w:bookmarkEnd w:id="264"/>
      <w:bookmarkEnd w:id="265"/>
      <w:bookmarkEnd w:id="266"/>
    </w:p>
    <w:p>
      <w:pPr>
        <w:spacing w:after="156" w:afterLines="50" w:line="300" w:lineRule="auto"/>
        <w:jc w:val="center"/>
        <w:rPr>
          <w:rFonts w:ascii="黑体" w:eastAsia="黑体" w:cs="Arial"/>
          <w:bCs/>
          <w:sz w:val="28"/>
          <w:szCs w:val="28"/>
          <w:highlight w:val="none"/>
        </w:rPr>
      </w:pPr>
      <w:r>
        <w:rPr>
          <w:rFonts w:hint="eastAsia" w:ascii="黑体" w:eastAsia="黑体" w:cs="Arial"/>
          <w:bCs/>
          <w:sz w:val="28"/>
          <w:szCs w:val="28"/>
          <w:highlight w:val="none"/>
        </w:rPr>
        <w:t xml:space="preserve">    投标人成本评审办法（此部分不适用）</w:t>
      </w:r>
    </w:p>
    <w:p>
      <w:pPr>
        <w:outlineLvl w:val="0"/>
        <w:rPr>
          <w:highlight w:val="none"/>
        </w:rPr>
      </w:pPr>
      <w:bookmarkStart w:id="267" w:name="_Toc434331141"/>
      <w:bookmarkStart w:id="268" w:name="_Toc395686587"/>
      <w:bookmarkStart w:id="269" w:name="_Toc26540"/>
      <w:r>
        <w:rPr>
          <w:rFonts w:hint="eastAsia"/>
          <w:b/>
          <w:highlight w:val="none"/>
        </w:rPr>
        <w:t>C0.总  则</w:t>
      </w:r>
      <w:bookmarkEnd w:id="267"/>
      <w:bookmarkEnd w:id="268"/>
      <w:bookmarkEnd w:id="269"/>
    </w:p>
    <w:p>
      <w:pPr>
        <w:pStyle w:val="208"/>
        <w:spacing w:line="400" w:lineRule="exact"/>
        <w:ind w:left="0" w:firstLine="430" w:firstLineChars="205"/>
        <w:rPr>
          <w:highlight w:val="none"/>
        </w:rPr>
      </w:pPr>
      <w:r>
        <w:rPr>
          <w:rFonts w:hint="eastAsia"/>
          <w:highlight w:val="none"/>
        </w:rPr>
        <w:t>本附件是本章“评标办法”的组成部分，评标委员会按照本章第</w:t>
      </w:r>
      <w:r>
        <w:rPr>
          <w:rFonts w:hint="eastAsia" w:ascii="宋体" w:hAnsi="宋体" w:cs="Arial"/>
          <w:szCs w:val="21"/>
          <w:highlight w:val="none"/>
        </w:rPr>
        <w:t>3.2.4</w:t>
      </w:r>
      <w:r>
        <w:rPr>
          <w:rFonts w:hint="eastAsia"/>
          <w:highlight w:val="none"/>
        </w:rPr>
        <w:t>项的规定，对投标人投标报价是否低于其成本进行评审和判断时，适用本附件所规定的办法。</w:t>
      </w:r>
    </w:p>
    <w:p>
      <w:pPr>
        <w:outlineLvl w:val="0"/>
        <w:rPr>
          <w:rFonts w:cs="Arial"/>
          <w:b/>
          <w:szCs w:val="21"/>
          <w:highlight w:val="none"/>
        </w:rPr>
      </w:pPr>
      <w:bookmarkStart w:id="270" w:name="_Toc434331142"/>
      <w:bookmarkStart w:id="271" w:name="_Toc6410"/>
      <w:bookmarkStart w:id="272" w:name="_Toc395686588"/>
      <w:r>
        <w:rPr>
          <w:rFonts w:hint="eastAsia" w:cs="Arial"/>
          <w:b/>
          <w:szCs w:val="21"/>
          <w:highlight w:val="none"/>
        </w:rPr>
        <w:t>C1.评审程序</w:t>
      </w:r>
      <w:bookmarkEnd w:id="270"/>
      <w:bookmarkEnd w:id="271"/>
      <w:bookmarkEnd w:id="272"/>
    </w:p>
    <w:p>
      <w:pPr>
        <w:outlineLvl w:val="0"/>
        <w:rPr>
          <w:rFonts w:cs="Arial"/>
          <w:szCs w:val="21"/>
          <w:highlight w:val="none"/>
        </w:rPr>
      </w:pPr>
      <w:bookmarkStart w:id="273" w:name="_Toc395686589"/>
      <w:bookmarkStart w:id="274" w:name="_Toc27085"/>
      <w:bookmarkStart w:id="275" w:name="_Toc434331143"/>
      <w:r>
        <w:rPr>
          <w:rFonts w:hint="eastAsia" w:cs="Arial"/>
          <w:b/>
          <w:szCs w:val="21"/>
          <w:highlight w:val="none"/>
        </w:rPr>
        <w:t>C1.1 启动成本评审工作的前提条件</w:t>
      </w:r>
      <w:bookmarkEnd w:id="273"/>
      <w:bookmarkEnd w:id="274"/>
      <w:bookmarkEnd w:id="275"/>
    </w:p>
    <w:p>
      <w:pPr>
        <w:spacing w:line="400" w:lineRule="exact"/>
        <w:ind w:firstLine="472" w:firstLineChars="225"/>
        <w:rPr>
          <w:rFonts w:cs="Arial"/>
          <w:szCs w:val="21"/>
          <w:highlight w:val="none"/>
        </w:rPr>
      </w:pPr>
      <w:r>
        <w:rPr>
          <w:rFonts w:hint="eastAsia" w:cs="Arial"/>
          <w:szCs w:val="21"/>
          <w:highlight w:val="none"/>
        </w:rPr>
        <w:t>在满足下列两项条件的前提下，评标委员会应当启动并进行本办法所规定的评审，以判别投标人的投标报价是否低于其成本：</w:t>
      </w:r>
    </w:p>
    <w:p>
      <w:pPr>
        <w:spacing w:line="400" w:lineRule="exact"/>
        <w:ind w:firstLine="472" w:firstLineChars="225"/>
        <w:rPr>
          <w:rFonts w:cs="Arial"/>
          <w:szCs w:val="21"/>
          <w:highlight w:val="none"/>
        </w:rPr>
      </w:pPr>
      <w:r>
        <w:rPr>
          <w:rFonts w:hint="eastAsia" w:cs="Arial"/>
          <w:szCs w:val="21"/>
          <w:highlight w:val="none"/>
        </w:rPr>
        <w:t>C1.1.1 投标人的投标文件已经通过本章“评标办法”规定的“初步评审”，不存在应当废标的情形；</w:t>
      </w:r>
    </w:p>
    <w:p>
      <w:pPr>
        <w:spacing w:line="400" w:lineRule="exact"/>
        <w:ind w:firstLine="472" w:firstLineChars="225"/>
        <w:rPr>
          <w:rFonts w:cs="Arial"/>
          <w:szCs w:val="21"/>
          <w:highlight w:val="none"/>
          <w:u w:val="single"/>
        </w:rPr>
      </w:pPr>
      <w:r>
        <w:rPr>
          <w:rFonts w:hint="eastAsia" w:cs="Arial"/>
          <w:szCs w:val="21"/>
          <w:highlight w:val="none"/>
        </w:rPr>
        <w:t>C1.1.2投标人的投标报价低于（不含）以下限度的或评标委员会认为投标报价组成明显不合理的：</w:t>
      </w:r>
    </w:p>
    <w:p>
      <w:pPr>
        <w:numPr>
          <w:ilvl w:val="0"/>
          <w:numId w:val="3"/>
        </w:numPr>
        <w:spacing w:line="400" w:lineRule="exact"/>
        <w:ind w:firstLine="66"/>
        <w:rPr>
          <w:rFonts w:cs="Arial"/>
          <w:szCs w:val="21"/>
          <w:highlight w:val="none"/>
        </w:rPr>
      </w:pPr>
      <w:r>
        <w:rPr>
          <w:rFonts w:hint="eastAsia" w:cs="Arial"/>
          <w:szCs w:val="21"/>
          <w:highlight w:val="none"/>
        </w:rPr>
        <w:t>标底下浮% ；</w:t>
      </w:r>
    </w:p>
    <w:p>
      <w:pPr>
        <w:numPr>
          <w:ilvl w:val="0"/>
          <w:numId w:val="16"/>
        </w:numPr>
        <w:spacing w:line="400" w:lineRule="exact"/>
        <w:rPr>
          <w:rFonts w:cs="Arial"/>
          <w:szCs w:val="21"/>
          <w:highlight w:val="none"/>
        </w:rPr>
      </w:pPr>
      <w:r>
        <w:rPr>
          <w:rFonts w:hint="eastAsia" w:cs="Arial"/>
          <w:szCs w:val="21"/>
          <w:highlight w:val="none"/>
        </w:rPr>
        <w:t>招标控制价下浮</w:t>
      </w:r>
      <w:r>
        <w:rPr>
          <w:rFonts w:hint="eastAsia" w:cs="Arial"/>
          <w:szCs w:val="21"/>
          <w:highlight w:val="none"/>
          <w:u w:val="single"/>
        </w:rPr>
        <w:t xml:space="preserve">     </w:t>
      </w:r>
      <w:r>
        <w:rPr>
          <w:rFonts w:hint="eastAsia" w:cs="Arial"/>
          <w:szCs w:val="21"/>
          <w:highlight w:val="none"/>
        </w:rPr>
        <w:t>%。</w:t>
      </w:r>
    </w:p>
    <w:p>
      <w:pPr>
        <w:outlineLvl w:val="0"/>
        <w:rPr>
          <w:rFonts w:cs="Arial"/>
          <w:b/>
          <w:szCs w:val="21"/>
          <w:highlight w:val="none"/>
        </w:rPr>
      </w:pPr>
      <w:bookmarkStart w:id="276" w:name="_Toc23265"/>
      <w:bookmarkStart w:id="277" w:name="_Toc395686590"/>
      <w:bookmarkStart w:id="278" w:name="_Toc434331144"/>
      <w:r>
        <w:rPr>
          <w:rFonts w:hint="eastAsia" w:cs="Arial"/>
          <w:b/>
          <w:szCs w:val="21"/>
          <w:highlight w:val="none"/>
        </w:rPr>
        <w:t>C1.2</w:t>
      </w:r>
      <w:r>
        <w:rPr>
          <w:rFonts w:hint="eastAsia" w:ascii="黑体" w:hAnsi="Arial" w:eastAsia="黑体" w:cs="Arial"/>
          <w:b/>
          <w:sz w:val="24"/>
          <w:highlight w:val="none"/>
        </w:rPr>
        <w:t xml:space="preserve"> </w:t>
      </w:r>
      <w:r>
        <w:rPr>
          <w:rFonts w:hint="eastAsia" w:cs="Arial"/>
          <w:b/>
          <w:szCs w:val="21"/>
          <w:highlight w:val="none"/>
        </w:rPr>
        <w:t>对投标价格的合理性进行评审</w:t>
      </w:r>
      <w:bookmarkEnd w:id="276"/>
      <w:bookmarkEnd w:id="277"/>
      <w:bookmarkEnd w:id="278"/>
    </w:p>
    <w:p>
      <w:pPr>
        <w:spacing w:line="400" w:lineRule="exact"/>
        <w:ind w:firstLine="472" w:firstLineChars="225"/>
        <w:rPr>
          <w:rFonts w:cs="Arial"/>
          <w:szCs w:val="21"/>
          <w:highlight w:val="none"/>
        </w:rPr>
      </w:pPr>
      <w:r>
        <w:rPr>
          <w:rFonts w:hint="eastAsia" w:cs="Arial"/>
          <w:szCs w:val="21"/>
          <w:highlight w:val="none"/>
        </w:rPr>
        <w:t>评标委员会结合清标成果，对各个投标价格和影响投标价格合理性的以下因素逐一进行分析，并修正其中任何可能存在的错误和不合理内容：</w:t>
      </w:r>
    </w:p>
    <w:p>
      <w:pPr>
        <w:numPr>
          <w:ilvl w:val="0"/>
          <w:numId w:val="17"/>
        </w:numPr>
        <w:spacing w:line="400" w:lineRule="exact"/>
        <w:ind w:left="1191"/>
        <w:rPr>
          <w:rFonts w:cs="Arial"/>
          <w:szCs w:val="21"/>
          <w:highlight w:val="none"/>
        </w:rPr>
      </w:pPr>
      <w:r>
        <w:rPr>
          <w:rFonts w:hint="eastAsia" w:cs="Arial"/>
          <w:szCs w:val="21"/>
          <w:highlight w:val="none"/>
        </w:rPr>
        <w:t>算术性错误分析和修正；</w:t>
      </w:r>
    </w:p>
    <w:p>
      <w:pPr>
        <w:numPr>
          <w:ilvl w:val="0"/>
          <w:numId w:val="17"/>
        </w:numPr>
        <w:spacing w:line="400" w:lineRule="exact"/>
        <w:ind w:left="1191"/>
        <w:rPr>
          <w:rFonts w:cs="Arial"/>
          <w:szCs w:val="21"/>
          <w:highlight w:val="none"/>
        </w:rPr>
      </w:pPr>
      <w:r>
        <w:rPr>
          <w:rFonts w:hint="eastAsia" w:cs="Arial"/>
          <w:szCs w:val="21"/>
          <w:highlight w:val="none"/>
        </w:rPr>
        <w:t>错漏项分析和修正；</w:t>
      </w:r>
    </w:p>
    <w:p>
      <w:pPr>
        <w:numPr>
          <w:ilvl w:val="0"/>
          <w:numId w:val="17"/>
        </w:numPr>
        <w:spacing w:line="400" w:lineRule="exact"/>
        <w:ind w:left="1191"/>
        <w:rPr>
          <w:rFonts w:cs="Arial"/>
          <w:szCs w:val="21"/>
          <w:highlight w:val="none"/>
        </w:rPr>
      </w:pPr>
      <w:r>
        <w:rPr>
          <w:rFonts w:hint="eastAsia" w:cs="Arial"/>
          <w:szCs w:val="21"/>
          <w:highlight w:val="none"/>
        </w:rPr>
        <w:t>分部分项工程和单价措施项目清单部分价格合理性分析和修正；</w:t>
      </w:r>
    </w:p>
    <w:p>
      <w:pPr>
        <w:numPr>
          <w:ilvl w:val="0"/>
          <w:numId w:val="17"/>
        </w:numPr>
        <w:spacing w:line="400" w:lineRule="exact"/>
        <w:ind w:left="1191"/>
        <w:rPr>
          <w:rFonts w:cs="Arial"/>
          <w:szCs w:val="21"/>
          <w:highlight w:val="none"/>
        </w:rPr>
      </w:pPr>
      <w:r>
        <w:rPr>
          <w:rFonts w:hint="eastAsia" w:cs="Arial"/>
          <w:szCs w:val="21"/>
          <w:highlight w:val="none"/>
        </w:rPr>
        <w:t>总价</w:t>
      </w:r>
      <w:r>
        <w:rPr>
          <w:rFonts w:cs="Arial"/>
          <w:szCs w:val="21"/>
          <w:highlight w:val="none"/>
        </w:rPr>
        <w:t>措施项目清单和其他项目清单部分价格合理性分析</w:t>
      </w:r>
      <w:r>
        <w:rPr>
          <w:rFonts w:hint="eastAsia" w:cs="Arial"/>
          <w:szCs w:val="21"/>
          <w:highlight w:val="none"/>
        </w:rPr>
        <w:t>和修正；</w:t>
      </w:r>
    </w:p>
    <w:p>
      <w:pPr>
        <w:numPr>
          <w:ilvl w:val="0"/>
          <w:numId w:val="17"/>
        </w:numPr>
        <w:spacing w:line="400" w:lineRule="exact"/>
        <w:ind w:left="1191"/>
        <w:rPr>
          <w:rFonts w:cs="Arial"/>
          <w:szCs w:val="21"/>
          <w:highlight w:val="none"/>
        </w:rPr>
      </w:pPr>
      <w:r>
        <w:rPr>
          <w:rFonts w:hint="eastAsia" w:cs="Arial"/>
          <w:szCs w:val="21"/>
          <w:highlight w:val="none"/>
        </w:rPr>
        <w:t>企业管理费合理性分析和修正；</w:t>
      </w:r>
    </w:p>
    <w:p>
      <w:pPr>
        <w:numPr>
          <w:ilvl w:val="0"/>
          <w:numId w:val="17"/>
        </w:numPr>
        <w:spacing w:line="400" w:lineRule="exact"/>
        <w:ind w:left="1191"/>
        <w:rPr>
          <w:rFonts w:cs="Arial"/>
          <w:szCs w:val="21"/>
          <w:highlight w:val="none"/>
        </w:rPr>
      </w:pPr>
      <w:r>
        <w:rPr>
          <w:rFonts w:hint="eastAsia" w:cs="Arial"/>
          <w:szCs w:val="21"/>
          <w:highlight w:val="none"/>
        </w:rPr>
        <w:t>利润水平合理性分析和修正；</w:t>
      </w:r>
    </w:p>
    <w:p>
      <w:pPr>
        <w:numPr>
          <w:ilvl w:val="0"/>
          <w:numId w:val="17"/>
        </w:numPr>
        <w:spacing w:line="400" w:lineRule="exact"/>
        <w:ind w:left="1191"/>
        <w:rPr>
          <w:rFonts w:cs="Arial"/>
          <w:szCs w:val="21"/>
          <w:highlight w:val="none"/>
        </w:rPr>
      </w:pPr>
      <w:r>
        <w:rPr>
          <w:rFonts w:hint="eastAsia" w:cs="Arial"/>
          <w:szCs w:val="21"/>
          <w:highlight w:val="none"/>
        </w:rPr>
        <w:t>法定税金和规费的完整性分析和修正；</w:t>
      </w:r>
    </w:p>
    <w:p>
      <w:pPr>
        <w:numPr>
          <w:ilvl w:val="0"/>
          <w:numId w:val="17"/>
        </w:numPr>
        <w:spacing w:line="400" w:lineRule="exact"/>
        <w:ind w:left="1191"/>
        <w:rPr>
          <w:rFonts w:cs="Arial"/>
          <w:szCs w:val="21"/>
          <w:highlight w:val="none"/>
        </w:rPr>
      </w:pPr>
      <w:r>
        <w:rPr>
          <w:rFonts w:hint="eastAsia" w:cs="Arial"/>
          <w:szCs w:val="21"/>
          <w:highlight w:val="none"/>
        </w:rPr>
        <w:t>不平衡报价分析和修正。</w:t>
      </w:r>
    </w:p>
    <w:p>
      <w:pPr>
        <w:outlineLvl w:val="0"/>
        <w:rPr>
          <w:rFonts w:cs="Arial"/>
          <w:b/>
          <w:szCs w:val="21"/>
          <w:highlight w:val="none"/>
        </w:rPr>
      </w:pPr>
      <w:bookmarkStart w:id="279" w:name="_Toc395686591"/>
      <w:bookmarkStart w:id="280" w:name="_Toc434331145"/>
      <w:bookmarkStart w:id="281" w:name="_Toc26557"/>
      <w:r>
        <w:rPr>
          <w:rFonts w:hint="eastAsia" w:cs="Arial"/>
          <w:b/>
          <w:szCs w:val="21"/>
          <w:highlight w:val="none"/>
        </w:rPr>
        <w:t>C1.3 澄清、说明或补正</w:t>
      </w:r>
      <w:bookmarkEnd w:id="279"/>
      <w:bookmarkEnd w:id="280"/>
      <w:bookmarkEnd w:id="281"/>
    </w:p>
    <w:p>
      <w:pPr>
        <w:spacing w:line="400" w:lineRule="exact"/>
        <w:ind w:firstLine="472" w:firstLineChars="225"/>
        <w:rPr>
          <w:rFonts w:cs="Arial"/>
          <w:szCs w:val="21"/>
          <w:highlight w:val="none"/>
        </w:rPr>
      </w:pPr>
      <w:r>
        <w:rPr>
          <w:rFonts w:hint="eastAsia" w:cs="Arial"/>
          <w:szCs w:val="21"/>
          <w:highlight w:val="none"/>
        </w:rPr>
        <w:t>评标委员会汇总对投标报价的疑问，启动“澄清、说明或补正”程序，发出问题澄清通知并附上质疑问卷，要求投标人进行澄清和说明并提交有关证明材料。</w:t>
      </w:r>
    </w:p>
    <w:p>
      <w:pPr>
        <w:outlineLvl w:val="0"/>
        <w:rPr>
          <w:rFonts w:cs="Arial"/>
          <w:b/>
          <w:szCs w:val="21"/>
          <w:highlight w:val="none"/>
        </w:rPr>
      </w:pPr>
      <w:bookmarkStart w:id="282" w:name="_Toc395686592"/>
      <w:bookmarkStart w:id="283" w:name="_Toc434331146"/>
      <w:bookmarkStart w:id="284" w:name="_Toc16973"/>
      <w:r>
        <w:rPr>
          <w:rFonts w:hint="eastAsia" w:cs="Arial"/>
          <w:b/>
          <w:szCs w:val="21"/>
          <w:highlight w:val="none"/>
        </w:rPr>
        <w:t>C1.4  判断投标报价是否低于其成本</w:t>
      </w:r>
      <w:bookmarkEnd w:id="282"/>
      <w:bookmarkEnd w:id="283"/>
      <w:bookmarkEnd w:id="284"/>
    </w:p>
    <w:p>
      <w:pPr>
        <w:spacing w:line="400" w:lineRule="exact"/>
        <w:ind w:firstLine="472" w:firstLineChars="225"/>
        <w:rPr>
          <w:rFonts w:cs="Arial"/>
          <w:szCs w:val="21"/>
          <w:highlight w:val="none"/>
        </w:rPr>
      </w:pPr>
      <w:r>
        <w:rPr>
          <w:rFonts w:hint="eastAsia" w:cs="Arial"/>
          <w:szCs w:val="21"/>
          <w:highlight w:val="none"/>
        </w:rPr>
        <w:t>评标委员会根据投标人澄清和说明的结果，计算出对投标人投标报价进行合理化修正后所产生的最终差额，判断投标人的投标报价是否低于其成本。</w:t>
      </w:r>
    </w:p>
    <w:p>
      <w:pPr>
        <w:outlineLvl w:val="0"/>
        <w:rPr>
          <w:rFonts w:cs="Arial"/>
          <w:b/>
          <w:szCs w:val="21"/>
          <w:highlight w:val="none"/>
        </w:rPr>
      </w:pPr>
      <w:bookmarkStart w:id="285" w:name="_Toc434331147"/>
      <w:bookmarkStart w:id="286" w:name="_Toc2787"/>
      <w:bookmarkStart w:id="287" w:name="_Toc395686593"/>
      <w:r>
        <w:rPr>
          <w:rFonts w:hint="eastAsia" w:cs="Arial"/>
          <w:b/>
          <w:szCs w:val="21"/>
          <w:highlight w:val="none"/>
        </w:rPr>
        <w:t>C2. 评审的依据</w:t>
      </w:r>
      <w:bookmarkEnd w:id="285"/>
      <w:bookmarkEnd w:id="286"/>
      <w:bookmarkEnd w:id="287"/>
    </w:p>
    <w:p>
      <w:pPr>
        <w:spacing w:line="400" w:lineRule="exact"/>
        <w:ind w:firstLine="472" w:firstLineChars="225"/>
        <w:rPr>
          <w:rFonts w:cs="Arial"/>
          <w:szCs w:val="21"/>
          <w:highlight w:val="none"/>
        </w:rPr>
      </w:pPr>
      <w:r>
        <w:rPr>
          <w:rFonts w:hint="eastAsia" w:cs="Arial"/>
          <w:szCs w:val="21"/>
          <w:highlight w:val="none"/>
        </w:rPr>
        <w:t>评标委员会判断投标人的投标报价是否低于其成本，所参考的评审依据包括:</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招标文件；</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标底</w:t>
      </w:r>
      <w:r>
        <w:rPr>
          <w:rFonts w:hint="eastAsia" w:cs="Arial"/>
          <w:szCs w:val="21"/>
          <w:highlight w:val="none"/>
        </w:rPr>
        <w:t>或招标控制价</w:t>
      </w:r>
      <w:r>
        <w:rPr>
          <w:rFonts w:cs="Arial"/>
          <w:szCs w:val="21"/>
          <w:highlight w:val="none"/>
        </w:rPr>
        <w:t>（如果有）；</w:t>
      </w:r>
    </w:p>
    <w:p>
      <w:pPr>
        <w:numPr>
          <w:ilvl w:val="0"/>
          <w:numId w:val="18"/>
        </w:numPr>
        <w:tabs>
          <w:tab w:val="left" w:pos="1260"/>
          <w:tab w:val="clear" w:pos="893"/>
        </w:tabs>
        <w:spacing w:line="400" w:lineRule="exact"/>
        <w:ind w:left="1259" w:hanging="902"/>
        <w:rPr>
          <w:rFonts w:cs="Arial"/>
          <w:szCs w:val="21"/>
          <w:highlight w:val="none"/>
        </w:rPr>
      </w:pPr>
      <w:r>
        <w:rPr>
          <w:rFonts w:hint="eastAsia" w:cs="Arial"/>
          <w:szCs w:val="21"/>
          <w:highlight w:val="none"/>
        </w:rPr>
        <w:t>施工组织设计；</w:t>
      </w:r>
    </w:p>
    <w:p>
      <w:pPr>
        <w:numPr>
          <w:ilvl w:val="0"/>
          <w:numId w:val="18"/>
        </w:numPr>
        <w:tabs>
          <w:tab w:val="left" w:pos="1260"/>
          <w:tab w:val="clear" w:pos="893"/>
        </w:tabs>
        <w:spacing w:line="400" w:lineRule="exact"/>
        <w:ind w:left="1259" w:hanging="902"/>
        <w:rPr>
          <w:rFonts w:cs="Arial"/>
          <w:szCs w:val="21"/>
          <w:highlight w:val="none"/>
        </w:rPr>
      </w:pPr>
      <w:r>
        <w:rPr>
          <w:rFonts w:hint="eastAsia" w:cs="Arial"/>
          <w:szCs w:val="21"/>
          <w:highlight w:val="none"/>
        </w:rPr>
        <w:t>已</w:t>
      </w:r>
      <w:r>
        <w:rPr>
          <w:rFonts w:cs="Arial"/>
          <w:szCs w:val="21"/>
          <w:highlight w:val="none"/>
        </w:rPr>
        <w:t>标价的工程量清单；</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工程所在地工程造价管理部门颁布的工程造价信息（如果有）；</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工程所在地市场价格水平；</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工程所在地工程造价管理部门颁布的定额或投标人企业定额；</w:t>
      </w:r>
    </w:p>
    <w:p>
      <w:pPr>
        <w:numPr>
          <w:ilvl w:val="0"/>
          <w:numId w:val="18"/>
        </w:numPr>
        <w:tabs>
          <w:tab w:val="left" w:pos="1260"/>
          <w:tab w:val="clear" w:pos="893"/>
        </w:tabs>
        <w:spacing w:line="400" w:lineRule="exact"/>
        <w:ind w:left="1259" w:hanging="902"/>
        <w:rPr>
          <w:rFonts w:cs="Arial"/>
          <w:szCs w:val="21"/>
          <w:highlight w:val="none"/>
        </w:rPr>
      </w:pPr>
      <w:r>
        <w:rPr>
          <w:rFonts w:hint="eastAsia" w:cs="Arial"/>
          <w:szCs w:val="21"/>
          <w:highlight w:val="none"/>
        </w:rPr>
        <w:t>经审计的企业近</w:t>
      </w:r>
      <w:r>
        <w:rPr>
          <w:rFonts w:hint="eastAsia" w:cs="Arial"/>
          <w:szCs w:val="21"/>
          <w:highlight w:val="none"/>
          <w:lang w:val="en-US" w:eastAsia="zh-CN"/>
        </w:rPr>
        <w:t>二</w:t>
      </w:r>
      <w:r>
        <w:rPr>
          <w:rFonts w:hint="eastAsia" w:cs="Arial"/>
          <w:szCs w:val="21"/>
          <w:highlight w:val="none"/>
        </w:rPr>
        <w:t>年财务报表；</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投标人所附</w:t>
      </w:r>
      <w:r>
        <w:rPr>
          <w:rFonts w:hint="eastAsia" w:cs="Arial"/>
          <w:szCs w:val="21"/>
          <w:highlight w:val="none"/>
        </w:rPr>
        <w:t>其他</w:t>
      </w:r>
      <w:r>
        <w:rPr>
          <w:rFonts w:cs="Arial"/>
          <w:szCs w:val="21"/>
          <w:highlight w:val="none"/>
        </w:rPr>
        <w:t>证明资料；</w:t>
      </w:r>
    </w:p>
    <w:p>
      <w:pPr>
        <w:numPr>
          <w:ilvl w:val="0"/>
          <w:numId w:val="18"/>
        </w:numPr>
        <w:tabs>
          <w:tab w:val="left" w:pos="1260"/>
          <w:tab w:val="clear" w:pos="893"/>
        </w:tabs>
        <w:spacing w:line="400" w:lineRule="exact"/>
        <w:ind w:left="1259" w:hanging="902"/>
        <w:rPr>
          <w:rFonts w:cs="Arial"/>
          <w:szCs w:val="21"/>
          <w:highlight w:val="none"/>
        </w:rPr>
      </w:pPr>
      <w:r>
        <w:rPr>
          <w:rFonts w:cs="Arial"/>
          <w:szCs w:val="21"/>
          <w:highlight w:val="none"/>
        </w:rPr>
        <w:t>法律法规允许的和招标文件规定的参考依据等。</w:t>
      </w:r>
    </w:p>
    <w:p>
      <w:pPr>
        <w:outlineLvl w:val="0"/>
        <w:rPr>
          <w:rFonts w:cs="Arial"/>
          <w:b/>
          <w:szCs w:val="21"/>
          <w:highlight w:val="none"/>
        </w:rPr>
      </w:pPr>
      <w:bookmarkStart w:id="288" w:name="_Toc21821"/>
      <w:bookmarkStart w:id="289" w:name="_Toc434331148"/>
      <w:bookmarkStart w:id="290" w:name="_Toc395686594"/>
      <w:r>
        <w:rPr>
          <w:rFonts w:hint="eastAsia" w:cs="Arial"/>
          <w:b/>
          <w:szCs w:val="21"/>
          <w:highlight w:val="none"/>
        </w:rPr>
        <w:t>C3.  算术性错误分析和修正</w:t>
      </w:r>
      <w:bookmarkEnd w:id="288"/>
      <w:bookmarkEnd w:id="289"/>
      <w:bookmarkEnd w:id="290"/>
    </w:p>
    <w:p>
      <w:pPr>
        <w:spacing w:line="400" w:lineRule="exact"/>
        <w:ind w:firstLine="472" w:firstLineChars="225"/>
        <w:rPr>
          <w:rFonts w:cs="Arial"/>
          <w:szCs w:val="21"/>
          <w:highlight w:val="none"/>
        </w:rPr>
      </w:pPr>
      <w:r>
        <w:rPr>
          <w:rFonts w:hint="eastAsia" w:cs="Arial"/>
          <w:szCs w:val="21"/>
          <w:highlight w:val="none"/>
        </w:rPr>
        <w:t>评标委员会</w:t>
      </w:r>
      <w:r>
        <w:rPr>
          <w:rFonts w:cs="Arial"/>
          <w:szCs w:val="21"/>
          <w:highlight w:val="none"/>
        </w:rPr>
        <w:t>对</w:t>
      </w:r>
      <w:r>
        <w:rPr>
          <w:rFonts w:hint="eastAsia" w:cs="Arial"/>
          <w:szCs w:val="21"/>
          <w:highlight w:val="none"/>
        </w:rPr>
        <w:t>已</w:t>
      </w:r>
      <w:r>
        <w:rPr>
          <w:rFonts w:cs="Arial"/>
          <w:szCs w:val="21"/>
          <w:highlight w:val="none"/>
        </w:rPr>
        <w:t>标价工程量清单进行逐项分析</w:t>
      </w:r>
      <w:r>
        <w:rPr>
          <w:rFonts w:hint="eastAsia" w:cs="Arial"/>
          <w:szCs w:val="21"/>
          <w:highlight w:val="none"/>
        </w:rPr>
        <w:t>，根据本章第3.1.3项规定的原则，对投标报价中的</w:t>
      </w:r>
      <w:r>
        <w:rPr>
          <w:rFonts w:cs="Arial"/>
          <w:szCs w:val="21"/>
          <w:highlight w:val="none"/>
        </w:rPr>
        <w:t>算术性错误</w:t>
      </w:r>
      <w:r>
        <w:rPr>
          <w:rFonts w:hint="eastAsia" w:cs="Arial"/>
          <w:szCs w:val="21"/>
          <w:highlight w:val="none"/>
        </w:rPr>
        <w:t>进行修正，按</w:t>
      </w:r>
      <w:r>
        <w:rPr>
          <w:rFonts w:cs="Arial"/>
          <w:b/>
          <w:szCs w:val="21"/>
          <w:highlight w:val="none"/>
        </w:rPr>
        <w:t>附表</w:t>
      </w:r>
      <w:r>
        <w:rPr>
          <w:rFonts w:hint="eastAsia" w:cs="Arial"/>
          <w:b/>
          <w:szCs w:val="21"/>
          <w:highlight w:val="none"/>
        </w:rPr>
        <w:t>C-1</w:t>
      </w:r>
      <w:r>
        <w:rPr>
          <w:rFonts w:cs="Arial"/>
          <w:szCs w:val="21"/>
          <w:highlight w:val="none"/>
        </w:rPr>
        <w:t>的格式</w:t>
      </w:r>
      <w:r>
        <w:rPr>
          <w:rFonts w:hint="eastAsia" w:cs="Arial"/>
          <w:szCs w:val="21"/>
          <w:highlight w:val="none"/>
        </w:rPr>
        <w:t>记录分析和</w:t>
      </w:r>
      <w:r>
        <w:rPr>
          <w:rFonts w:cs="Arial"/>
          <w:szCs w:val="21"/>
          <w:highlight w:val="none"/>
        </w:rPr>
        <w:t>修正</w:t>
      </w:r>
      <w:r>
        <w:rPr>
          <w:rFonts w:hint="eastAsia" w:cs="Arial"/>
          <w:szCs w:val="21"/>
          <w:highlight w:val="none"/>
        </w:rPr>
        <w:t>的结果。</w:t>
      </w:r>
    </w:p>
    <w:p>
      <w:pPr>
        <w:spacing w:line="400" w:lineRule="exact"/>
        <w:ind w:firstLine="472" w:firstLineChars="225"/>
        <w:rPr>
          <w:rFonts w:cs="Arial"/>
          <w:szCs w:val="21"/>
          <w:highlight w:val="none"/>
        </w:rPr>
      </w:pPr>
      <w:r>
        <w:rPr>
          <w:rFonts w:cs="Arial"/>
          <w:szCs w:val="21"/>
          <w:highlight w:val="none"/>
        </w:rPr>
        <w:t>汇总修正结果，将经修正后产生的价格差额记为</w:t>
      </w:r>
      <w:r>
        <w:rPr>
          <w:rFonts w:cs="Arial"/>
          <w:b/>
          <w:szCs w:val="21"/>
          <w:highlight w:val="none"/>
        </w:rPr>
        <w:t>A值</w:t>
      </w:r>
      <w:r>
        <w:rPr>
          <w:rFonts w:cs="Arial"/>
          <w:szCs w:val="21"/>
          <w:highlight w:val="none"/>
        </w:rPr>
        <w:t>（此值应为代数值，修正结果表明理论上应当增加投标人的投标</w:t>
      </w:r>
      <w:r>
        <w:rPr>
          <w:rFonts w:hint="eastAsia" w:cs="Arial"/>
          <w:szCs w:val="21"/>
          <w:highlight w:val="none"/>
        </w:rPr>
        <w:t>报价</w:t>
      </w:r>
      <w:r>
        <w:rPr>
          <w:rFonts w:cs="Arial"/>
          <w:szCs w:val="21"/>
          <w:highlight w:val="none"/>
        </w:rPr>
        <w:t>（</w:t>
      </w:r>
      <w:r>
        <w:rPr>
          <w:rFonts w:hint="eastAsia" w:cs="Arial"/>
          <w:szCs w:val="21"/>
          <w:highlight w:val="none"/>
        </w:rPr>
        <w:t>投标</w:t>
      </w:r>
      <w:r>
        <w:rPr>
          <w:rFonts w:cs="Arial"/>
          <w:szCs w:val="21"/>
          <w:highlight w:val="none"/>
        </w:rPr>
        <w:t>总价）的修正差额记为正值，反之记为负值，下同），同时整理需要投标人澄清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291" w:name="_Toc395686595"/>
      <w:bookmarkStart w:id="292" w:name="_Toc434331149"/>
      <w:bookmarkStart w:id="293" w:name="_Toc17163"/>
      <w:r>
        <w:rPr>
          <w:rFonts w:hint="eastAsia" w:cs="Arial"/>
          <w:b/>
          <w:szCs w:val="21"/>
          <w:highlight w:val="none"/>
        </w:rPr>
        <w:t>C4. 错漏项分析和修正</w:t>
      </w:r>
      <w:bookmarkEnd w:id="291"/>
      <w:bookmarkEnd w:id="292"/>
      <w:bookmarkEnd w:id="293"/>
    </w:p>
    <w:p>
      <w:pPr>
        <w:outlineLvl w:val="0"/>
        <w:rPr>
          <w:rFonts w:cs="Arial"/>
          <w:b/>
          <w:szCs w:val="21"/>
          <w:highlight w:val="none"/>
        </w:rPr>
      </w:pPr>
      <w:bookmarkStart w:id="294" w:name="_Toc434331150"/>
      <w:bookmarkStart w:id="295" w:name="_Toc10113"/>
      <w:bookmarkStart w:id="296" w:name="_Toc395686596"/>
      <w:r>
        <w:rPr>
          <w:rFonts w:hint="eastAsia" w:cs="Arial"/>
          <w:b/>
          <w:szCs w:val="21"/>
          <w:highlight w:val="none"/>
        </w:rPr>
        <w:t xml:space="preserve">C4.1 </w:t>
      </w:r>
      <w:r>
        <w:rPr>
          <w:rFonts w:cs="Arial"/>
          <w:b/>
          <w:szCs w:val="21"/>
          <w:highlight w:val="none"/>
        </w:rPr>
        <w:t>错漏项分析和修正的原则</w:t>
      </w:r>
      <w:bookmarkEnd w:id="294"/>
      <w:bookmarkEnd w:id="295"/>
      <w:bookmarkEnd w:id="296"/>
    </w:p>
    <w:p>
      <w:pPr>
        <w:spacing w:line="400" w:lineRule="exact"/>
        <w:ind w:firstLine="472" w:firstLineChars="225"/>
        <w:rPr>
          <w:rFonts w:cs="Arial"/>
          <w:szCs w:val="21"/>
          <w:highlight w:val="none"/>
        </w:rPr>
      </w:pPr>
      <w:r>
        <w:rPr>
          <w:rFonts w:hint="eastAsia" w:cs="Arial"/>
          <w:szCs w:val="21"/>
          <w:highlight w:val="none"/>
        </w:rPr>
        <w:t>评标委员会分析已标价</w:t>
      </w:r>
      <w:r>
        <w:rPr>
          <w:rFonts w:cs="Arial"/>
          <w:szCs w:val="21"/>
          <w:highlight w:val="none"/>
        </w:rPr>
        <w:t>工程量清单，列出其中错报或漏报的</w:t>
      </w:r>
      <w:r>
        <w:rPr>
          <w:rFonts w:hint="eastAsia" w:cs="Arial"/>
          <w:szCs w:val="21"/>
          <w:highlight w:val="none"/>
        </w:rPr>
        <w:t>子目，并按以下原则进行修正：</w:t>
      </w:r>
    </w:p>
    <w:p>
      <w:pPr>
        <w:spacing w:line="400" w:lineRule="exact"/>
        <w:ind w:firstLine="472" w:firstLineChars="225"/>
        <w:rPr>
          <w:rFonts w:cs="Arial"/>
          <w:szCs w:val="21"/>
          <w:highlight w:val="none"/>
        </w:rPr>
      </w:pPr>
      <w:r>
        <w:rPr>
          <w:rFonts w:cs="Arial"/>
          <w:szCs w:val="21"/>
          <w:highlight w:val="none"/>
        </w:rPr>
        <w:t>如果评标委员会认为投标人递交的投标文件中有相同的并且投标人已经给出合适报价的</w:t>
      </w:r>
      <w:r>
        <w:rPr>
          <w:rFonts w:hint="eastAsia" w:cs="Arial"/>
          <w:szCs w:val="21"/>
          <w:highlight w:val="none"/>
        </w:rPr>
        <w:t>子目</w:t>
      </w:r>
      <w:r>
        <w:rPr>
          <w:rFonts w:cs="Arial"/>
          <w:szCs w:val="21"/>
          <w:highlight w:val="none"/>
        </w:rPr>
        <w:t>，则按该相同</w:t>
      </w:r>
      <w:r>
        <w:rPr>
          <w:rFonts w:hint="eastAsia" w:cs="Arial"/>
          <w:szCs w:val="21"/>
          <w:highlight w:val="none"/>
        </w:rPr>
        <w:t>子目</w:t>
      </w:r>
      <w:r>
        <w:rPr>
          <w:rFonts w:cs="Arial"/>
          <w:szCs w:val="21"/>
          <w:highlight w:val="none"/>
        </w:rPr>
        <w:t>的价格对错漏项报价进行修正；</w:t>
      </w:r>
    </w:p>
    <w:p>
      <w:pPr>
        <w:spacing w:line="400" w:lineRule="exact"/>
        <w:ind w:firstLine="472" w:firstLineChars="225"/>
        <w:rPr>
          <w:rFonts w:cs="Arial"/>
          <w:szCs w:val="21"/>
          <w:highlight w:val="none"/>
        </w:rPr>
      </w:pPr>
      <w:r>
        <w:rPr>
          <w:rFonts w:cs="Arial"/>
          <w:szCs w:val="21"/>
          <w:highlight w:val="none"/>
        </w:rPr>
        <w:t>如果评标委员会认为投标人递交的投标文件中有相似的并且投标人已经给出合适报价的</w:t>
      </w:r>
      <w:r>
        <w:rPr>
          <w:rFonts w:hint="eastAsia" w:cs="Arial"/>
          <w:szCs w:val="21"/>
          <w:highlight w:val="none"/>
        </w:rPr>
        <w:t>子目</w:t>
      </w:r>
      <w:r>
        <w:rPr>
          <w:rFonts w:cs="Arial"/>
          <w:szCs w:val="21"/>
          <w:highlight w:val="none"/>
        </w:rPr>
        <w:t>，则按该相似</w:t>
      </w:r>
      <w:r>
        <w:rPr>
          <w:rFonts w:hint="eastAsia" w:cs="Arial"/>
          <w:szCs w:val="21"/>
          <w:highlight w:val="none"/>
        </w:rPr>
        <w:t>子目</w:t>
      </w:r>
      <w:r>
        <w:rPr>
          <w:rFonts w:cs="Arial"/>
          <w:szCs w:val="21"/>
          <w:highlight w:val="none"/>
        </w:rPr>
        <w:t>的报价为基础，考虑该相似</w:t>
      </w:r>
      <w:r>
        <w:rPr>
          <w:rFonts w:hint="eastAsia" w:cs="Arial"/>
          <w:szCs w:val="21"/>
          <w:highlight w:val="none"/>
        </w:rPr>
        <w:t>子目</w:t>
      </w:r>
      <w:r>
        <w:rPr>
          <w:rFonts w:cs="Arial"/>
          <w:szCs w:val="21"/>
          <w:highlight w:val="none"/>
        </w:rPr>
        <w:t>与错漏项之间的差异而进行适当调整后的价格对错漏项报价进行修正；</w:t>
      </w:r>
    </w:p>
    <w:p>
      <w:pPr>
        <w:spacing w:line="400" w:lineRule="exact"/>
        <w:ind w:firstLine="472" w:firstLineChars="225"/>
        <w:rPr>
          <w:rFonts w:cs="Arial"/>
          <w:szCs w:val="21"/>
          <w:highlight w:val="none"/>
        </w:rPr>
      </w:pPr>
      <w:r>
        <w:rPr>
          <w:rFonts w:cs="Arial"/>
          <w:szCs w:val="21"/>
          <w:highlight w:val="none"/>
        </w:rPr>
        <w:t>如果做不到以上两点，则按标底</w:t>
      </w:r>
      <w:r>
        <w:rPr>
          <w:rFonts w:hint="eastAsia" w:cs="Arial"/>
          <w:szCs w:val="21"/>
          <w:highlight w:val="none"/>
        </w:rPr>
        <w:t>或招标控制价</w:t>
      </w:r>
      <w:r>
        <w:rPr>
          <w:rFonts w:cs="Arial"/>
          <w:szCs w:val="21"/>
          <w:highlight w:val="none"/>
        </w:rPr>
        <w:t>（如果有）中的相应价格为基础对错漏项报价进行修正；</w:t>
      </w:r>
    </w:p>
    <w:p>
      <w:pPr>
        <w:spacing w:line="400" w:lineRule="exact"/>
        <w:ind w:firstLine="472" w:firstLineChars="225"/>
        <w:rPr>
          <w:rFonts w:cs="Arial"/>
          <w:szCs w:val="21"/>
          <w:highlight w:val="none"/>
        </w:rPr>
      </w:pPr>
      <w:r>
        <w:rPr>
          <w:rFonts w:cs="Arial"/>
          <w:szCs w:val="21"/>
          <w:highlight w:val="none"/>
        </w:rPr>
        <w:t>如果</w:t>
      </w:r>
      <w:r>
        <w:rPr>
          <w:rFonts w:hint="eastAsia" w:cs="Arial"/>
          <w:szCs w:val="21"/>
          <w:highlight w:val="none"/>
        </w:rPr>
        <w:t>没有标底（或招标控制价）或者</w:t>
      </w:r>
      <w:r>
        <w:rPr>
          <w:rFonts w:cs="Arial"/>
          <w:szCs w:val="21"/>
          <w:highlight w:val="none"/>
        </w:rPr>
        <w:t>标底</w:t>
      </w:r>
      <w:r>
        <w:rPr>
          <w:rFonts w:hint="eastAsia" w:cs="Arial"/>
          <w:szCs w:val="21"/>
          <w:highlight w:val="none"/>
        </w:rPr>
        <w:t>（或招标控制价）</w:t>
      </w:r>
      <w:r>
        <w:rPr>
          <w:rFonts w:cs="Arial"/>
          <w:szCs w:val="21"/>
          <w:highlight w:val="none"/>
        </w:rPr>
        <w:t>中也没有相同或相似价格作为参考，评标委员会可以要求投标人在澄清</w:t>
      </w:r>
      <w:r>
        <w:rPr>
          <w:rFonts w:hint="eastAsia" w:cs="Arial"/>
          <w:szCs w:val="21"/>
          <w:highlight w:val="none"/>
        </w:rPr>
        <w:t>和说明</w:t>
      </w:r>
      <w:r>
        <w:rPr>
          <w:rFonts w:cs="Arial"/>
          <w:szCs w:val="21"/>
          <w:highlight w:val="none"/>
        </w:rPr>
        <w:t>时给出相应的修正价格。此时评标委员会应对此类价格的合理性进行分析，评标委员会</w:t>
      </w:r>
      <w:r>
        <w:rPr>
          <w:rFonts w:hint="eastAsia" w:cs="Arial"/>
          <w:szCs w:val="21"/>
          <w:highlight w:val="none"/>
        </w:rPr>
        <w:t>可以</w:t>
      </w:r>
      <w:r>
        <w:rPr>
          <w:rFonts w:cs="Arial"/>
          <w:szCs w:val="21"/>
          <w:highlight w:val="none"/>
        </w:rPr>
        <w:t>在分析的基础上</w:t>
      </w:r>
      <w:r>
        <w:rPr>
          <w:rFonts w:hint="eastAsia" w:cs="Arial"/>
          <w:szCs w:val="21"/>
          <w:highlight w:val="none"/>
        </w:rPr>
        <w:t>要求投标人</w:t>
      </w:r>
      <w:r>
        <w:rPr>
          <w:rFonts w:cs="Arial"/>
          <w:szCs w:val="21"/>
          <w:highlight w:val="none"/>
        </w:rPr>
        <w:t>进一步</w:t>
      </w:r>
      <w:r>
        <w:rPr>
          <w:rFonts w:hint="eastAsia" w:cs="Arial"/>
          <w:szCs w:val="21"/>
          <w:highlight w:val="none"/>
        </w:rPr>
        <w:t>澄清和说明，评标委员会也可以按不利于该投标人的原则，以其他有效投标报价中该项最高报价作为修正价格；</w:t>
      </w:r>
    </w:p>
    <w:p>
      <w:pPr>
        <w:spacing w:line="400" w:lineRule="exact"/>
        <w:ind w:firstLine="472" w:firstLineChars="225"/>
        <w:rPr>
          <w:rFonts w:cs="Arial"/>
          <w:szCs w:val="21"/>
          <w:highlight w:val="none"/>
        </w:rPr>
      </w:pPr>
      <w:r>
        <w:rPr>
          <w:rFonts w:cs="Arial"/>
          <w:szCs w:val="21"/>
          <w:highlight w:val="none"/>
        </w:rPr>
        <w:t>对</w:t>
      </w:r>
      <w:r>
        <w:rPr>
          <w:rFonts w:hint="eastAsia" w:cs="Arial"/>
          <w:szCs w:val="21"/>
          <w:highlight w:val="none"/>
        </w:rPr>
        <w:t>超出</w:t>
      </w:r>
      <w:r>
        <w:rPr>
          <w:rFonts w:cs="Arial"/>
          <w:szCs w:val="21"/>
          <w:highlight w:val="none"/>
        </w:rPr>
        <w:t>招标范围报价的</w:t>
      </w:r>
      <w:r>
        <w:rPr>
          <w:rFonts w:hint="eastAsia" w:cs="Arial"/>
          <w:szCs w:val="21"/>
          <w:highlight w:val="none"/>
        </w:rPr>
        <w:t>子目</w:t>
      </w:r>
      <w:r>
        <w:rPr>
          <w:rFonts w:cs="Arial"/>
          <w:szCs w:val="21"/>
          <w:highlight w:val="none"/>
        </w:rPr>
        <w:t>，则直接删除该</w:t>
      </w:r>
      <w:r>
        <w:rPr>
          <w:rFonts w:hint="eastAsia" w:cs="Arial"/>
          <w:szCs w:val="21"/>
          <w:highlight w:val="none"/>
        </w:rPr>
        <w:t>子目</w:t>
      </w:r>
      <w:r>
        <w:rPr>
          <w:rFonts w:cs="Arial"/>
          <w:szCs w:val="21"/>
          <w:highlight w:val="none"/>
        </w:rPr>
        <w:t>的价格。</w:t>
      </w:r>
    </w:p>
    <w:p>
      <w:pPr>
        <w:outlineLvl w:val="0"/>
        <w:rPr>
          <w:rFonts w:cs="Arial"/>
          <w:szCs w:val="21"/>
          <w:highlight w:val="none"/>
        </w:rPr>
      </w:pPr>
      <w:bookmarkStart w:id="297" w:name="_Toc434331151"/>
      <w:bookmarkStart w:id="298" w:name="_Toc29484"/>
      <w:bookmarkStart w:id="299" w:name="_Toc395686597"/>
      <w:r>
        <w:rPr>
          <w:rFonts w:hint="eastAsia" w:cs="Arial"/>
          <w:b/>
          <w:szCs w:val="21"/>
          <w:highlight w:val="none"/>
        </w:rPr>
        <w:t xml:space="preserve">C4.2 </w:t>
      </w:r>
      <w:r>
        <w:rPr>
          <w:rFonts w:cs="Arial"/>
          <w:b/>
          <w:szCs w:val="21"/>
          <w:highlight w:val="none"/>
        </w:rPr>
        <w:t>错漏项分析和修正的方</w:t>
      </w:r>
      <w:r>
        <w:rPr>
          <w:rFonts w:hint="eastAsia" w:cs="Arial"/>
          <w:b/>
          <w:szCs w:val="21"/>
          <w:highlight w:val="none"/>
        </w:rPr>
        <w:t>法</w:t>
      </w:r>
      <w:bookmarkEnd w:id="297"/>
      <w:bookmarkEnd w:id="298"/>
      <w:bookmarkEnd w:id="299"/>
    </w:p>
    <w:p>
      <w:pPr>
        <w:spacing w:line="400" w:lineRule="exact"/>
        <w:ind w:firstLine="472" w:firstLineChars="225"/>
        <w:rPr>
          <w:rFonts w:cs="Arial"/>
          <w:szCs w:val="21"/>
          <w:highlight w:val="none"/>
        </w:rPr>
      </w:pPr>
      <w:r>
        <w:rPr>
          <w:rFonts w:hint="eastAsia" w:cs="Arial"/>
          <w:szCs w:val="21"/>
          <w:highlight w:val="none"/>
        </w:rPr>
        <w:t>错漏项分析和修正的方法如下：</w:t>
      </w:r>
    </w:p>
    <w:p>
      <w:pPr>
        <w:spacing w:line="400" w:lineRule="exact"/>
        <w:ind w:firstLine="472" w:firstLineChars="225"/>
        <w:rPr>
          <w:rFonts w:cs="Arial"/>
          <w:szCs w:val="21"/>
          <w:highlight w:val="none"/>
        </w:rPr>
      </w:pPr>
      <w:r>
        <w:rPr>
          <w:rFonts w:cs="Arial"/>
          <w:szCs w:val="21"/>
          <w:highlight w:val="none"/>
        </w:rPr>
        <w:t>根据上述原则，修正错报和补充漏报</w:t>
      </w:r>
      <w:r>
        <w:rPr>
          <w:rFonts w:hint="eastAsia" w:cs="Arial"/>
          <w:szCs w:val="21"/>
          <w:highlight w:val="none"/>
        </w:rPr>
        <w:t>子目</w:t>
      </w:r>
      <w:r>
        <w:rPr>
          <w:rFonts w:cs="Arial"/>
          <w:szCs w:val="21"/>
          <w:highlight w:val="none"/>
        </w:rPr>
        <w:t>的价格；</w:t>
      </w:r>
    </w:p>
    <w:p>
      <w:pPr>
        <w:spacing w:line="400" w:lineRule="exact"/>
        <w:ind w:firstLine="472" w:firstLineChars="225"/>
        <w:rPr>
          <w:rFonts w:cs="Arial"/>
          <w:szCs w:val="21"/>
          <w:highlight w:val="none"/>
        </w:rPr>
      </w:pPr>
      <w:r>
        <w:rPr>
          <w:rFonts w:cs="Arial"/>
          <w:szCs w:val="21"/>
          <w:highlight w:val="none"/>
        </w:rPr>
        <w:t>填写</w:t>
      </w:r>
      <w:r>
        <w:rPr>
          <w:rFonts w:cs="Arial"/>
          <w:b/>
          <w:szCs w:val="21"/>
          <w:highlight w:val="none"/>
        </w:rPr>
        <w:t>附表</w:t>
      </w:r>
      <w:r>
        <w:rPr>
          <w:rFonts w:hint="eastAsia" w:cs="Arial"/>
          <w:b/>
          <w:szCs w:val="21"/>
          <w:highlight w:val="none"/>
        </w:rPr>
        <w:t>C-2</w:t>
      </w:r>
      <w:r>
        <w:rPr>
          <w:rFonts w:cs="Arial"/>
          <w:szCs w:val="21"/>
          <w:highlight w:val="none"/>
        </w:rPr>
        <w:t>，计算经修正或补充后产生的价格差额</w:t>
      </w:r>
      <w:r>
        <w:rPr>
          <w:rFonts w:hint="eastAsia" w:cs="Arial"/>
          <w:szCs w:val="21"/>
          <w:highlight w:val="none"/>
        </w:rPr>
        <w:t>。</w:t>
      </w:r>
      <w:r>
        <w:rPr>
          <w:rFonts w:cs="Arial"/>
          <w:szCs w:val="21"/>
          <w:highlight w:val="none"/>
        </w:rPr>
        <w:t>汇总上述结果，将经修正后产生的价格差额记为</w:t>
      </w:r>
      <w:r>
        <w:rPr>
          <w:rFonts w:cs="Arial"/>
          <w:b/>
          <w:szCs w:val="21"/>
          <w:highlight w:val="none"/>
        </w:rPr>
        <w:t>B值</w:t>
      </w:r>
      <w:r>
        <w:rPr>
          <w:rFonts w:cs="Arial"/>
          <w:szCs w:val="21"/>
          <w:highlight w:val="none"/>
        </w:rPr>
        <w:t>，并明确需要投标人澄清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00" w:name="_Toc395686598"/>
      <w:bookmarkStart w:id="301" w:name="_Toc434331152"/>
      <w:bookmarkStart w:id="302" w:name="_Toc23795"/>
      <w:r>
        <w:rPr>
          <w:rFonts w:hint="eastAsia" w:cs="Arial"/>
          <w:b/>
          <w:szCs w:val="21"/>
          <w:highlight w:val="none"/>
        </w:rPr>
        <w:t>C5. 分部分项工程和单价措施项目清单部分价格合理性分析和修正</w:t>
      </w:r>
      <w:bookmarkEnd w:id="300"/>
      <w:bookmarkEnd w:id="301"/>
      <w:bookmarkEnd w:id="302"/>
    </w:p>
    <w:p>
      <w:pPr>
        <w:outlineLvl w:val="0"/>
        <w:rPr>
          <w:rFonts w:cs="Arial"/>
          <w:b/>
          <w:szCs w:val="21"/>
          <w:highlight w:val="none"/>
        </w:rPr>
      </w:pPr>
      <w:bookmarkStart w:id="303" w:name="_Toc20853"/>
      <w:bookmarkStart w:id="304" w:name="_Toc395686599"/>
      <w:bookmarkStart w:id="305" w:name="_Toc434331153"/>
      <w:r>
        <w:rPr>
          <w:rFonts w:hint="eastAsia" w:cs="Arial"/>
          <w:b/>
          <w:szCs w:val="21"/>
          <w:highlight w:val="none"/>
        </w:rPr>
        <w:t xml:space="preserve">C5.1 </w:t>
      </w:r>
      <w:r>
        <w:rPr>
          <w:rFonts w:cs="Arial"/>
          <w:b/>
          <w:szCs w:val="21"/>
          <w:highlight w:val="none"/>
        </w:rPr>
        <w:t>分部分项工程</w:t>
      </w:r>
      <w:r>
        <w:rPr>
          <w:rFonts w:hint="eastAsia" w:cs="Arial"/>
          <w:b/>
          <w:szCs w:val="21"/>
          <w:highlight w:val="none"/>
        </w:rPr>
        <w:t>和单价措施项目</w:t>
      </w:r>
      <w:r>
        <w:rPr>
          <w:rFonts w:cs="Arial"/>
          <w:b/>
          <w:szCs w:val="21"/>
          <w:highlight w:val="none"/>
        </w:rPr>
        <w:t>清单部分价格分析和修正的原则</w:t>
      </w:r>
      <w:bookmarkEnd w:id="303"/>
      <w:bookmarkEnd w:id="304"/>
      <w:bookmarkEnd w:id="305"/>
    </w:p>
    <w:p>
      <w:pPr>
        <w:spacing w:line="400" w:lineRule="exact"/>
        <w:ind w:firstLine="472" w:firstLineChars="225"/>
        <w:rPr>
          <w:rFonts w:cs="Arial"/>
          <w:szCs w:val="21"/>
          <w:highlight w:val="none"/>
        </w:rPr>
      </w:pPr>
      <w:r>
        <w:rPr>
          <w:rFonts w:cs="Arial"/>
          <w:szCs w:val="21"/>
          <w:highlight w:val="none"/>
        </w:rPr>
        <w:t>分部分项工程</w:t>
      </w:r>
      <w:r>
        <w:rPr>
          <w:rFonts w:hint="eastAsia" w:cs="Arial"/>
          <w:szCs w:val="21"/>
          <w:highlight w:val="none"/>
        </w:rPr>
        <w:t>和单价措施项目</w:t>
      </w:r>
      <w:r>
        <w:rPr>
          <w:rFonts w:cs="Arial"/>
          <w:szCs w:val="21"/>
          <w:highlight w:val="none"/>
        </w:rPr>
        <w:t>清单部分价格分析和修正的原则如下：</w:t>
      </w:r>
    </w:p>
    <w:p>
      <w:pPr>
        <w:spacing w:line="400" w:lineRule="exact"/>
        <w:ind w:firstLine="472" w:firstLineChars="225"/>
        <w:rPr>
          <w:rFonts w:cs="Arial"/>
          <w:szCs w:val="21"/>
          <w:highlight w:val="none"/>
        </w:rPr>
      </w:pPr>
      <w:r>
        <w:rPr>
          <w:rFonts w:cs="Arial"/>
          <w:szCs w:val="21"/>
          <w:highlight w:val="none"/>
        </w:rPr>
        <w:t>如果评标委员会认为投标人递交的投标文件中有相同的并且投标人已经给出合适报价的</w:t>
      </w:r>
      <w:r>
        <w:rPr>
          <w:rFonts w:hint="eastAsia" w:cs="Arial"/>
          <w:szCs w:val="21"/>
          <w:highlight w:val="none"/>
        </w:rPr>
        <w:t>子目</w:t>
      </w:r>
      <w:r>
        <w:rPr>
          <w:rFonts w:cs="Arial"/>
          <w:szCs w:val="21"/>
          <w:highlight w:val="none"/>
        </w:rPr>
        <w:t>，则按该相同</w:t>
      </w:r>
      <w:r>
        <w:rPr>
          <w:rFonts w:hint="eastAsia" w:cs="Arial"/>
          <w:szCs w:val="21"/>
          <w:highlight w:val="none"/>
        </w:rPr>
        <w:t>子目</w:t>
      </w:r>
      <w:r>
        <w:rPr>
          <w:rFonts w:cs="Arial"/>
          <w:szCs w:val="21"/>
          <w:highlight w:val="none"/>
        </w:rPr>
        <w:t>的价格对评标委员会认为不合理报价</w:t>
      </w:r>
      <w:r>
        <w:rPr>
          <w:rFonts w:hint="eastAsia" w:cs="Arial"/>
          <w:szCs w:val="21"/>
          <w:highlight w:val="none"/>
        </w:rPr>
        <w:t>子目</w:t>
      </w:r>
      <w:r>
        <w:rPr>
          <w:rFonts w:cs="Arial"/>
          <w:szCs w:val="21"/>
          <w:highlight w:val="none"/>
        </w:rPr>
        <w:t>的报价进行修正；</w:t>
      </w:r>
    </w:p>
    <w:p>
      <w:pPr>
        <w:spacing w:line="400" w:lineRule="exact"/>
        <w:ind w:firstLine="472" w:firstLineChars="225"/>
        <w:rPr>
          <w:rFonts w:cs="Arial"/>
          <w:szCs w:val="21"/>
          <w:highlight w:val="none"/>
        </w:rPr>
      </w:pPr>
      <w:r>
        <w:rPr>
          <w:rFonts w:cs="Arial"/>
          <w:szCs w:val="21"/>
          <w:highlight w:val="none"/>
        </w:rPr>
        <w:t>如果评标委员会认为投标人递交的投标文件中有相似的并且投标人已经给出合适报价的</w:t>
      </w:r>
      <w:r>
        <w:rPr>
          <w:rFonts w:hint="eastAsia" w:cs="Arial"/>
          <w:szCs w:val="21"/>
          <w:highlight w:val="none"/>
        </w:rPr>
        <w:t>子目</w:t>
      </w:r>
      <w:r>
        <w:rPr>
          <w:rFonts w:cs="Arial"/>
          <w:szCs w:val="21"/>
          <w:highlight w:val="none"/>
        </w:rPr>
        <w:t>，则按该相似</w:t>
      </w:r>
      <w:r>
        <w:rPr>
          <w:rFonts w:hint="eastAsia" w:cs="Arial"/>
          <w:szCs w:val="21"/>
          <w:highlight w:val="none"/>
        </w:rPr>
        <w:t>子目</w:t>
      </w:r>
      <w:r>
        <w:rPr>
          <w:rFonts w:cs="Arial"/>
          <w:szCs w:val="21"/>
          <w:highlight w:val="none"/>
        </w:rPr>
        <w:t>的报价为基础，考虑该相似</w:t>
      </w:r>
      <w:r>
        <w:rPr>
          <w:rFonts w:hint="eastAsia" w:cs="Arial"/>
          <w:szCs w:val="21"/>
          <w:highlight w:val="none"/>
        </w:rPr>
        <w:t>子目</w:t>
      </w:r>
      <w:r>
        <w:rPr>
          <w:rFonts w:cs="Arial"/>
          <w:szCs w:val="21"/>
          <w:highlight w:val="none"/>
        </w:rPr>
        <w:t>与不合理</w:t>
      </w:r>
      <w:r>
        <w:rPr>
          <w:rFonts w:hint="eastAsia" w:cs="Arial"/>
          <w:szCs w:val="21"/>
          <w:highlight w:val="none"/>
        </w:rPr>
        <w:t>子目</w:t>
      </w:r>
      <w:r>
        <w:rPr>
          <w:rFonts w:cs="Arial"/>
          <w:szCs w:val="21"/>
          <w:highlight w:val="none"/>
        </w:rPr>
        <w:t>之间的差异而进行适当调整后的价格对评标委员会认为不合理报价</w:t>
      </w:r>
      <w:r>
        <w:rPr>
          <w:rFonts w:hint="eastAsia" w:cs="Arial"/>
          <w:szCs w:val="21"/>
          <w:highlight w:val="none"/>
        </w:rPr>
        <w:t>子目</w:t>
      </w:r>
      <w:r>
        <w:rPr>
          <w:rFonts w:cs="Arial"/>
          <w:szCs w:val="21"/>
          <w:highlight w:val="none"/>
        </w:rPr>
        <w:t>的报价进行修正；</w:t>
      </w:r>
    </w:p>
    <w:p>
      <w:pPr>
        <w:spacing w:line="400" w:lineRule="exact"/>
        <w:ind w:firstLine="472" w:firstLineChars="225"/>
        <w:rPr>
          <w:rFonts w:cs="Arial"/>
          <w:szCs w:val="21"/>
          <w:highlight w:val="none"/>
        </w:rPr>
      </w:pPr>
      <w:r>
        <w:rPr>
          <w:rFonts w:cs="Arial"/>
          <w:szCs w:val="21"/>
          <w:highlight w:val="none"/>
        </w:rPr>
        <w:t>如果做不到以上两点，则按标底</w:t>
      </w:r>
      <w:r>
        <w:rPr>
          <w:rFonts w:hint="eastAsia" w:cs="Arial"/>
          <w:szCs w:val="21"/>
          <w:highlight w:val="none"/>
        </w:rPr>
        <w:t>或招标控制价</w:t>
      </w:r>
      <w:r>
        <w:rPr>
          <w:rFonts w:cs="Arial"/>
          <w:szCs w:val="21"/>
          <w:highlight w:val="none"/>
        </w:rPr>
        <w:t>（如果有）中的相应价格为基础对评标委员会认为不合理报价</w:t>
      </w:r>
      <w:r>
        <w:rPr>
          <w:rFonts w:hint="eastAsia" w:cs="Arial"/>
          <w:szCs w:val="21"/>
          <w:highlight w:val="none"/>
        </w:rPr>
        <w:t>子目</w:t>
      </w:r>
      <w:r>
        <w:rPr>
          <w:rFonts w:cs="Arial"/>
          <w:szCs w:val="21"/>
          <w:highlight w:val="none"/>
        </w:rPr>
        <w:t>的报价进行修正；</w:t>
      </w:r>
    </w:p>
    <w:p>
      <w:pPr>
        <w:spacing w:line="400" w:lineRule="exact"/>
        <w:ind w:firstLine="472" w:firstLineChars="225"/>
        <w:rPr>
          <w:rFonts w:cs="Arial"/>
          <w:szCs w:val="21"/>
          <w:highlight w:val="none"/>
        </w:rPr>
      </w:pPr>
      <w:r>
        <w:rPr>
          <w:rFonts w:cs="Arial"/>
          <w:szCs w:val="21"/>
          <w:highlight w:val="none"/>
        </w:rPr>
        <w:t>如果</w:t>
      </w:r>
      <w:r>
        <w:rPr>
          <w:rFonts w:hint="eastAsia" w:cs="Arial"/>
          <w:szCs w:val="21"/>
          <w:highlight w:val="none"/>
        </w:rPr>
        <w:t>没有标底（或招标控制价）或者</w:t>
      </w:r>
      <w:r>
        <w:rPr>
          <w:rFonts w:cs="Arial"/>
          <w:szCs w:val="21"/>
          <w:highlight w:val="none"/>
        </w:rPr>
        <w:t>标底</w:t>
      </w:r>
      <w:r>
        <w:rPr>
          <w:rFonts w:hint="eastAsia" w:cs="Arial"/>
          <w:szCs w:val="21"/>
          <w:highlight w:val="none"/>
        </w:rPr>
        <w:t>（或招标控制价）</w:t>
      </w:r>
      <w:r>
        <w:rPr>
          <w:rFonts w:cs="Arial"/>
          <w:szCs w:val="21"/>
          <w:highlight w:val="none"/>
        </w:rPr>
        <w:t>中也没有相同或相似价格作为参考，评标委员会可以要求投标人在澄清</w:t>
      </w:r>
      <w:r>
        <w:rPr>
          <w:rFonts w:hint="eastAsia" w:cs="Arial"/>
          <w:szCs w:val="21"/>
          <w:highlight w:val="none"/>
        </w:rPr>
        <w:t>和说明</w:t>
      </w:r>
      <w:r>
        <w:rPr>
          <w:rFonts w:cs="Arial"/>
          <w:szCs w:val="21"/>
          <w:highlight w:val="none"/>
        </w:rPr>
        <w:t>时给出相应的修正价格。此时评标委员会应对此类价格的合理性进行分析，并在分析的基础上</w:t>
      </w:r>
      <w:r>
        <w:rPr>
          <w:rFonts w:hint="eastAsia" w:cs="Arial"/>
          <w:szCs w:val="21"/>
          <w:highlight w:val="none"/>
        </w:rPr>
        <w:t>要求投标人</w:t>
      </w:r>
      <w:r>
        <w:rPr>
          <w:rFonts w:cs="Arial"/>
          <w:szCs w:val="21"/>
          <w:highlight w:val="none"/>
        </w:rPr>
        <w:t>进一步</w:t>
      </w:r>
      <w:r>
        <w:rPr>
          <w:rFonts w:hint="eastAsia" w:cs="Arial"/>
          <w:szCs w:val="21"/>
          <w:highlight w:val="none"/>
        </w:rPr>
        <w:t>澄清和说明</w:t>
      </w:r>
      <w:r>
        <w:rPr>
          <w:rFonts w:cs="Arial"/>
          <w:szCs w:val="21"/>
          <w:highlight w:val="none"/>
        </w:rPr>
        <w:t>（如果评标委员会认为需要）。</w:t>
      </w:r>
    </w:p>
    <w:p>
      <w:pPr>
        <w:outlineLvl w:val="0"/>
        <w:rPr>
          <w:rFonts w:cs="Arial"/>
          <w:szCs w:val="21"/>
          <w:highlight w:val="none"/>
        </w:rPr>
      </w:pPr>
      <w:bookmarkStart w:id="306" w:name="_Toc21977"/>
      <w:bookmarkStart w:id="307" w:name="_Toc395686600"/>
      <w:bookmarkStart w:id="308" w:name="_Toc434331154"/>
      <w:r>
        <w:rPr>
          <w:rFonts w:hint="eastAsia" w:cs="Arial"/>
          <w:b/>
          <w:szCs w:val="21"/>
          <w:highlight w:val="none"/>
        </w:rPr>
        <w:t xml:space="preserve">C5.2  </w:t>
      </w:r>
      <w:r>
        <w:rPr>
          <w:rFonts w:cs="Arial"/>
          <w:b/>
          <w:szCs w:val="21"/>
          <w:highlight w:val="none"/>
        </w:rPr>
        <w:t>分部分项工程</w:t>
      </w:r>
      <w:r>
        <w:rPr>
          <w:rFonts w:hint="eastAsia" w:cs="Arial"/>
          <w:b/>
          <w:szCs w:val="21"/>
          <w:highlight w:val="none"/>
        </w:rPr>
        <w:t>和单价措施项目</w:t>
      </w:r>
      <w:r>
        <w:rPr>
          <w:rFonts w:cs="Arial"/>
          <w:b/>
          <w:szCs w:val="21"/>
          <w:highlight w:val="none"/>
        </w:rPr>
        <w:t>清单部分价格分析和修正的方</w:t>
      </w:r>
      <w:r>
        <w:rPr>
          <w:rFonts w:hint="eastAsia" w:cs="Arial"/>
          <w:b/>
          <w:szCs w:val="21"/>
          <w:highlight w:val="none"/>
        </w:rPr>
        <w:t>法</w:t>
      </w:r>
      <w:bookmarkEnd w:id="306"/>
      <w:bookmarkEnd w:id="307"/>
      <w:bookmarkEnd w:id="308"/>
    </w:p>
    <w:p>
      <w:pPr>
        <w:spacing w:line="400" w:lineRule="exact"/>
        <w:ind w:firstLine="472" w:firstLineChars="225"/>
        <w:rPr>
          <w:rFonts w:cs="Arial"/>
          <w:szCs w:val="21"/>
          <w:highlight w:val="none"/>
        </w:rPr>
      </w:pPr>
      <w:r>
        <w:rPr>
          <w:rFonts w:cs="Arial"/>
          <w:szCs w:val="21"/>
          <w:highlight w:val="none"/>
        </w:rPr>
        <w:t>分部分项工程</w:t>
      </w:r>
      <w:r>
        <w:rPr>
          <w:rFonts w:hint="eastAsia" w:cs="Arial"/>
          <w:szCs w:val="21"/>
          <w:highlight w:val="none"/>
        </w:rPr>
        <w:t>和单价措施项目</w:t>
      </w:r>
      <w:r>
        <w:rPr>
          <w:rFonts w:cs="Arial"/>
          <w:szCs w:val="21"/>
          <w:highlight w:val="none"/>
        </w:rPr>
        <w:t>清单部分价格分析和修正的方</w:t>
      </w:r>
      <w:r>
        <w:rPr>
          <w:rFonts w:hint="eastAsia" w:cs="Arial"/>
          <w:szCs w:val="21"/>
          <w:highlight w:val="none"/>
        </w:rPr>
        <w:t>法</w:t>
      </w:r>
      <w:r>
        <w:rPr>
          <w:rFonts w:cs="Arial"/>
          <w:szCs w:val="21"/>
          <w:highlight w:val="none"/>
        </w:rPr>
        <w:t>如下：</w:t>
      </w:r>
    </w:p>
    <w:p>
      <w:pPr>
        <w:spacing w:line="400" w:lineRule="exact"/>
        <w:ind w:firstLine="472" w:firstLineChars="225"/>
        <w:rPr>
          <w:rFonts w:cs="Arial"/>
          <w:szCs w:val="21"/>
          <w:highlight w:val="none"/>
        </w:rPr>
      </w:pPr>
      <w:r>
        <w:rPr>
          <w:rFonts w:cs="Arial"/>
          <w:szCs w:val="21"/>
          <w:highlight w:val="none"/>
        </w:rPr>
        <w:t>按</w:t>
      </w:r>
      <w:r>
        <w:rPr>
          <w:rFonts w:cs="Arial"/>
          <w:b/>
          <w:szCs w:val="21"/>
          <w:highlight w:val="none"/>
        </w:rPr>
        <w:t>附表</w:t>
      </w:r>
      <w:r>
        <w:rPr>
          <w:rFonts w:hint="eastAsia" w:cs="Arial"/>
          <w:b/>
          <w:szCs w:val="21"/>
          <w:highlight w:val="none"/>
        </w:rPr>
        <w:t>C-3</w:t>
      </w:r>
      <w:r>
        <w:rPr>
          <w:rFonts w:cs="Arial"/>
          <w:szCs w:val="21"/>
          <w:highlight w:val="none"/>
        </w:rPr>
        <w:t>的格式对与市场价格水平存在明显差异的</w:t>
      </w:r>
      <w:r>
        <w:rPr>
          <w:rFonts w:hint="eastAsia" w:cs="Arial"/>
          <w:szCs w:val="21"/>
          <w:highlight w:val="none"/>
        </w:rPr>
        <w:t>子目</w:t>
      </w:r>
      <w:r>
        <w:rPr>
          <w:rFonts w:cs="Arial"/>
          <w:szCs w:val="21"/>
          <w:highlight w:val="none"/>
        </w:rPr>
        <w:t>进行逐项分析</w:t>
      </w:r>
      <w:r>
        <w:rPr>
          <w:rFonts w:hint="eastAsia" w:cs="Arial"/>
          <w:szCs w:val="21"/>
          <w:highlight w:val="none"/>
        </w:rPr>
        <w:t>、修正</w:t>
      </w:r>
      <w:r>
        <w:rPr>
          <w:rFonts w:cs="Arial"/>
          <w:szCs w:val="21"/>
          <w:highlight w:val="none"/>
        </w:rPr>
        <w:t>；</w:t>
      </w:r>
    </w:p>
    <w:p>
      <w:pPr>
        <w:spacing w:line="400" w:lineRule="exact"/>
        <w:ind w:firstLine="472" w:firstLineChars="225"/>
        <w:rPr>
          <w:rFonts w:cs="Arial"/>
          <w:szCs w:val="21"/>
          <w:highlight w:val="none"/>
        </w:rPr>
      </w:pPr>
      <w:r>
        <w:rPr>
          <w:rFonts w:cs="Arial"/>
          <w:szCs w:val="21"/>
          <w:highlight w:val="none"/>
        </w:rPr>
        <w:t>计算修正后的差额，汇总分析结果，将经修正后产生的价格差额记为</w:t>
      </w:r>
      <w:r>
        <w:rPr>
          <w:rFonts w:cs="Arial"/>
          <w:b/>
          <w:szCs w:val="21"/>
          <w:highlight w:val="none"/>
        </w:rPr>
        <w:t>C值</w:t>
      </w:r>
      <w:r>
        <w:rPr>
          <w:rFonts w:cs="Arial"/>
          <w:szCs w:val="21"/>
          <w:highlight w:val="none"/>
        </w:rPr>
        <w:t>，同时整理需要投标人澄清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09" w:name="_Toc395686601"/>
      <w:bookmarkStart w:id="310" w:name="_Toc434331155"/>
      <w:bookmarkStart w:id="311" w:name="_Toc31902"/>
      <w:r>
        <w:rPr>
          <w:rFonts w:hint="eastAsia" w:cs="Arial"/>
          <w:b/>
          <w:szCs w:val="21"/>
          <w:highlight w:val="none"/>
        </w:rPr>
        <w:t>C6. 总价</w:t>
      </w:r>
      <w:r>
        <w:rPr>
          <w:rFonts w:cs="Arial"/>
          <w:b/>
          <w:szCs w:val="21"/>
          <w:highlight w:val="none"/>
        </w:rPr>
        <w:t>措施项目清单和其他项目清单部分价格合理性分析和修正</w:t>
      </w:r>
      <w:bookmarkEnd w:id="309"/>
      <w:bookmarkEnd w:id="310"/>
      <w:bookmarkEnd w:id="311"/>
    </w:p>
    <w:p>
      <w:pPr>
        <w:outlineLvl w:val="0"/>
        <w:rPr>
          <w:rFonts w:cs="Arial"/>
          <w:b/>
          <w:szCs w:val="21"/>
          <w:highlight w:val="none"/>
        </w:rPr>
      </w:pPr>
      <w:bookmarkStart w:id="312" w:name="_Toc434331156"/>
      <w:bookmarkStart w:id="313" w:name="_Toc8049"/>
      <w:bookmarkStart w:id="314" w:name="_Toc395686602"/>
      <w:r>
        <w:rPr>
          <w:rFonts w:hint="eastAsia" w:cs="Arial"/>
          <w:b/>
          <w:szCs w:val="21"/>
          <w:highlight w:val="none"/>
        </w:rPr>
        <w:t>C6.1 总价</w:t>
      </w:r>
      <w:r>
        <w:rPr>
          <w:rFonts w:cs="Arial"/>
          <w:b/>
          <w:szCs w:val="21"/>
          <w:highlight w:val="none"/>
        </w:rPr>
        <w:t>措施项目清单和其他项目清单部分分析和修正的原则</w:t>
      </w:r>
      <w:bookmarkEnd w:id="312"/>
      <w:bookmarkEnd w:id="313"/>
      <w:bookmarkEnd w:id="314"/>
    </w:p>
    <w:p>
      <w:pPr>
        <w:spacing w:line="400" w:lineRule="exact"/>
        <w:ind w:firstLine="474" w:firstLineChars="225"/>
        <w:rPr>
          <w:rFonts w:cs="Arial"/>
          <w:szCs w:val="21"/>
          <w:highlight w:val="none"/>
        </w:rPr>
      </w:pPr>
      <w:r>
        <w:rPr>
          <w:rFonts w:hint="eastAsia" w:cs="Arial"/>
          <w:b/>
          <w:szCs w:val="21"/>
          <w:highlight w:val="none"/>
        </w:rPr>
        <w:t>总价</w:t>
      </w:r>
      <w:r>
        <w:rPr>
          <w:rFonts w:cs="Arial"/>
          <w:szCs w:val="21"/>
          <w:highlight w:val="none"/>
        </w:rPr>
        <w:t>措施项目清单和其他项目清单部分分析和修正的原则如下：</w:t>
      </w:r>
    </w:p>
    <w:p>
      <w:pPr>
        <w:spacing w:line="400" w:lineRule="exact"/>
        <w:ind w:firstLine="472" w:firstLineChars="225"/>
        <w:rPr>
          <w:rFonts w:cs="Arial"/>
          <w:szCs w:val="21"/>
          <w:highlight w:val="none"/>
        </w:rPr>
      </w:pPr>
      <w:r>
        <w:rPr>
          <w:rFonts w:hint="eastAsia" w:cs="Arial"/>
          <w:szCs w:val="21"/>
          <w:highlight w:val="none"/>
        </w:rPr>
        <w:t>总价</w:t>
      </w:r>
      <w:r>
        <w:rPr>
          <w:rFonts w:cs="Arial"/>
          <w:szCs w:val="21"/>
          <w:highlight w:val="none"/>
        </w:rPr>
        <w:t>措施项目清单报价中的资源投入数量不正确或不合理的，按照投标人递交的施工组织设计中明确的或者可以通过施工组织设计中给出的相关数据计算出来的计划投入的资源数量（如临时设施、拟派现场管理人员流量计划、施工机械设备投入计划等）修正</w:t>
      </w:r>
      <w:r>
        <w:rPr>
          <w:rFonts w:hint="eastAsia" w:cs="Arial"/>
          <w:szCs w:val="21"/>
          <w:highlight w:val="none"/>
        </w:rPr>
        <w:t>总价</w:t>
      </w:r>
      <w:r>
        <w:rPr>
          <w:rFonts w:cs="Arial"/>
          <w:szCs w:val="21"/>
          <w:highlight w:val="none"/>
        </w:rPr>
        <w:t>措施项目清单报价中不</w:t>
      </w:r>
      <w:r>
        <w:rPr>
          <w:rFonts w:hint="eastAsia" w:cs="Arial"/>
          <w:szCs w:val="21"/>
          <w:highlight w:val="none"/>
        </w:rPr>
        <w:t>合理</w:t>
      </w:r>
      <w:r>
        <w:rPr>
          <w:rFonts w:cs="Arial"/>
          <w:szCs w:val="21"/>
          <w:highlight w:val="none"/>
        </w:rPr>
        <w:t>的资源投入数量；</w:t>
      </w:r>
    </w:p>
    <w:p>
      <w:pPr>
        <w:spacing w:line="400" w:lineRule="exact"/>
        <w:ind w:firstLine="472" w:firstLineChars="225"/>
        <w:rPr>
          <w:rFonts w:cs="Arial"/>
          <w:szCs w:val="21"/>
          <w:highlight w:val="none"/>
        </w:rPr>
      </w:pPr>
      <w:r>
        <w:rPr>
          <w:rFonts w:hint="eastAsia" w:cs="Arial"/>
          <w:szCs w:val="21"/>
          <w:highlight w:val="none"/>
        </w:rPr>
        <w:t>总价</w:t>
      </w:r>
      <w:r>
        <w:rPr>
          <w:rFonts w:cs="Arial"/>
          <w:szCs w:val="21"/>
          <w:highlight w:val="none"/>
        </w:rPr>
        <w:t>措施项目清单报价中的资源和生产要素价格不合理的，如果评标委员会认为投标人递交的投标文件中有相似的并且投标人已经给出合适报价的</w:t>
      </w:r>
      <w:r>
        <w:rPr>
          <w:rFonts w:hint="eastAsia" w:cs="Arial"/>
          <w:szCs w:val="21"/>
          <w:highlight w:val="none"/>
        </w:rPr>
        <w:t>项目</w:t>
      </w:r>
      <w:r>
        <w:rPr>
          <w:rFonts w:cs="Arial"/>
          <w:szCs w:val="21"/>
          <w:highlight w:val="none"/>
        </w:rPr>
        <w:t>，则按该相似</w:t>
      </w:r>
      <w:r>
        <w:rPr>
          <w:rFonts w:hint="eastAsia" w:cs="Arial"/>
          <w:szCs w:val="21"/>
          <w:highlight w:val="none"/>
        </w:rPr>
        <w:t>项目</w:t>
      </w:r>
      <w:r>
        <w:rPr>
          <w:rFonts w:cs="Arial"/>
          <w:szCs w:val="21"/>
          <w:highlight w:val="none"/>
        </w:rPr>
        <w:t>的报价为基础，考虑该相似</w:t>
      </w:r>
      <w:r>
        <w:rPr>
          <w:rFonts w:hint="eastAsia" w:cs="Arial"/>
          <w:szCs w:val="21"/>
          <w:highlight w:val="none"/>
        </w:rPr>
        <w:t>项目</w:t>
      </w:r>
      <w:r>
        <w:rPr>
          <w:rFonts w:cs="Arial"/>
          <w:szCs w:val="21"/>
          <w:highlight w:val="none"/>
        </w:rPr>
        <w:t>与不合理报价</w:t>
      </w:r>
      <w:r>
        <w:rPr>
          <w:rFonts w:hint="eastAsia" w:cs="Arial"/>
          <w:szCs w:val="21"/>
          <w:highlight w:val="none"/>
        </w:rPr>
        <w:t>项目</w:t>
      </w:r>
      <w:r>
        <w:rPr>
          <w:rFonts w:cs="Arial"/>
          <w:szCs w:val="21"/>
          <w:highlight w:val="none"/>
        </w:rPr>
        <w:t>之间的差异而进行适当调整后的价格对不合理报价</w:t>
      </w:r>
      <w:r>
        <w:rPr>
          <w:rFonts w:hint="eastAsia" w:cs="Arial"/>
          <w:szCs w:val="21"/>
          <w:highlight w:val="none"/>
        </w:rPr>
        <w:t>项目</w:t>
      </w:r>
      <w:r>
        <w:rPr>
          <w:rFonts w:cs="Arial"/>
          <w:szCs w:val="21"/>
          <w:highlight w:val="none"/>
        </w:rPr>
        <w:t>的资源或生产要素的价格进行修正；</w:t>
      </w:r>
    </w:p>
    <w:p>
      <w:pPr>
        <w:spacing w:line="400" w:lineRule="exact"/>
        <w:ind w:firstLine="472" w:firstLineChars="225"/>
        <w:rPr>
          <w:rFonts w:cs="Arial"/>
          <w:szCs w:val="21"/>
          <w:highlight w:val="none"/>
        </w:rPr>
      </w:pPr>
      <w:r>
        <w:rPr>
          <w:rFonts w:cs="Arial"/>
          <w:szCs w:val="21"/>
          <w:highlight w:val="none"/>
        </w:rPr>
        <w:t>其他情况下，按标底</w:t>
      </w:r>
      <w:r>
        <w:rPr>
          <w:rFonts w:hint="eastAsia" w:cs="Arial"/>
          <w:szCs w:val="21"/>
          <w:highlight w:val="none"/>
        </w:rPr>
        <w:t>或招标控制价</w:t>
      </w:r>
      <w:r>
        <w:rPr>
          <w:rFonts w:cs="Arial"/>
          <w:szCs w:val="21"/>
          <w:highlight w:val="none"/>
        </w:rPr>
        <w:t>（如果有）中的相应价格为基础对</w:t>
      </w:r>
      <w:r>
        <w:rPr>
          <w:rFonts w:hint="eastAsia" w:cs="Arial"/>
          <w:szCs w:val="21"/>
          <w:highlight w:val="none"/>
        </w:rPr>
        <w:t>总价</w:t>
      </w:r>
      <w:r>
        <w:rPr>
          <w:rFonts w:cs="Arial"/>
          <w:szCs w:val="21"/>
          <w:highlight w:val="none"/>
        </w:rPr>
        <w:t>措施项目和其他项目清单中的不合理报价进行修正；</w:t>
      </w:r>
    </w:p>
    <w:p>
      <w:pPr>
        <w:spacing w:line="400" w:lineRule="exact"/>
        <w:ind w:firstLine="472" w:firstLineChars="225"/>
        <w:rPr>
          <w:rFonts w:cs="Arial"/>
          <w:szCs w:val="21"/>
          <w:highlight w:val="none"/>
        </w:rPr>
      </w:pPr>
      <w:r>
        <w:rPr>
          <w:rFonts w:cs="Arial"/>
          <w:szCs w:val="21"/>
          <w:highlight w:val="none"/>
        </w:rPr>
        <w:t>如果</w:t>
      </w:r>
      <w:r>
        <w:rPr>
          <w:rFonts w:hint="eastAsia" w:cs="Arial"/>
          <w:szCs w:val="21"/>
          <w:highlight w:val="none"/>
        </w:rPr>
        <w:t>没有标底（或招标控制价）或者</w:t>
      </w:r>
      <w:r>
        <w:rPr>
          <w:rFonts w:cs="Arial"/>
          <w:szCs w:val="21"/>
          <w:highlight w:val="none"/>
        </w:rPr>
        <w:t>标底</w:t>
      </w:r>
      <w:r>
        <w:rPr>
          <w:rFonts w:hint="eastAsia" w:cs="Arial"/>
          <w:szCs w:val="21"/>
          <w:highlight w:val="none"/>
        </w:rPr>
        <w:t>（或招标控制价）</w:t>
      </w:r>
      <w:r>
        <w:rPr>
          <w:rFonts w:cs="Arial"/>
          <w:szCs w:val="21"/>
          <w:highlight w:val="none"/>
        </w:rPr>
        <w:t>中也没有相同或相似价格作为参考，评标委员会可以要求投标人在澄清</w:t>
      </w:r>
      <w:r>
        <w:rPr>
          <w:rFonts w:hint="eastAsia" w:cs="Arial"/>
          <w:szCs w:val="21"/>
          <w:highlight w:val="none"/>
        </w:rPr>
        <w:t>和说明</w:t>
      </w:r>
      <w:r>
        <w:rPr>
          <w:rFonts w:cs="Arial"/>
          <w:szCs w:val="21"/>
          <w:highlight w:val="none"/>
        </w:rPr>
        <w:t>时给出相应的修正价格。此时评标委员会应对此类价格的合理性进行分析，并在分析的基础上</w:t>
      </w:r>
      <w:r>
        <w:rPr>
          <w:rFonts w:hint="eastAsia" w:cs="Arial"/>
          <w:szCs w:val="21"/>
          <w:highlight w:val="none"/>
        </w:rPr>
        <w:t>要求投标人</w:t>
      </w:r>
      <w:r>
        <w:rPr>
          <w:rFonts w:cs="Arial"/>
          <w:szCs w:val="21"/>
          <w:highlight w:val="none"/>
        </w:rPr>
        <w:t>进一步</w:t>
      </w:r>
      <w:r>
        <w:rPr>
          <w:rFonts w:hint="eastAsia" w:cs="Arial"/>
          <w:szCs w:val="21"/>
          <w:highlight w:val="none"/>
        </w:rPr>
        <w:t>澄清和说明</w:t>
      </w:r>
      <w:r>
        <w:rPr>
          <w:rFonts w:cs="Arial"/>
          <w:szCs w:val="21"/>
          <w:highlight w:val="none"/>
        </w:rPr>
        <w:t>（如果评标委员会认为需要）；</w:t>
      </w:r>
    </w:p>
    <w:p>
      <w:pPr>
        <w:spacing w:line="400" w:lineRule="exact"/>
        <w:ind w:firstLine="472" w:firstLineChars="225"/>
        <w:rPr>
          <w:rFonts w:cs="Arial"/>
          <w:szCs w:val="21"/>
          <w:highlight w:val="none"/>
        </w:rPr>
      </w:pPr>
      <w:r>
        <w:rPr>
          <w:rFonts w:cs="Arial"/>
          <w:szCs w:val="21"/>
          <w:highlight w:val="none"/>
        </w:rPr>
        <w:t>对于按照招标文件不</w:t>
      </w:r>
      <w:r>
        <w:rPr>
          <w:rFonts w:hint="eastAsia" w:cs="Arial"/>
          <w:szCs w:val="21"/>
          <w:highlight w:val="none"/>
        </w:rPr>
        <w:t>应当</w:t>
      </w:r>
      <w:r>
        <w:rPr>
          <w:rFonts w:cs="Arial"/>
          <w:szCs w:val="21"/>
          <w:highlight w:val="none"/>
        </w:rPr>
        <w:t>报价的</w:t>
      </w:r>
      <w:r>
        <w:rPr>
          <w:rFonts w:hint="eastAsia" w:cs="Arial"/>
          <w:szCs w:val="21"/>
          <w:highlight w:val="none"/>
        </w:rPr>
        <w:t>项目</w:t>
      </w:r>
      <w:r>
        <w:rPr>
          <w:rFonts w:cs="Arial"/>
          <w:szCs w:val="21"/>
          <w:highlight w:val="none"/>
        </w:rPr>
        <w:t>，则直接删除该</w:t>
      </w:r>
      <w:r>
        <w:rPr>
          <w:rFonts w:hint="eastAsia" w:cs="Arial"/>
          <w:szCs w:val="21"/>
          <w:highlight w:val="none"/>
        </w:rPr>
        <w:t>项目</w:t>
      </w:r>
      <w:r>
        <w:rPr>
          <w:rFonts w:cs="Arial"/>
          <w:szCs w:val="21"/>
          <w:highlight w:val="none"/>
        </w:rPr>
        <w:t>的价格。</w:t>
      </w:r>
    </w:p>
    <w:p>
      <w:pPr>
        <w:outlineLvl w:val="0"/>
        <w:rPr>
          <w:rFonts w:cs="Arial"/>
          <w:b/>
          <w:szCs w:val="21"/>
          <w:highlight w:val="none"/>
        </w:rPr>
      </w:pPr>
      <w:bookmarkStart w:id="315" w:name="_Toc434331157"/>
      <w:bookmarkStart w:id="316" w:name="_Toc6343"/>
      <w:bookmarkStart w:id="317" w:name="_Toc395686603"/>
      <w:r>
        <w:rPr>
          <w:rFonts w:hint="eastAsia" w:cs="Arial"/>
          <w:b/>
          <w:szCs w:val="21"/>
          <w:highlight w:val="none"/>
        </w:rPr>
        <w:t>C6.2 总价</w:t>
      </w:r>
      <w:r>
        <w:rPr>
          <w:rFonts w:cs="Arial"/>
          <w:b/>
          <w:szCs w:val="21"/>
          <w:highlight w:val="none"/>
        </w:rPr>
        <w:t>措施项目清单和其他项目清单部分分析和修正</w:t>
      </w:r>
      <w:bookmarkEnd w:id="315"/>
      <w:bookmarkEnd w:id="316"/>
      <w:bookmarkEnd w:id="317"/>
    </w:p>
    <w:p>
      <w:pPr>
        <w:spacing w:line="400" w:lineRule="exact"/>
        <w:ind w:firstLine="472" w:firstLineChars="225"/>
        <w:rPr>
          <w:rFonts w:cs="Arial"/>
          <w:szCs w:val="21"/>
          <w:highlight w:val="none"/>
        </w:rPr>
      </w:pPr>
      <w:r>
        <w:rPr>
          <w:rFonts w:hint="eastAsia" w:cs="Arial"/>
          <w:szCs w:val="21"/>
          <w:highlight w:val="none"/>
        </w:rPr>
        <w:t>总价</w:t>
      </w:r>
      <w:r>
        <w:rPr>
          <w:rFonts w:cs="Arial"/>
          <w:szCs w:val="21"/>
          <w:highlight w:val="none"/>
        </w:rPr>
        <w:t>措施项目清单和其他项目清单部分分析和修正的方</w:t>
      </w:r>
      <w:r>
        <w:rPr>
          <w:rFonts w:hint="eastAsia" w:cs="Arial"/>
          <w:szCs w:val="21"/>
          <w:highlight w:val="none"/>
        </w:rPr>
        <w:t>法</w:t>
      </w:r>
      <w:r>
        <w:rPr>
          <w:rFonts w:cs="Arial"/>
          <w:szCs w:val="21"/>
          <w:highlight w:val="none"/>
        </w:rPr>
        <w:t>如下：</w:t>
      </w:r>
    </w:p>
    <w:p>
      <w:pPr>
        <w:spacing w:line="400" w:lineRule="exact"/>
        <w:ind w:firstLine="472" w:firstLineChars="225"/>
        <w:rPr>
          <w:rFonts w:cs="Arial"/>
          <w:szCs w:val="21"/>
          <w:highlight w:val="none"/>
        </w:rPr>
      </w:pPr>
      <w:r>
        <w:rPr>
          <w:rFonts w:cs="Arial"/>
          <w:szCs w:val="21"/>
          <w:highlight w:val="none"/>
        </w:rPr>
        <w:t>按</w:t>
      </w:r>
      <w:r>
        <w:rPr>
          <w:rFonts w:cs="Arial"/>
          <w:b/>
          <w:szCs w:val="21"/>
          <w:highlight w:val="none"/>
        </w:rPr>
        <w:t>附表</w:t>
      </w:r>
      <w:r>
        <w:rPr>
          <w:rFonts w:hint="eastAsia" w:cs="Arial"/>
          <w:b/>
          <w:szCs w:val="21"/>
          <w:highlight w:val="none"/>
        </w:rPr>
        <w:t>C-4</w:t>
      </w:r>
      <w:r>
        <w:rPr>
          <w:rFonts w:cs="Arial"/>
          <w:szCs w:val="21"/>
          <w:highlight w:val="none"/>
        </w:rPr>
        <w:t>格式</w:t>
      </w:r>
      <w:r>
        <w:rPr>
          <w:rFonts w:hint="eastAsia" w:cs="Arial"/>
          <w:szCs w:val="21"/>
          <w:highlight w:val="none"/>
        </w:rPr>
        <w:t>对总价措施项目清单和其他项目清单进行逐项分析、修正；</w:t>
      </w:r>
    </w:p>
    <w:p>
      <w:pPr>
        <w:spacing w:line="400" w:lineRule="exact"/>
        <w:ind w:firstLine="472" w:firstLineChars="225"/>
        <w:rPr>
          <w:rFonts w:cs="Arial"/>
          <w:szCs w:val="21"/>
          <w:highlight w:val="none"/>
        </w:rPr>
      </w:pPr>
      <w:r>
        <w:rPr>
          <w:rFonts w:cs="Arial"/>
          <w:szCs w:val="21"/>
          <w:highlight w:val="none"/>
        </w:rPr>
        <w:t>计算修正后的差额，汇总分析结果，将经修正后产生的价格差额记为</w:t>
      </w:r>
      <w:r>
        <w:rPr>
          <w:rFonts w:cs="Arial"/>
          <w:b/>
          <w:szCs w:val="21"/>
          <w:highlight w:val="none"/>
        </w:rPr>
        <w:t>D值</w:t>
      </w:r>
      <w:r>
        <w:rPr>
          <w:rFonts w:cs="Arial"/>
          <w:szCs w:val="21"/>
          <w:highlight w:val="none"/>
        </w:rPr>
        <w:t>，同时整理需要投标人澄清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18" w:name="_Toc434331158"/>
      <w:bookmarkStart w:id="319" w:name="_Toc20932"/>
      <w:bookmarkStart w:id="320" w:name="_Toc395686604"/>
      <w:r>
        <w:rPr>
          <w:rFonts w:hint="eastAsia" w:cs="Arial"/>
          <w:b/>
          <w:szCs w:val="21"/>
          <w:highlight w:val="none"/>
        </w:rPr>
        <w:t>C7. 企业管理费合理性分析和修正</w:t>
      </w:r>
      <w:bookmarkEnd w:id="318"/>
      <w:bookmarkEnd w:id="319"/>
      <w:bookmarkEnd w:id="320"/>
    </w:p>
    <w:p>
      <w:pPr>
        <w:outlineLvl w:val="0"/>
        <w:rPr>
          <w:rFonts w:cs="Arial"/>
          <w:szCs w:val="21"/>
          <w:highlight w:val="none"/>
        </w:rPr>
      </w:pPr>
      <w:bookmarkStart w:id="321" w:name="_Toc395686605"/>
      <w:bookmarkStart w:id="322" w:name="_Toc6269"/>
      <w:bookmarkStart w:id="323" w:name="_Toc434331159"/>
      <w:r>
        <w:rPr>
          <w:rFonts w:hint="eastAsia" w:cs="Arial"/>
          <w:b/>
          <w:szCs w:val="21"/>
          <w:highlight w:val="none"/>
        </w:rPr>
        <w:t>C7.1</w:t>
      </w:r>
      <w:r>
        <w:rPr>
          <w:rFonts w:hint="eastAsia" w:cs="Arial"/>
          <w:szCs w:val="21"/>
          <w:highlight w:val="none"/>
        </w:rPr>
        <w:t xml:space="preserve"> </w:t>
      </w:r>
      <w:r>
        <w:rPr>
          <w:rFonts w:cs="Arial"/>
          <w:b/>
          <w:szCs w:val="21"/>
          <w:highlight w:val="none"/>
        </w:rPr>
        <w:t>企业管理费分析和修正的原则</w:t>
      </w:r>
      <w:bookmarkEnd w:id="321"/>
      <w:bookmarkEnd w:id="322"/>
      <w:bookmarkEnd w:id="323"/>
    </w:p>
    <w:p>
      <w:pPr>
        <w:spacing w:line="400" w:lineRule="exact"/>
        <w:ind w:firstLine="472" w:firstLineChars="225"/>
        <w:rPr>
          <w:rFonts w:cs="Arial"/>
          <w:szCs w:val="21"/>
          <w:highlight w:val="none"/>
        </w:rPr>
      </w:pPr>
      <w:r>
        <w:rPr>
          <w:rFonts w:cs="Arial"/>
          <w:szCs w:val="21"/>
          <w:highlight w:val="none"/>
        </w:rPr>
        <w:t>企业管理费分析和修正的原则如下：</w:t>
      </w:r>
    </w:p>
    <w:p>
      <w:pPr>
        <w:spacing w:line="400" w:lineRule="exact"/>
        <w:ind w:firstLine="472" w:firstLineChars="225"/>
        <w:rPr>
          <w:rFonts w:cs="Arial"/>
          <w:szCs w:val="21"/>
          <w:highlight w:val="none"/>
        </w:rPr>
      </w:pPr>
      <w:r>
        <w:rPr>
          <w:rFonts w:cs="Arial"/>
          <w:szCs w:val="21"/>
          <w:highlight w:val="none"/>
        </w:rPr>
        <w:t>按投标人经审计的企业近</w:t>
      </w:r>
      <w:r>
        <w:rPr>
          <w:rFonts w:hint="eastAsia" w:cs="Arial"/>
          <w:szCs w:val="21"/>
          <w:highlight w:val="none"/>
          <w:lang w:val="en-US" w:eastAsia="zh-CN"/>
        </w:rPr>
        <w:t>二</w:t>
      </w:r>
      <w:r>
        <w:rPr>
          <w:rFonts w:cs="Arial"/>
          <w:szCs w:val="21"/>
          <w:highlight w:val="none"/>
        </w:rPr>
        <w:t>年财务报表中的相关数据计算出投标人</w:t>
      </w:r>
      <w:r>
        <w:rPr>
          <w:rFonts w:hint="eastAsia" w:cs="Arial"/>
          <w:szCs w:val="21"/>
          <w:highlight w:val="none"/>
        </w:rPr>
        <w:t>企业</w:t>
      </w:r>
      <w:r>
        <w:rPr>
          <w:rFonts w:cs="Arial"/>
          <w:szCs w:val="21"/>
          <w:highlight w:val="none"/>
        </w:rPr>
        <w:t>实际</w:t>
      </w:r>
      <w:r>
        <w:rPr>
          <w:rFonts w:hint="eastAsia" w:cs="Arial"/>
          <w:szCs w:val="21"/>
          <w:highlight w:val="none"/>
        </w:rPr>
        <w:t>的</w:t>
      </w:r>
      <w:r>
        <w:rPr>
          <w:rFonts w:cs="Arial"/>
          <w:szCs w:val="21"/>
          <w:highlight w:val="none"/>
        </w:rPr>
        <w:t>管理费率（近</w:t>
      </w:r>
      <w:r>
        <w:rPr>
          <w:rFonts w:hint="eastAsia" w:cs="Arial"/>
          <w:szCs w:val="21"/>
          <w:highlight w:val="none"/>
          <w:lang w:val="en-US" w:eastAsia="zh-CN"/>
        </w:rPr>
        <w:t>二</w:t>
      </w:r>
      <w:r>
        <w:rPr>
          <w:rFonts w:cs="Arial"/>
          <w:szCs w:val="21"/>
          <w:highlight w:val="none"/>
        </w:rPr>
        <w:t>年</w:t>
      </w:r>
      <w:r>
        <w:rPr>
          <w:rFonts w:hint="eastAsia" w:cs="Arial"/>
          <w:szCs w:val="21"/>
          <w:highlight w:val="none"/>
        </w:rPr>
        <w:t>企业</w:t>
      </w:r>
      <w:r>
        <w:rPr>
          <w:rFonts w:cs="Arial"/>
          <w:szCs w:val="21"/>
          <w:highlight w:val="none"/>
        </w:rPr>
        <w:t>管理费总额的平均值与近</w:t>
      </w:r>
      <w:r>
        <w:rPr>
          <w:rFonts w:hint="eastAsia" w:cs="Arial"/>
          <w:szCs w:val="21"/>
          <w:highlight w:val="none"/>
          <w:lang w:val="en-US" w:eastAsia="zh-CN"/>
        </w:rPr>
        <w:t>二</w:t>
      </w:r>
      <w:r>
        <w:rPr>
          <w:rFonts w:cs="Arial"/>
          <w:szCs w:val="21"/>
          <w:highlight w:val="none"/>
        </w:rPr>
        <w:t>年完成产值的平均值之间的比例）并以此对投标价格中明显不合理的企业管理费率进行修正；</w:t>
      </w:r>
    </w:p>
    <w:p>
      <w:pPr>
        <w:spacing w:line="400" w:lineRule="exact"/>
        <w:ind w:firstLine="472" w:firstLineChars="225"/>
        <w:rPr>
          <w:rFonts w:cs="Arial"/>
          <w:szCs w:val="21"/>
          <w:highlight w:val="none"/>
        </w:rPr>
      </w:pPr>
      <w:r>
        <w:rPr>
          <w:rFonts w:cs="Arial"/>
          <w:szCs w:val="21"/>
          <w:highlight w:val="none"/>
        </w:rPr>
        <w:t>企业管理费率明显不合理并且做不到</w:t>
      </w:r>
      <w:r>
        <w:rPr>
          <w:rFonts w:hint="eastAsia" w:cs="Arial"/>
          <w:szCs w:val="21"/>
          <w:highlight w:val="none"/>
        </w:rPr>
        <w:t>前</w:t>
      </w:r>
      <w:r>
        <w:rPr>
          <w:rFonts w:cs="Arial"/>
          <w:szCs w:val="21"/>
          <w:highlight w:val="none"/>
        </w:rPr>
        <w:t>项时，按其他</w:t>
      </w:r>
      <w:r>
        <w:rPr>
          <w:rFonts w:hint="eastAsia" w:cs="Arial"/>
          <w:szCs w:val="21"/>
          <w:highlight w:val="none"/>
        </w:rPr>
        <w:t>通过初步评审的</w:t>
      </w:r>
      <w:r>
        <w:rPr>
          <w:rFonts w:cs="Arial"/>
          <w:szCs w:val="21"/>
          <w:highlight w:val="none"/>
        </w:rPr>
        <w:t>各家</w:t>
      </w:r>
      <w:r>
        <w:rPr>
          <w:rFonts w:hint="eastAsia" w:cs="Arial"/>
          <w:szCs w:val="21"/>
          <w:highlight w:val="none"/>
        </w:rPr>
        <w:t>投标人</w:t>
      </w:r>
      <w:r>
        <w:rPr>
          <w:rFonts w:cs="Arial"/>
          <w:szCs w:val="21"/>
          <w:highlight w:val="none"/>
        </w:rPr>
        <w:t>的</w:t>
      </w:r>
      <w:r>
        <w:rPr>
          <w:rFonts w:hint="eastAsia" w:cs="Arial"/>
          <w:szCs w:val="21"/>
          <w:highlight w:val="none"/>
        </w:rPr>
        <w:t>企业</w:t>
      </w:r>
      <w:r>
        <w:rPr>
          <w:rFonts w:cs="Arial"/>
          <w:szCs w:val="21"/>
          <w:highlight w:val="none"/>
        </w:rPr>
        <w:t>管理费率以及标底</w:t>
      </w:r>
      <w:r>
        <w:rPr>
          <w:rFonts w:hint="eastAsia" w:cs="Arial"/>
          <w:szCs w:val="21"/>
          <w:highlight w:val="none"/>
        </w:rPr>
        <w:t>或招标控制价</w:t>
      </w:r>
      <w:r>
        <w:rPr>
          <w:rFonts w:cs="Arial"/>
          <w:szCs w:val="21"/>
          <w:highlight w:val="none"/>
        </w:rPr>
        <w:t>（如果有）中的企业管理费率的平均费率为准进行修正；</w:t>
      </w:r>
    </w:p>
    <w:p>
      <w:pPr>
        <w:spacing w:line="400" w:lineRule="exact"/>
        <w:ind w:firstLine="472" w:firstLineChars="225"/>
        <w:rPr>
          <w:rFonts w:cs="Arial"/>
          <w:szCs w:val="21"/>
          <w:highlight w:val="none"/>
        </w:rPr>
      </w:pPr>
      <w:r>
        <w:rPr>
          <w:rFonts w:cs="Arial"/>
          <w:szCs w:val="21"/>
          <w:highlight w:val="none"/>
        </w:rPr>
        <w:t>分部分项工程量清单和</w:t>
      </w:r>
      <w:r>
        <w:rPr>
          <w:rFonts w:hint="eastAsia" w:cs="Arial"/>
          <w:szCs w:val="21"/>
          <w:highlight w:val="none"/>
        </w:rPr>
        <w:t>单价</w:t>
      </w:r>
      <w:r>
        <w:rPr>
          <w:rFonts w:cs="Arial"/>
          <w:szCs w:val="21"/>
          <w:highlight w:val="none"/>
        </w:rPr>
        <w:t>措施项目清单综合单价分析表中的企业管理费率与费率报价表（如果有）报出的企业管理费率不一致的，以费率报价表（如果有）报出的企业管理费率为准进行修正（但如果费率报价表中的费率明显不合理时，应执行根据上述原则修正后的管理费率）。</w:t>
      </w:r>
    </w:p>
    <w:p>
      <w:pPr>
        <w:outlineLvl w:val="0"/>
        <w:rPr>
          <w:rFonts w:cs="Arial"/>
          <w:b/>
          <w:szCs w:val="21"/>
          <w:highlight w:val="none"/>
        </w:rPr>
      </w:pPr>
      <w:bookmarkStart w:id="324" w:name="_Toc434331160"/>
      <w:bookmarkStart w:id="325" w:name="_Toc395686606"/>
      <w:bookmarkStart w:id="326" w:name="_Toc3383"/>
      <w:r>
        <w:rPr>
          <w:rFonts w:hint="eastAsia" w:cs="Arial"/>
          <w:b/>
          <w:szCs w:val="21"/>
          <w:highlight w:val="none"/>
        </w:rPr>
        <w:t xml:space="preserve">C7.2  </w:t>
      </w:r>
      <w:r>
        <w:rPr>
          <w:rFonts w:cs="Arial"/>
          <w:b/>
          <w:szCs w:val="21"/>
          <w:highlight w:val="none"/>
        </w:rPr>
        <w:t>企业管理费分析和修正的方</w:t>
      </w:r>
      <w:r>
        <w:rPr>
          <w:rFonts w:hint="eastAsia" w:cs="Arial"/>
          <w:b/>
          <w:szCs w:val="21"/>
          <w:highlight w:val="none"/>
        </w:rPr>
        <w:t>法</w:t>
      </w:r>
      <w:bookmarkEnd w:id="324"/>
      <w:bookmarkEnd w:id="325"/>
      <w:bookmarkEnd w:id="326"/>
    </w:p>
    <w:p>
      <w:pPr>
        <w:spacing w:line="400" w:lineRule="exact"/>
        <w:ind w:firstLine="472" w:firstLineChars="225"/>
        <w:rPr>
          <w:rFonts w:cs="Arial"/>
          <w:szCs w:val="21"/>
          <w:highlight w:val="none"/>
        </w:rPr>
      </w:pPr>
      <w:r>
        <w:rPr>
          <w:rFonts w:cs="Arial"/>
          <w:szCs w:val="21"/>
          <w:highlight w:val="none"/>
        </w:rPr>
        <w:t>企业管理费分析和修正的方</w:t>
      </w:r>
      <w:r>
        <w:rPr>
          <w:rFonts w:hint="eastAsia" w:cs="Arial"/>
          <w:szCs w:val="21"/>
          <w:highlight w:val="none"/>
        </w:rPr>
        <w:t>法</w:t>
      </w:r>
      <w:r>
        <w:rPr>
          <w:rFonts w:cs="Arial"/>
          <w:szCs w:val="21"/>
          <w:highlight w:val="none"/>
        </w:rPr>
        <w:t>如下：</w:t>
      </w:r>
    </w:p>
    <w:p>
      <w:pPr>
        <w:spacing w:line="400" w:lineRule="exact"/>
        <w:ind w:firstLine="472" w:firstLineChars="225"/>
        <w:rPr>
          <w:rFonts w:cs="Arial"/>
          <w:szCs w:val="21"/>
          <w:highlight w:val="none"/>
        </w:rPr>
      </w:pPr>
      <w:r>
        <w:rPr>
          <w:rFonts w:cs="Arial"/>
          <w:szCs w:val="21"/>
          <w:highlight w:val="none"/>
        </w:rPr>
        <w:t>按</w:t>
      </w:r>
      <w:r>
        <w:rPr>
          <w:rFonts w:cs="Arial"/>
          <w:b/>
          <w:szCs w:val="21"/>
          <w:highlight w:val="none"/>
        </w:rPr>
        <w:t>附表</w:t>
      </w:r>
      <w:r>
        <w:rPr>
          <w:rFonts w:hint="eastAsia" w:cs="Arial"/>
          <w:b/>
          <w:szCs w:val="21"/>
          <w:highlight w:val="none"/>
        </w:rPr>
        <w:t>C-5</w:t>
      </w:r>
      <w:r>
        <w:rPr>
          <w:rFonts w:hint="eastAsia" w:cs="Arial"/>
          <w:szCs w:val="21"/>
          <w:highlight w:val="none"/>
        </w:rPr>
        <w:t>的</w:t>
      </w:r>
      <w:r>
        <w:rPr>
          <w:rFonts w:cs="Arial"/>
          <w:szCs w:val="21"/>
          <w:highlight w:val="none"/>
        </w:rPr>
        <w:t>格式</w:t>
      </w:r>
      <w:r>
        <w:rPr>
          <w:rFonts w:hint="eastAsia" w:cs="Arial"/>
          <w:szCs w:val="21"/>
          <w:highlight w:val="none"/>
        </w:rPr>
        <w:t>进行分析和修正；</w:t>
      </w:r>
    </w:p>
    <w:p>
      <w:pPr>
        <w:spacing w:line="400" w:lineRule="exact"/>
        <w:ind w:firstLine="472" w:firstLineChars="225"/>
        <w:rPr>
          <w:rFonts w:cs="Arial"/>
          <w:szCs w:val="21"/>
          <w:highlight w:val="none"/>
        </w:rPr>
      </w:pPr>
      <w:r>
        <w:rPr>
          <w:rFonts w:cs="Arial"/>
          <w:szCs w:val="21"/>
          <w:highlight w:val="none"/>
        </w:rPr>
        <w:t>汇总分析结果，将经修正后产生的价格差额记为</w:t>
      </w:r>
      <w:r>
        <w:rPr>
          <w:rFonts w:cs="Arial"/>
          <w:b/>
          <w:szCs w:val="21"/>
          <w:highlight w:val="none"/>
        </w:rPr>
        <w:t>E值</w:t>
      </w:r>
      <w:r>
        <w:rPr>
          <w:rFonts w:cs="Arial"/>
          <w:szCs w:val="21"/>
          <w:highlight w:val="none"/>
        </w:rPr>
        <w:t>，同时整理需要投标人澄清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27" w:name="_Toc434331161"/>
      <w:bookmarkStart w:id="328" w:name="_Toc14988"/>
      <w:bookmarkStart w:id="329" w:name="_Toc395686607"/>
      <w:r>
        <w:rPr>
          <w:rFonts w:hint="eastAsia" w:cs="Arial"/>
          <w:b/>
          <w:szCs w:val="21"/>
          <w:highlight w:val="none"/>
        </w:rPr>
        <w:t>C8. 利润水平合理性分析和修正</w:t>
      </w:r>
      <w:bookmarkEnd w:id="327"/>
      <w:bookmarkEnd w:id="328"/>
      <w:bookmarkEnd w:id="329"/>
    </w:p>
    <w:p>
      <w:pPr>
        <w:outlineLvl w:val="0"/>
        <w:rPr>
          <w:rFonts w:cs="Arial"/>
          <w:szCs w:val="21"/>
          <w:highlight w:val="none"/>
        </w:rPr>
      </w:pPr>
      <w:bookmarkStart w:id="330" w:name="_Toc434331162"/>
      <w:bookmarkStart w:id="331" w:name="_Toc395686608"/>
      <w:bookmarkStart w:id="332" w:name="_Toc7535"/>
      <w:r>
        <w:rPr>
          <w:rFonts w:hint="eastAsia" w:cs="Arial"/>
          <w:b/>
          <w:szCs w:val="21"/>
          <w:highlight w:val="none"/>
        </w:rPr>
        <w:t xml:space="preserve">C8.1  </w:t>
      </w:r>
      <w:r>
        <w:rPr>
          <w:rFonts w:cs="Arial"/>
          <w:b/>
          <w:szCs w:val="21"/>
          <w:highlight w:val="none"/>
        </w:rPr>
        <w:t>利润水平分析和修正的原则</w:t>
      </w:r>
      <w:bookmarkEnd w:id="330"/>
      <w:bookmarkEnd w:id="331"/>
      <w:bookmarkEnd w:id="332"/>
    </w:p>
    <w:p>
      <w:pPr>
        <w:spacing w:line="400" w:lineRule="exact"/>
        <w:ind w:firstLine="472" w:firstLineChars="225"/>
        <w:rPr>
          <w:rFonts w:cs="Arial"/>
          <w:szCs w:val="21"/>
          <w:highlight w:val="none"/>
        </w:rPr>
      </w:pPr>
      <w:r>
        <w:rPr>
          <w:rFonts w:cs="Arial"/>
          <w:szCs w:val="21"/>
          <w:highlight w:val="none"/>
        </w:rPr>
        <w:t>利润水平分析和修正的原则如下：</w:t>
      </w:r>
    </w:p>
    <w:p>
      <w:pPr>
        <w:spacing w:line="400" w:lineRule="exact"/>
        <w:ind w:firstLine="472" w:firstLineChars="225"/>
        <w:rPr>
          <w:rFonts w:cs="Arial"/>
          <w:szCs w:val="21"/>
          <w:highlight w:val="none"/>
        </w:rPr>
      </w:pPr>
      <w:r>
        <w:rPr>
          <w:rFonts w:cs="Arial"/>
          <w:szCs w:val="21"/>
          <w:highlight w:val="none"/>
        </w:rPr>
        <w:t>按国有资产管理部门对投标人下达的国有资产增值保值率或投标人公司董事会或股东会要求的企业净资产收益率或股本收益率对投标价格中明显不合理的利润率进行修正；</w:t>
      </w:r>
    </w:p>
    <w:p>
      <w:pPr>
        <w:spacing w:line="400" w:lineRule="exact"/>
        <w:ind w:firstLine="472" w:firstLineChars="225"/>
        <w:rPr>
          <w:rFonts w:cs="Arial"/>
          <w:szCs w:val="21"/>
          <w:highlight w:val="none"/>
        </w:rPr>
      </w:pPr>
      <w:r>
        <w:rPr>
          <w:rFonts w:cs="Arial"/>
          <w:szCs w:val="21"/>
          <w:highlight w:val="none"/>
        </w:rPr>
        <w:t>利润率明显不合理并且做不到</w:t>
      </w:r>
      <w:r>
        <w:rPr>
          <w:rFonts w:hint="eastAsia" w:cs="Arial"/>
          <w:szCs w:val="21"/>
          <w:highlight w:val="none"/>
        </w:rPr>
        <w:t>前</w:t>
      </w:r>
      <w:r>
        <w:rPr>
          <w:rFonts w:cs="Arial"/>
          <w:szCs w:val="21"/>
          <w:highlight w:val="none"/>
        </w:rPr>
        <w:t>项时，按其他</w:t>
      </w:r>
      <w:r>
        <w:rPr>
          <w:rFonts w:hint="eastAsia" w:cs="Arial"/>
          <w:szCs w:val="21"/>
          <w:highlight w:val="none"/>
        </w:rPr>
        <w:t>通过初步评审的</w:t>
      </w:r>
      <w:r>
        <w:rPr>
          <w:rFonts w:cs="Arial"/>
          <w:szCs w:val="21"/>
          <w:highlight w:val="none"/>
        </w:rPr>
        <w:t>各家</w:t>
      </w:r>
      <w:r>
        <w:rPr>
          <w:rFonts w:hint="eastAsia" w:cs="Arial"/>
          <w:szCs w:val="21"/>
          <w:highlight w:val="none"/>
        </w:rPr>
        <w:t>投标人</w:t>
      </w:r>
      <w:r>
        <w:rPr>
          <w:rFonts w:cs="Arial"/>
          <w:szCs w:val="21"/>
          <w:highlight w:val="none"/>
        </w:rPr>
        <w:t>的利润率以及标底</w:t>
      </w:r>
      <w:r>
        <w:rPr>
          <w:rFonts w:hint="eastAsia" w:cs="Arial"/>
          <w:szCs w:val="21"/>
          <w:highlight w:val="none"/>
        </w:rPr>
        <w:t>或招标控制价</w:t>
      </w:r>
      <w:r>
        <w:rPr>
          <w:rFonts w:cs="Arial"/>
          <w:szCs w:val="21"/>
          <w:highlight w:val="none"/>
        </w:rPr>
        <w:t>（如果有）中的利润率的平均费率为准进行修正；</w:t>
      </w:r>
    </w:p>
    <w:p>
      <w:pPr>
        <w:spacing w:line="400" w:lineRule="exact"/>
        <w:ind w:firstLine="472" w:firstLineChars="225"/>
        <w:rPr>
          <w:rFonts w:cs="Arial"/>
          <w:szCs w:val="21"/>
          <w:highlight w:val="none"/>
        </w:rPr>
      </w:pPr>
      <w:r>
        <w:rPr>
          <w:rFonts w:cs="Arial"/>
          <w:szCs w:val="21"/>
          <w:highlight w:val="none"/>
        </w:rPr>
        <w:t>分部分项工程量清单和</w:t>
      </w:r>
      <w:r>
        <w:rPr>
          <w:rFonts w:hint="eastAsia" w:cs="Arial"/>
          <w:szCs w:val="21"/>
          <w:highlight w:val="none"/>
        </w:rPr>
        <w:t>单价</w:t>
      </w:r>
      <w:r>
        <w:rPr>
          <w:rFonts w:cs="Arial"/>
          <w:szCs w:val="21"/>
          <w:highlight w:val="none"/>
        </w:rPr>
        <w:t>措施项目清单综合单价分析表中的利润率与费率报价表（如果有）报出的利润率不一致的，以费率报价表（如果有）报出的利润率为准进行修正（但如果费率报价表中的费率明显不合理时，应执行根据上述原则修正后的利润率）。</w:t>
      </w:r>
    </w:p>
    <w:p>
      <w:pPr>
        <w:outlineLvl w:val="0"/>
        <w:rPr>
          <w:rFonts w:cs="Arial"/>
          <w:szCs w:val="21"/>
          <w:highlight w:val="none"/>
        </w:rPr>
      </w:pPr>
      <w:bookmarkStart w:id="333" w:name="_Toc19408"/>
      <w:bookmarkStart w:id="334" w:name="_Toc434331163"/>
      <w:bookmarkStart w:id="335" w:name="_Toc395686609"/>
      <w:r>
        <w:rPr>
          <w:rFonts w:hint="eastAsia" w:cs="Arial"/>
          <w:b/>
          <w:szCs w:val="21"/>
          <w:highlight w:val="none"/>
        </w:rPr>
        <w:t xml:space="preserve">C8.2  </w:t>
      </w:r>
      <w:r>
        <w:rPr>
          <w:rFonts w:cs="Arial"/>
          <w:b/>
          <w:szCs w:val="21"/>
          <w:highlight w:val="none"/>
        </w:rPr>
        <w:t>利润水平分析和修正的方</w:t>
      </w:r>
      <w:r>
        <w:rPr>
          <w:rFonts w:hint="eastAsia" w:cs="Arial"/>
          <w:b/>
          <w:szCs w:val="21"/>
          <w:highlight w:val="none"/>
        </w:rPr>
        <w:t>法</w:t>
      </w:r>
      <w:bookmarkEnd w:id="333"/>
      <w:bookmarkEnd w:id="334"/>
      <w:bookmarkEnd w:id="335"/>
    </w:p>
    <w:p>
      <w:pPr>
        <w:spacing w:line="400" w:lineRule="exact"/>
        <w:ind w:firstLine="472" w:firstLineChars="225"/>
        <w:rPr>
          <w:rFonts w:cs="Arial"/>
          <w:szCs w:val="21"/>
          <w:highlight w:val="none"/>
        </w:rPr>
      </w:pPr>
      <w:r>
        <w:rPr>
          <w:rFonts w:cs="Arial"/>
          <w:szCs w:val="21"/>
          <w:highlight w:val="none"/>
        </w:rPr>
        <w:t>利润水平分析和修正的方</w:t>
      </w:r>
      <w:r>
        <w:rPr>
          <w:rFonts w:hint="eastAsia" w:cs="Arial"/>
          <w:szCs w:val="21"/>
          <w:highlight w:val="none"/>
        </w:rPr>
        <w:t>法</w:t>
      </w:r>
      <w:r>
        <w:rPr>
          <w:rFonts w:cs="Arial"/>
          <w:szCs w:val="21"/>
          <w:highlight w:val="none"/>
        </w:rPr>
        <w:t>如下：</w:t>
      </w:r>
    </w:p>
    <w:p>
      <w:pPr>
        <w:spacing w:line="400" w:lineRule="exact"/>
        <w:ind w:firstLine="472" w:firstLineChars="225"/>
        <w:rPr>
          <w:rFonts w:cs="Arial"/>
          <w:szCs w:val="21"/>
          <w:highlight w:val="none"/>
        </w:rPr>
      </w:pPr>
      <w:r>
        <w:rPr>
          <w:rFonts w:cs="Arial"/>
          <w:szCs w:val="21"/>
          <w:highlight w:val="none"/>
        </w:rPr>
        <w:t>按</w:t>
      </w:r>
      <w:r>
        <w:rPr>
          <w:rFonts w:cs="Arial"/>
          <w:b/>
          <w:szCs w:val="21"/>
          <w:highlight w:val="none"/>
        </w:rPr>
        <w:t>附表</w:t>
      </w:r>
      <w:r>
        <w:rPr>
          <w:rFonts w:hint="eastAsia" w:cs="Arial"/>
          <w:b/>
          <w:szCs w:val="21"/>
          <w:highlight w:val="none"/>
        </w:rPr>
        <w:t>C-5</w:t>
      </w:r>
      <w:r>
        <w:rPr>
          <w:rFonts w:hint="eastAsia" w:cs="Arial"/>
          <w:szCs w:val="21"/>
          <w:highlight w:val="none"/>
        </w:rPr>
        <w:t>的格</w:t>
      </w:r>
      <w:r>
        <w:rPr>
          <w:rFonts w:cs="Arial"/>
          <w:szCs w:val="21"/>
          <w:highlight w:val="none"/>
        </w:rPr>
        <w:t>式</w:t>
      </w:r>
      <w:r>
        <w:rPr>
          <w:rFonts w:hint="eastAsia" w:cs="Arial"/>
          <w:szCs w:val="21"/>
          <w:highlight w:val="none"/>
        </w:rPr>
        <w:t>进行分析和修正；</w:t>
      </w:r>
    </w:p>
    <w:p>
      <w:pPr>
        <w:spacing w:line="400" w:lineRule="exact"/>
        <w:ind w:firstLine="472" w:firstLineChars="225"/>
        <w:rPr>
          <w:rFonts w:cs="Arial"/>
          <w:szCs w:val="21"/>
          <w:highlight w:val="none"/>
        </w:rPr>
      </w:pPr>
      <w:r>
        <w:rPr>
          <w:rFonts w:cs="Arial"/>
          <w:szCs w:val="21"/>
          <w:highlight w:val="none"/>
        </w:rPr>
        <w:t>汇总分析结果，将经修正后产生的价格差额记为</w:t>
      </w:r>
      <w:r>
        <w:rPr>
          <w:rFonts w:cs="Arial"/>
          <w:b/>
          <w:szCs w:val="21"/>
          <w:highlight w:val="none"/>
        </w:rPr>
        <w:t>F值</w:t>
      </w:r>
      <w:r>
        <w:rPr>
          <w:rFonts w:cs="Arial"/>
          <w:szCs w:val="21"/>
          <w:highlight w:val="none"/>
        </w:rPr>
        <w:t>，同时整理需要投标人澄清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36" w:name="_Toc13441"/>
      <w:bookmarkStart w:id="337" w:name="_Toc395686610"/>
      <w:bookmarkStart w:id="338" w:name="_Toc434331164"/>
      <w:r>
        <w:rPr>
          <w:rFonts w:hint="eastAsia" w:cs="Arial"/>
          <w:b/>
          <w:szCs w:val="21"/>
          <w:highlight w:val="none"/>
        </w:rPr>
        <w:t>C9. 法定税金和规费的完整性分析和修正</w:t>
      </w:r>
      <w:bookmarkEnd w:id="336"/>
      <w:bookmarkEnd w:id="337"/>
      <w:bookmarkEnd w:id="338"/>
    </w:p>
    <w:p>
      <w:pPr>
        <w:spacing w:line="400" w:lineRule="exact"/>
        <w:ind w:firstLine="472" w:firstLineChars="225"/>
        <w:rPr>
          <w:rFonts w:cs="Arial"/>
          <w:szCs w:val="21"/>
          <w:highlight w:val="none"/>
        </w:rPr>
      </w:pPr>
      <w:r>
        <w:rPr>
          <w:rFonts w:cs="Arial"/>
          <w:szCs w:val="21"/>
          <w:highlight w:val="none"/>
        </w:rPr>
        <w:t>根据投标价格分析出其中法定税金</w:t>
      </w:r>
      <w:r>
        <w:rPr>
          <w:rFonts w:hint="eastAsia" w:cs="Arial"/>
          <w:szCs w:val="21"/>
          <w:highlight w:val="none"/>
        </w:rPr>
        <w:t>和</w:t>
      </w:r>
      <w:r>
        <w:rPr>
          <w:rFonts w:cs="Arial"/>
          <w:szCs w:val="21"/>
          <w:highlight w:val="none"/>
        </w:rPr>
        <w:t>规费的百分比</w:t>
      </w:r>
      <w:r>
        <w:rPr>
          <w:rFonts w:hint="eastAsia" w:cs="Arial"/>
          <w:szCs w:val="21"/>
          <w:highlight w:val="none"/>
        </w:rPr>
        <w:t>，</w:t>
      </w:r>
      <w:r>
        <w:rPr>
          <w:rFonts w:cs="Arial"/>
          <w:szCs w:val="21"/>
          <w:highlight w:val="none"/>
        </w:rPr>
        <w:t>对照现行有关法律、法规规定的额度或比率</w:t>
      </w:r>
      <w:r>
        <w:rPr>
          <w:rFonts w:hint="eastAsia" w:cs="Arial"/>
          <w:szCs w:val="21"/>
          <w:highlight w:val="none"/>
        </w:rPr>
        <w:t>，对投标报价进行分析和修正。</w:t>
      </w:r>
    </w:p>
    <w:p>
      <w:pPr>
        <w:spacing w:line="400" w:lineRule="exact"/>
        <w:ind w:firstLine="472" w:firstLineChars="225"/>
        <w:rPr>
          <w:rFonts w:cs="Arial"/>
          <w:szCs w:val="21"/>
          <w:highlight w:val="none"/>
        </w:rPr>
      </w:pPr>
      <w:r>
        <w:rPr>
          <w:rFonts w:cs="Arial"/>
          <w:szCs w:val="21"/>
          <w:highlight w:val="none"/>
        </w:rPr>
        <w:t>按</w:t>
      </w:r>
      <w:r>
        <w:rPr>
          <w:rFonts w:cs="Arial"/>
          <w:b/>
          <w:szCs w:val="21"/>
          <w:highlight w:val="none"/>
        </w:rPr>
        <w:t>附表</w:t>
      </w:r>
      <w:r>
        <w:rPr>
          <w:rFonts w:hint="eastAsia" w:cs="Arial"/>
          <w:b/>
          <w:szCs w:val="21"/>
          <w:highlight w:val="none"/>
        </w:rPr>
        <w:t>C-5</w:t>
      </w:r>
      <w:r>
        <w:rPr>
          <w:rFonts w:hint="eastAsia" w:cs="Arial"/>
          <w:szCs w:val="21"/>
          <w:highlight w:val="none"/>
        </w:rPr>
        <w:t>的格</w:t>
      </w:r>
      <w:r>
        <w:rPr>
          <w:rFonts w:cs="Arial"/>
          <w:szCs w:val="21"/>
          <w:highlight w:val="none"/>
        </w:rPr>
        <w:t>式</w:t>
      </w:r>
      <w:r>
        <w:rPr>
          <w:rFonts w:hint="eastAsia" w:cs="Arial"/>
          <w:szCs w:val="21"/>
          <w:highlight w:val="none"/>
        </w:rPr>
        <w:t>进行分析和修正；</w:t>
      </w:r>
      <w:r>
        <w:rPr>
          <w:rFonts w:cs="Arial"/>
          <w:szCs w:val="21"/>
          <w:highlight w:val="none"/>
        </w:rPr>
        <w:t>将经修正后产生的价格差额记为</w:t>
      </w:r>
      <w:r>
        <w:rPr>
          <w:rFonts w:cs="Arial"/>
          <w:b/>
          <w:szCs w:val="21"/>
          <w:highlight w:val="none"/>
        </w:rPr>
        <w:t>G值</w:t>
      </w:r>
      <w:r>
        <w:rPr>
          <w:rFonts w:cs="Arial"/>
          <w:szCs w:val="21"/>
          <w:highlight w:val="none"/>
        </w:rPr>
        <w:t>，整理需要投标人澄清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bookmarkStart w:id="339" w:name="_Toc434331165"/>
      <w:bookmarkStart w:id="340" w:name="_Toc395686611"/>
      <w:bookmarkStart w:id="341" w:name="_Toc29732"/>
      <w:r>
        <w:rPr>
          <w:rFonts w:hint="eastAsia" w:cs="Arial"/>
          <w:b/>
          <w:szCs w:val="21"/>
          <w:highlight w:val="none"/>
        </w:rPr>
        <w:t>C10. 不平衡报价分析和修正</w:t>
      </w:r>
      <w:bookmarkEnd w:id="339"/>
      <w:bookmarkEnd w:id="340"/>
      <w:bookmarkEnd w:id="341"/>
    </w:p>
    <w:p>
      <w:pPr>
        <w:spacing w:line="400" w:lineRule="exact"/>
        <w:ind w:firstLine="472" w:firstLineChars="225"/>
        <w:rPr>
          <w:rFonts w:cs="Arial"/>
          <w:szCs w:val="21"/>
          <w:highlight w:val="none"/>
        </w:rPr>
      </w:pPr>
      <w:r>
        <w:rPr>
          <w:rFonts w:cs="Arial"/>
          <w:szCs w:val="21"/>
          <w:highlight w:val="none"/>
        </w:rPr>
        <w:t>评审各项单价的合理性以及是否存在不平衡报价的情况，对明显过高或过低的价格进行分析</w:t>
      </w:r>
      <w:r>
        <w:rPr>
          <w:rFonts w:hint="eastAsia" w:cs="Arial"/>
          <w:szCs w:val="21"/>
          <w:highlight w:val="none"/>
        </w:rPr>
        <w:t>。</w:t>
      </w:r>
    </w:p>
    <w:p>
      <w:pPr>
        <w:spacing w:line="400" w:lineRule="exact"/>
        <w:ind w:firstLine="472" w:firstLineChars="225"/>
        <w:rPr>
          <w:rFonts w:cs="Arial"/>
          <w:szCs w:val="21"/>
          <w:highlight w:val="none"/>
        </w:rPr>
      </w:pPr>
      <w:r>
        <w:rPr>
          <w:rFonts w:hint="eastAsia" w:cs="Arial"/>
          <w:szCs w:val="21"/>
          <w:highlight w:val="none"/>
        </w:rPr>
        <w:t>按</w:t>
      </w:r>
      <w:r>
        <w:rPr>
          <w:rFonts w:hint="eastAsia" w:cs="Arial"/>
          <w:b/>
          <w:szCs w:val="21"/>
          <w:highlight w:val="none"/>
        </w:rPr>
        <w:t>附表C-6</w:t>
      </w:r>
      <w:r>
        <w:rPr>
          <w:rFonts w:hint="eastAsia" w:cs="Arial"/>
          <w:szCs w:val="21"/>
          <w:highlight w:val="none"/>
        </w:rPr>
        <w:t>汇总分析结果，</w:t>
      </w:r>
      <w:r>
        <w:rPr>
          <w:rFonts w:cs="Arial"/>
          <w:szCs w:val="21"/>
          <w:highlight w:val="none"/>
        </w:rPr>
        <w:t>修正明显过高的价格产生的差额，首先用于填补修正过低的价格产生的差额，两者的余额记为</w:t>
      </w:r>
      <w:r>
        <w:rPr>
          <w:rFonts w:cs="Arial"/>
          <w:b/>
          <w:szCs w:val="21"/>
          <w:highlight w:val="none"/>
        </w:rPr>
        <w:t>H值</w:t>
      </w:r>
      <w:r>
        <w:rPr>
          <w:rFonts w:hint="eastAsia" w:cs="Arial"/>
          <w:szCs w:val="21"/>
          <w:highlight w:val="none"/>
        </w:rPr>
        <w:t>，</w:t>
      </w:r>
      <w:r>
        <w:rPr>
          <w:rFonts w:cs="Arial"/>
          <w:szCs w:val="21"/>
          <w:highlight w:val="none"/>
        </w:rPr>
        <w:t>整理需要投标人澄清</w:t>
      </w:r>
      <w:r>
        <w:rPr>
          <w:rFonts w:hint="eastAsia" w:cs="Arial"/>
          <w:szCs w:val="21"/>
          <w:highlight w:val="none"/>
        </w:rPr>
        <w:t>和</w:t>
      </w:r>
      <w:r>
        <w:rPr>
          <w:rFonts w:cs="Arial"/>
          <w:szCs w:val="21"/>
          <w:highlight w:val="none"/>
        </w:rPr>
        <w:t>说明的事项。</w:t>
      </w:r>
    </w:p>
    <w:p>
      <w:pPr>
        <w:outlineLvl w:val="0"/>
        <w:rPr>
          <w:rFonts w:cs="Arial"/>
          <w:b/>
          <w:szCs w:val="21"/>
          <w:highlight w:val="none"/>
        </w:rPr>
      </w:pPr>
      <w:r>
        <w:rPr>
          <w:rFonts w:hint="eastAsia" w:cs="Arial"/>
          <w:szCs w:val="21"/>
          <w:highlight w:val="none"/>
        </w:rPr>
        <w:t xml:space="preserve"> </w:t>
      </w:r>
      <w:bookmarkStart w:id="342" w:name="_Toc395686612"/>
      <w:bookmarkStart w:id="343" w:name="_Toc434331166"/>
      <w:bookmarkStart w:id="344" w:name="_Toc2187"/>
      <w:r>
        <w:rPr>
          <w:rFonts w:hint="eastAsia" w:cs="Arial"/>
          <w:b/>
          <w:szCs w:val="21"/>
          <w:highlight w:val="none"/>
        </w:rPr>
        <w:t>C11. 对投标报价的澄清和说明</w:t>
      </w:r>
      <w:bookmarkEnd w:id="342"/>
      <w:bookmarkEnd w:id="343"/>
      <w:bookmarkEnd w:id="344"/>
    </w:p>
    <w:p>
      <w:pPr>
        <w:spacing w:line="400" w:lineRule="exact"/>
        <w:ind w:firstLine="472" w:firstLineChars="225"/>
        <w:rPr>
          <w:rFonts w:cs="Arial"/>
          <w:szCs w:val="21"/>
          <w:highlight w:val="none"/>
        </w:rPr>
      </w:pPr>
      <w:r>
        <w:rPr>
          <w:rFonts w:hint="eastAsia" w:cs="Arial"/>
          <w:szCs w:val="21"/>
          <w:highlight w:val="none"/>
        </w:rPr>
        <w:t>评标委员会</w:t>
      </w:r>
      <w:r>
        <w:rPr>
          <w:rFonts w:cs="Arial"/>
          <w:szCs w:val="21"/>
          <w:highlight w:val="none"/>
        </w:rPr>
        <w:t>对上述</w:t>
      </w:r>
      <w:r>
        <w:rPr>
          <w:rFonts w:hint="eastAsia" w:cs="Arial"/>
          <w:szCs w:val="21"/>
          <w:highlight w:val="none"/>
        </w:rPr>
        <w:t>C3</w:t>
      </w:r>
      <w:r>
        <w:rPr>
          <w:rFonts w:cs="Arial"/>
          <w:szCs w:val="21"/>
          <w:highlight w:val="none"/>
        </w:rPr>
        <w:t>至</w:t>
      </w:r>
      <w:r>
        <w:rPr>
          <w:rFonts w:hint="eastAsia" w:cs="Arial"/>
          <w:szCs w:val="21"/>
          <w:highlight w:val="none"/>
        </w:rPr>
        <w:t>C10条</w:t>
      </w:r>
      <w:r>
        <w:rPr>
          <w:rFonts w:cs="Arial"/>
          <w:szCs w:val="21"/>
          <w:highlight w:val="none"/>
        </w:rPr>
        <w:t>的评审结果进行汇总和整理。以其各自的代数值汇总A值至H值，得出合计差额</w:t>
      </w:r>
      <w:r>
        <w:rPr>
          <w:rFonts w:cs="Arial"/>
          <w:b/>
          <w:szCs w:val="21"/>
          <w:highlight w:val="none"/>
        </w:rPr>
        <w:t>Δ1</w:t>
      </w:r>
      <w:r>
        <w:rPr>
          <w:rFonts w:cs="Arial"/>
          <w:szCs w:val="21"/>
          <w:highlight w:val="none"/>
        </w:rPr>
        <w:t>（</w:t>
      </w:r>
      <w:r>
        <w:rPr>
          <w:rFonts w:cs="Arial"/>
          <w:b/>
          <w:szCs w:val="21"/>
          <w:highlight w:val="none"/>
        </w:rPr>
        <w:t>附表</w:t>
      </w:r>
      <w:r>
        <w:rPr>
          <w:rFonts w:hint="eastAsia" w:cs="Arial"/>
          <w:b/>
          <w:szCs w:val="21"/>
          <w:highlight w:val="none"/>
        </w:rPr>
        <w:t>C-7</w:t>
      </w:r>
      <w:r>
        <w:rPr>
          <w:rFonts w:cs="Arial"/>
          <w:szCs w:val="21"/>
          <w:highlight w:val="none"/>
        </w:rPr>
        <w:t>），并整理出需要投标人澄清</w:t>
      </w:r>
      <w:r>
        <w:rPr>
          <w:rFonts w:hint="eastAsia" w:cs="Arial"/>
          <w:szCs w:val="21"/>
          <w:highlight w:val="none"/>
        </w:rPr>
        <w:t>和</w:t>
      </w:r>
      <w:r>
        <w:rPr>
          <w:rFonts w:cs="Arial"/>
          <w:szCs w:val="21"/>
          <w:highlight w:val="none"/>
        </w:rPr>
        <w:t>说明的全部事项。</w:t>
      </w:r>
      <w:r>
        <w:rPr>
          <w:rFonts w:hint="eastAsia" w:cs="Arial"/>
          <w:szCs w:val="21"/>
          <w:highlight w:val="none"/>
        </w:rPr>
        <w:t>如果投标人存在需要补正的问题，评标委员会可以同时要求投标人进行补正。</w:t>
      </w:r>
    </w:p>
    <w:p>
      <w:pPr>
        <w:spacing w:line="400" w:lineRule="exact"/>
        <w:ind w:firstLine="472" w:firstLineChars="225"/>
        <w:rPr>
          <w:rFonts w:cs="Arial"/>
          <w:szCs w:val="21"/>
          <w:highlight w:val="none"/>
        </w:rPr>
      </w:pPr>
      <w:r>
        <w:rPr>
          <w:rFonts w:cs="Arial"/>
          <w:szCs w:val="21"/>
          <w:highlight w:val="none"/>
        </w:rPr>
        <w:t>评标委员会应当</w:t>
      </w:r>
      <w:r>
        <w:rPr>
          <w:rFonts w:hint="eastAsia" w:cs="Arial"/>
          <w:szCs w:val="21"/>
          <w:highlight w:val="none"/>
        </w:rPr>
        <w:t>根据本章第3.3款的规定，对</w:t>
      </w:r>
      <w:r>
        <w:rPr>
          <w:rFonts w:cs="Arial"/>
          <w:szCs w:val="21"/>
          <w:highlight w:val="none"/>
        </w:rPr>
        <w:t>需要投标人澄清、说明</w:t>
      </w:r>
      <w:r>
        <w:rPr>
          <w:rFonts w:hint="eastAsia" w:cs="Arial"/>
          <w:szCs w:val="21"/>
          <w:highlight w:val="none"/>
        </w:rPr>
        <w:t>和</w:t>
      </w:r>
      <w:r>
        <w:rPr>
          <w:rFonts w:cs="Arial"/>
          <w:szCs w:val="21"/>
          <w:highlight w:val="none"/>
        </w:rPr>
        <w:t>提供进一步证明的事项</w:t>
      </w:r>
      <w:r>
        <w:rPr>
          <w:rFonts w:hint="eastAsia" w:cs="Arial"/>
          <w:szCs w:val="21"/>
          <w:highlight w:val="none"/>
        </w:rPr>
        <w:t>向投标人发出书面问题澄清通知，并附上质疑问卷，问题澄清通知和质疑问卷应当包括：</w:t>
      </w:r>
      <w:r>
        <w:rPr>
          <w:rFonts w:cs="Arial"/>
          <w:szCs w:val="21"/>
          <w:highlight w:val="none"/>
        </w:rPr>
        <w:t>质疑问题</w:t>
      </w:r>
      <w:r>
        <w:rPr>
          <w:rFonts w:hint="eastAsia" w:cs="Arial"/>
          <w:szCs w:val="21"/>
          <w:highlight w:val="none"/>
        </w:rPr>
        <w:t>、</w:t>
      </w:r>
      <w:r>
        <w:rPr>
          <w:rFonts w:cs="Arial"/>
          <w:szCs w:val="21"/>
          <w:highlight w:val="none"/>
        </w:rPr>
        <w:t>有关澄清要求</w:t>
      </w:r>
      <w:r>
        <w:rPr>
          <w:rFonts w:hint="eastAsia" w:cs="Arial"/>
          <w:szCs w:val="21"/>
          <w:highlight w:val="none"/>
        </w:rPr>
        <w:t>、需要</w:t>
      </w:r>
      <w:r>
        <w:rPr>
          <w:rFonts w:cs="Arial"/>
          <w:szCs w:val="21"/>
          <w:highlight w:val="none"/>
        </w:rPr>
        <w:t>书面回复的内容、回复时间（应给投标人留出足够的回复时间）、递交方式等。</w:t>
      </w:r>
      <w:r>
        <w:rPr>
          <w:rFonts w:hint="eastAsia" w:cs="Arial"/>
          <w:szCs w:val="21"/>
          <w:highlight w:val="none"/>
        </w:rPr>
        <w:t>投标人的</w:t>
      </w:r>
      <w:r>
        <w:rPr>
          <w:rFonts w:cs="Arial"/>
          <w:szCs w:val="21"/>
          <w:highlight w:val="none"/>
        </w:rPr>
        <w:t>澄清</w:t>
      </w:r>
      <w:r>
        <w:rPr>
          <w:rFonts w:hint="eastAsia" w:cs="Arial"/>
          <w:szCs w:val="21"/>
          <w:highlight w:val="none"/>
        </w:rPr>
        <w:t>、说明、补正和提供进一步证明应当</w:t>
      </w:r>
      <w:r>
        <w:rPr>
          <w:rFonts w:cs="Arial"/>
          <w:szCs w:val="21"/>
          <w:highlight w:val="none"/>
        </w:rPr>
        <w:t>采取书面形式。</w:t>
      </w:r>
    </w:p>
    <w:p>
      <w:pPr>
        <w:spacing w:line="400" w:lineRule="exact"/>
        <w:ind w:firstLine="472" w:firstLineChars="225"/>
        <w:rPr>
          <w:rFonts w:cs="Arial"/>
          <w:szCs w:val="21"/>
          <w:highlight w:val="none"/>
        </w:rPr>
      </w:pPr>
      <w:r>
        <w:rPr>
          <w:rFonts w:cs="Arial"/>
          <w:szCs w:val="21"/>
          <w:highlight w:val="none"/>
        </w:rPr>
        <w:t>如果评标委员会对投标人提交的质疑问题的澄清</w:t>
      </w:r>
      <w:r>
        <w:rPr>
          <w:rFonts w:hint="eastAsia" w:cs="Arial"/>
          <w:szCs w:val="21"/>
          <w:highlight w:val="none"/>
        </w:rPr>
        <w:t>和</w:t>
      </w:r>
      <w:r>
        <w:rPr>
          <w:rFonts w:cs="Arial"/>
          <w:szCs w:val="21"/>
          <w:highlight w:val="none"/>
        </w:rPr>
        <w:t>说明依然存在疑问，评标委员会可以进一步</w:t>
      </w:r>
      <w:r>
        <w:rPr>
          <w:rFonts w:hint="eastAsia" w:cs="Arial"/>
          <w:szCs w:val="21"/>
          <w:highlight w:val="none"/>
        </w:rPr>
        <w:t>要求澄清、说明或补正</w:t>
      </w:r>
      <w:r>
        <w:rPr>
          <w:rFonts w:cs="Arial"/>
          <w:szCs w:val="21"/>
          <w:highlight w:val="none"/>
        </w:rPr>
        <w:t>，投标人应相应地进一步澄清</w:t>
      </w:r>
      <w:r>
        <w:rPr>
          <w:rFonts w:hint="eastAsia" w:cs="Arial"/>
          <w:szCs w:val="21"/>
          <w:highlight w:val="none"/>
        </w:rPr>
        <w:t>、</w:t>
      </w:r>
      <w:r>
        <w:rPr>
          <w:rFonts w:cs="Arial"/>
          <w:szCs w:val="21"/>
          <w:highlight w:val="none"/>
        </w:rPr>
        <w:t>说明</w:t>
      </w:r>
      <w:r>
        <w:rPr>
          <w:rFonts w:hint="eastAsia" w:cs="Arial"/>
          <w:szCs w:val="21"/>
          <w:highlight w:val="none"/>
        </w:rPr>
        <w:t>和提交相关证明材料</w:t>
      </w:r>
      <w:r>
        <w:rPr>
          <w:rFonts w:cs="Arial"/>
          <w:szCs w:val="21"/>
          <w:highlight w:val="none"/>
        </w:rPr>
        <w:t>，直至评标委员会认为全部疑</w:t>
      </w:r>
      <w:r>
        <w:rPr>
          <w:rFonts w:hint="eastAsia" w:cs="Arial"/>
          <w:szCs w:val="21"/>
          <w:highlight w:val="none"/>
        </w:rPr>
        <w:t>问</w:t>
      </w:r>
      <w:r>
        <w:rPr>
          <w:rFonts w:cs="Arial"/>
          <w:szCs w:val="21"/>
          <w:highlight w:val="none"/>
        </w:rPr>
        <w:t>都得到澄清</w:t>
      </w:r>
      <w:r>
        <w:rPr>
          <w:rFonts w:hint="eastAsia" w:cs="Arial"/>
          <w:szCs w:val="21"/>
          <w:highlight w:val="none"/>
        </w:rPr>
        <w:t>和</w:t>
      </w:r>
      <w:r>
        <w:rPr>
          <w:rFonts w:cs="Arial"/>
          <w:szCs w:val="21"/>
          <w:highlight w:val="none"/>
        </w:rPr>
        <w:t>说明。</w:t>
      </w:r>
    </w:p>
    <w:p>
      <w:pPr>
        <w:spacing w:line="400" w:lineRule="exact"/>
        <w:ind w:firstLine="472" w:firstLineChars="225"/>
        <w:rPr>
          <w:rFonts w:cs="Arial"/>
          <w:szCs w:val="21"/>
          <w:highlight w:val="none"/>
        </w:rPr>
      </w:pPr>
      <w:r>
        <w:rPr>
          <w:rFonts w:cs="Arial"/>
          <w:szCs w:val="21"/>
          <w:highlight w:val="none"/>
        </w:rPr>
        <w:t>根据澄清</w:t>
      </w:r>
      <w:r>
        <w:rPr>
          <w:rFonts w:hint="eastAsia" w:cs="Arial"/>
          <w:szCs w:val="21"/>
          <w:highlight w:val="none"/>
        </w:rPr>
        <w:t>和说明</w:t>
      </w:r>
      <w:r>
        <w:rPr>
          <w:rFonts w:cs="Arial"/>
          <w:szCs w:val="21"/>
          <w:highlight w:val="none"/>
        </w:rPr>
        <w:t>结果，对于投标人已经有效澄清</w:t>
      </w:r>
      <w:r>
        <w:rPr>
          <w:rFonts w:hint="eastAsia" w:cs="Arial"/>
          <w:szCs w:val="21"/>
          <w:highlight w:val="none"/>
        </w:rPr>
        <w:t>和说明</w:t>
      </w:r>
      <w:r>
        <w:rPr>
          <w:rFonts w:cs="Arial"/>
          <w:szCs w:val="21"/>
          <w:highlight w:val="none"/>
        </w:rPr>
        <w:t>的问题和</w:t>
      </w:r>
      <w:r>
        <w:rPr>
          <w:rFonts w:hint="eastAsia" w:cs="Arial"/>
          <w:szCs w:val="21"/>
          <w:highlight w:val="none"/>
        </w:rPr>
        <w:t>子目</w:t>
      </w:r>
      <w:r>
        <w:rPr>
          <w:rFonts w:cs="Arial"/>
          <w:szCs w:val="21"/>
          <w:highlight w:val="none"/>
        </w:rPr>
        <w:t>应从上述A值至H值的计算中剔除或修正，按</w:t>
      </w:r>
      <w:r>
        <w:rPr>
          <w:rFonts w:cs="Arial"/>
          <w:b/>
          <w:szCs w:val="21"/>
          <w:highlight w:val="none"/>
        </w:rPr>
        <w:t>附表</w:t>
      </w:r>
      <w:r>
        <w:rPr>
          <w:rFonts w:hint="eastAsia" w:cs="Arial"/>
          <w:b/>
          <w:szCs w:val="21"/>
          <w:highlight w:val="none"/>
        </w:rPr>
        <w:t>C-7</w:t>
      </w:r>
      <w:r>
        <w:rPr>
          <w:rFonts w:cs="Arial"/>
          <w:szCs w:val="21"/>
          <w:highlight w:val="none"/>
        </w:rPr>
        <w:t>格式修正A值至H值并计算最终差额</w:t>
      </w:r>
      <w:r>
        <w:rPr>
          <w:rFonts w:cs="Arial"/>
          <w:b/>
          <w:szCs w:val="21"/>
          <w:highlight w:val="none"/>
        </w:rPr>
        <w:t>Δ2</w:t>
      </w:r>
      <w:r>
        <w:rPr>
          <w:rFonts w:cs="Arial"/>
          <w:szCs w:val="21"/>
          <w:highlight w:val="none"/>
        </w:rPr>
        <w:t>。本款中所谓的“有效澄清”是指投标人做出的澄清</w:t>
      </w:r>
      <w:r>
        <w:rPr>
          <w:rFonts w:hint="eastAsia" w:cs="Arial"/>
          <w:szCs w:val="21"/>
          <w:highlight w:val="none"/>
        </w:rPr>
        <w:t>和说明</w:t>
      </w:r>
      <w:r>
        <w:rPr>
          <w:rFonts w:cs="Arial"/>
          <w:szCs w:val="21"/>
          <w:highlight w:val="none"/>
        </w:rPr>
        <w:t>已经合理地解释或说明了评标委员会提出的问题并且澄清结果令评标委员会信服。</w:t>
      </w:r>
    </w:p>
    <w:p>
      <w:pPr>
        <w:outlineLvl w:val="0"/>
        <w:rPr>
          <w:rFonts w:cs="Arial"/>
          <w:b/>
          <w:szCs w:val="21"/>
          <w:highlight w:val="none"/>
        </w:rPr>
      </w:pPr>
      <w:bookmarkStart w:id="345" w:name="_Toc395686613"/>
      <w:bookmarkStart w:id="346" w:name="_Toc434331167"/>
      <w:bookmarkStart w:id="347" w:name="_Toc20501"/>
      <w:r>
        <w:rPr>
          <w:rFonts w:hint="eastAsia" w:cs="Arial"/>
          <w:b/>
          <w:szCs w:val="21"/>
          <w:highlight w:val="none"/>
        </w:rPr>
        <w:t>C12. 判断投标报价是否低于成本</w:t>
      </w:r>
      <w:bookmarkEnd w:id="345"/>
      <w:bookmarkEnd w:id="346"/>
      <w:bookmarkEnd w:id="347"/>
    </w:p>
    <w:p>
      <w:pPr>
        <w:spacing w:line="400" w:lineRule="exact"/>
        <w:ind w:firstLine="472" w:firstLineChars="225"/>
        <w:rPr>
          <w:rFonts w:cs="Arial"/>
          <w:szCs w:val="21"/>
          <w:highlight w:val="none"/>
        </w:rPr>
      </w:pPr>
      <w:r>
        <w:rPr>
          <w:rFonts w:cs="Arial"/>
          <w:szCs w:val="21"/>
          <w:highlight w:val="none"/>
        </w:rPr>
        <w:t>评标委员会应按照</w:t>
      </w:r>
      <w:r>
        <w:rPr>
          <w:rFonts w:cs="Arial"/>
          <w:b/>
          <w:szCs w:val="21"/>
          <w:highlight w:val="none"/>
        </w:rPr>
        <w:t>附表</w:t>
      </w:r>
      <w:r>
        <w:rPr>
          <w:rFonts w:hint="eastAsia" w:cs="Arial"/>
          <w:b/>
          <w:szCs w:val="21"/>
          <w:highlight w:val="none"/>
        </w:rPr>
        <w:t>C-8</w:t>
      </w:r>
      <w:r>
        <w:rPr>
          <w:rFonts w:cs="Arial"/>
          <w:szCs w:val="21"/>
          <w:highlight w:val="none"/>
        </w:rPr>
        <w:t>的格式填写评审结论记录表，以最终差额Δ2与投标人投标价格中标明的利润额（如标明的是利润率，以利润率乘以其计取基数，下同）进行比较并得出如下结论：</w:t>
      </w:r>
    </w:p>
    <w:p>
      <w:pPr>
        <w:spacing w:line="400" w:lineRule="exact"/>
        <w:ind w:firstLine="472" w:firstLineChars="225"/>
        <w:rPr>
          <w:rFonts w:cs="Arial"/>
          <w:szCs w:val="21"/>
          <w:highlight w:val="none"/>
        </w:rPr>
      </w:pPr>
      <w:r>
        <w:rPr>
          <w:rFonts w:cs="Arial"/>
          <w:szCs w:val="21"/>
          <w:highlight w:val="none"/>
        </w:rPr>
        <w:t>如果最终差额Δ2（代数值）小于或等于投标人的利润额，则表明该投标人的投标</w:t>
      </w:r>
      <w:r>
        <w:rPr>
          <w:rFonts w:hint="eastAsia" w:cs="Arial"/>
          <w:szCs w:val="21"/>
          <w:highlight w:val="none"/>
        </w:rPr>
        <w:t>报价不低于成本。</w:t>
      </w:r>
    </w:p>
    <w:p>
      <w:pPr>
        <w:spacing w:line="400" w:lineRule="exact"/>
        <w:ind w:firstLine="472" w:firstLineChars="225"/>
        <w:rPr>
          <w:rFonts w:cs="Arial"/>
          <w:szCs w:val="21"/>
          <w:highlight w:val="none"/>
        </w:rPr>
      </w:pPr>
      <w:r>
        <w:rPr>
          <w:rFonts w:cs="Arial"/>
          <w:szCs w:val="21"/>
          <w:highlight w:val="none"/>
        </w:rPr>
        <w:t>如果最终差额Δ2是正值且大于（不含等于）投标人报价中的利润额，则评标委员会</w:t>
      </w:r>
      <w:r>
        <w:rPr>
          <w:rFonts w:hint="eastAsia" w:cs="Arial"/>
          <w:szCs w:val="21"/>
          <w:highlight w:val="none"/>
        </w:rPr>
        <w:t>将根据本章第3.2.4项的规定认</w:t>
      </w:r>
      <w:r>
        <w:rPr>
          <w:rFonts w:cs="Arial"/>
          <w:szCs w:val="21"/>
          <w:highlight w:val="none"/>
        </w:rPr>
        <w:t>定该投标人</w:t>
      </w:r>
      <w:r>
        <w:rPr>
          <w:rFonts w:hint="eastAsia" w:cs="Arial"/>
          <w:szCs w:val="21"/>
          <w:highlight w:val="none"/>
        </w:rPr>
        <w:t>以低于其成本报价竞标，</w:t>
      </w:r>
      <w:r>
        <w:rPr>
          <w:rFonts w:cs="Arial"/>
          <w:szCs w:val="21"/>
          <w:highlight w:val="none"/>
        </w:rPr>
        <w:t>其投标</w:t>
      </w:r>
      <w:r>
        <w:rPr>
          <w:rFonts w:hint="eastAsia" w:cs="Arial"/>
          <w:szCs w:val="21"/>
          <w:highlight w:val="none"/>
        </w:rPr>
        <w:t>作废标处理</w:t>
      </w:r>
      <w:r>
        <w:rPr>
          <w:rFonts w:cs="Arial"/>
          <w:szCs w:val="21"/>
          <w:highlight w:val="none"/>
        </w:rPr>
        <w:t>。</w:t>
      </w:r>
    </w:p>
    <w:p>
      <w:pPr>
        <w:pStyle w:val="3"/>
        <w:rPr>
          <w:rFonts w:ascii="黑体" w:hAnsi="宋体" w:cs="Arial"/>
          <w:b w:val="0"/>
          <w:bCs w:val="0"/>
          <w:sz w:val="24"/>
          <w:highlight w:val="none"/>
        </w:rPr>
      </w:pPr>
      <w:r>
        <w:rPr>
          <w:rFonts w:cs="Arial"/>
          <w:szCs w:val="21"/>
          <w:highlight w:val="none"/>
        </w:rPr>
        <w:br w:type="page"/>
      </w:r>
      <w:bookmarkStart w:id="348" w:name="_Toc12070"/>
      <w:bookmarkStart w:id="349" w:name="_Toc342296257"/>
      <w:bookmarkStart w:id="350" w:name="_Toc241459654"/>
      <w:bookmarkStart w:id="351" w:name="_Toc434331168"/>
      <w:r>
        <w:rPr>
          <w:rFonts w:hint="eastAsia" w:ascii="黑体" w:hAnsi="宋体" w:cs="Arial"/>
          <w:b w:val="0"/>
          <w:bCs w:val="0"/>
          <w:sz w:val="24"/>
          <w:highlight w:val="none"/>
        </w:rPr>
        <w:t>附件D：备选投标方案的评审方法</w:t>
      </w:r>
      <w:bookmarkEnd w:id="348"/>
      <w:bookmarkEnd w:id="349"/>
      <w:bookmarkEnd w:id="350"/>
      <w:bookmarkEnd w:id="351"/>
    </w:p>
    <w:p>
      <w:pPr>
        <w:spacing w:after="156" w:afterLines="50" w:line="300" w:lineRule="auto"/>
        <w:jc w:val="center"/>
        <w:rPr>
          <w:rFonts w:ascii="黑体" w:eastAsia="黑体" w:cs="Arial"/>
          <w:bCs/>
          <w:sz w:val="28"/>
          <w:szCs w:val="28"/>
          <w:highlight w:val="none"/>
        </w:rPr>
      </w:pPr>
      <w:r>
        <w:rPr>
          <w:rFonts w:hint="eastAsia" w:ascii="黑体" w:eastAsia="黑体" w:cs="Arial"/>
          <w:bCs/>
          <w:sz w:val="28"/>
          <w:szCs w:val="28"/>
          <w:highlight w:val="none"/>
        </w:rPr>
        <w:t>备选投标方案的评审方法</w:t>
      </w:r>
    </w:p>
    <w:p>
      <w:pPr>
        <w:outlineLvl w:val="0"/>
        <w:rPr>
          <w:rFonts w:cs="Arial"/>
          <w:b/>
          <w:szCs w:val="21"/>
          <w:highlight w:val="none"/>
        </w:rPr>
      </w:pPr>
      <w:bookmarkStart w:id="352" w:name="_Toc25878"/>
      <w:bookmarkStart w:id="353" w:name="_Toc434331169"/>
      <w:bookmarkStart w:id="354" w:name="_Toc395686615"/>
      <w:bookmarkStart w:id="355" w:name="_Toc342296258"/>
      <w:bookmarkStart w:id="356" w:name="_Toc241459655"/>
      <w:r>
        <w:rPr>
          <w:rFonts w:hint="eastAsia" w:cs="Arial"/>
          <w:b/>
          <w:szCs w:val="21"/>
          <w:highlight w:val="none"/>
        </w:rPr>
        <w:t>D0. 总  则</w:t>
      </w:r>
      <w:bookmarkEnd w:id="352"/>
      <w:bookmarkEnd w:id="353"/>
      <w:bookmarkEnd w:id="354"/>
    </w:p>
    <w:p>
      <w:pPr>
        <w:spacing w:line="400" w:lineRule="exact"/>
        <w:ind w:firstLine="359" w:firstLineChars="171"/>
        <w:rPr>
          <w:highlight w:val="none"/>
        </w:rPr>
      </w:pPr>
      <w:r>
        <w:rPr>
          <w:rFonts w:hint="eastAsia" w:cs="Arial"/>
          <w:szCs w:val="21"/>
          <w:highlight w:val="none"/>
        </w:rPr>
        <w:t>本附件是本章“评标办法”的组成部分。当第二章</w:t>
      </w:r>
      <w:r>
        <w:rPr>
          <w:rFonts w:hint="eastAsia"/>
          <w:highlight w:val="none"/>
        </w:rPr>
        <w:t>“投标人须知”第3.6款中规定允许投标人递交备选投标方案时，评标委员会应当按照本附件所规定的办法对排名第一的中标候选人或者根据招标人授权直接确定的中标人所递交的备选投标方案进行评审和比较。</w:t>
      </w:r>
    </w:p>
    <w:p>
      <w:pPr>
        <w:spacing w:line="400" w:lineRule="exact"/>
        <w:ind w:firstLine="359" w:firstLineChars="171"/>
        <w:rPr>
          <w:highlight w:val="none"/>
        </w:rPr>
      </w:pPr>
    </w:p>
    <w:p>
      <w:pPr>
        <w:outlineLvl w:val="0"/>
        <w:rPr>
          <w:rFonts w:cs="Arial"/>
          <w:b/>
          <w:szCs w:val="21"/>
          <w:highlight w:val="none"/>
        </w:rPr>
      </w:pPr>
      <w:bookmarkStart w:id="357" w:name="_Toc434331170"/>
      <w:bookmarkStart w:id="358" w:name="_Toc11600"/>
      <w:bookmarkStart w:id="359" w:name="_Toc395686616"/>
      <w:r>
        <w:rPr>
          <w:rFonts w:hint="eastAsia" w:cs="Arial"/>
          <w:b/>
          <w:szCs w:val="21"/>
          <w:highlight w:val="none"/>
        </w:rPr>
        <w:t>D1. 备选投标方案的评审规定</w:t>
      </w:r>
      <w:bookmarkEnd w:id="357"/>
      <w:bookmarkEnd w:id="358"/>
      <w:bookmarkEnd w:id="359"/>
    </w:p>
    <w:p>
      <w:pPr>
        <w:spacing w:line="400" w:lineRule="exact"/>
        <w:jc w:val="left"/>
        <w:rPr>
          <w:rFonts w:cs="Arial"/>
          <w:szCs w:val="21"/>
          <w:highlight w:val="none"/>
        </w:rPr>
      </w:pPr>
      <w:r>
        <w:rPr>
          <w:rFonts w:hint="eastAsia" w:cs="Arial"/>
          <w:szCs w:val="21"/>
          <w:highlight w:val="none"/>
          <w:u w:val="single"/>
        </w:rPr>
        <w:t xml:space="preserve">    无                                                                           </w:t>
      </w:r>
      <w:r>
        <w:rPr>
          <w:rFonts w:hint="eastAsia" w:cs="Arial"/>
          <w:szCs w:val="21"/>
          <w:highlight w:val="none"/>
        </w:rPr>
        <w:t xml:space="preserve"> </w:t>
      </w:r>
    </w:p>
    <w:p>
      <w:pPr>
        <w:spacing w:line="400" w:lineRule="exact"/>
        <w:jc w:val="left"/>
        <w:rPr>
          <w:rFonts w:cs="Arial"/>
          <w:szCs w:val="21"/>
          <w:highlight w:val="none"/>
          <w:u w:val="single"/>
        </w:rPr>
      </w:pPr>
      <w:r>
        <w:rPr>
          <w:rFonts w:hint="eastAsia" w:cs="Arial"/>
          <w:szCs w:val="21"/>
          <w:highlight w:val="none"/>
          <w:u w:val="single"/>
        </w:rPr>
        <w:t xml:space="preserve">                                                                               </w:t>
      </w:r>
    </w:p>
    <w:p>
      <w:pPr>
        <w:spacing w:line="400" w:lineRule="exact"/>
        <w:jc w:val="left"/>
        <w:rPr>
          <w:rFonts w:cs="Arial"/>
          <w:szCs w:val="21"/>
          <w:highlight w:val="none"/>
          <w:u w:val="single"/>
        </w:rPr>
      </w:pPr>
      <w:r>
        <w:rPr>
          <w:rFonts w:hint="eastAsia" w:cs="Arial"/>
          <w:szCs w:val="21"/>
          <w:highlight w:val="none"/>
          <w:u w:val="single"/>
        </w:rPr>
        <w:t xml:space="preserve">                                                                               </w:t>
      </w:r>
    </w:p>
    <w:p>
      <w:pPr>
        <w:spacing w:line="400" w:lineRule="exact"/>
        <w:jc w:val="left"/>
        <w:rPr>
          <w:rFonts w:cs="Arial"/>
          <w:szCs w:val="21"/>
          <w:highlight w:val="none"/>
        </w:rPr>
      </w:pPr>
      <w:r>
        <w:rPr>
          <w:rFonts w:hint="eastAsia" w:cs="Arial"/>
          <w:szCs w:val="21"/>
          <w:highlight w:val="none"/>
          <w:u w:val="single"/>
        </w:rPr>
        <w:t xml:space="preserve">                                                                               </w:t>
      </w:r>
      <w:r>
        <w:rPr>
          <w:rFonts w:hint="eastAsia" w:cs="Arial"/>
          <w:szCs w:val="21"/>
          <w:highlight w:val="none"/>
        </w:rPr>
        <w:t xml:space="preserve">                                                  </w:t>
      </w:r>
    </w:p>
    <w:p>
      <w:pPr>
        <w:spacing w:line="400" w:lineRule="exact"/>
        <w:ind w:firstLine="359" w:firstLineChars="171"/>
        <w:rPr>
          <w:rFonts w:ascii="黑体" w:cs="Arial"/>
          <w:b/>
          <w:bCs/>
          <w:sz w:val="24"/>
          <w:highlight w:val="none"/>
        </w:rPr>
      </w:pPr>
      <w:r>
        <w:rPr>
          <w:rFonts w:hint="eastAsia" w:cs="Arial"/>
          <w:szCs w:val="21"/>
          <w:highlight w:val="none"/>
        </w:rPr>
        <w:t xml:space="preserve">  </w:t>
      </w:r>
      <w:r>
        <w:rPr>
          <w:rFonts w:cs="Arial"/>
          <w:szCs w:val="21"/>
          <w:highlight w:val="none"/>
        </w:rPr>
        <w:br w:type="page"/>
      </w:r>
      <w:r>
        <w:rPr>
          <w:rFonts w:hint="eastAsia" w:ascii="黑体" w:cs="Arial"/>
          <w:b/>
          <w:bCs/>
          <w:sz w:val="24"/>
          <w:highlight w:val="none"/>
        </w:rPr>
        <w:t>附件E：计算机辅助评标方法</w:t>
      </w:r>
      <w:bookmarkEnd w:id="355"/>
      <w:bookmarkEnd w:id="356"/>
    </w:p>
    <w:p>
      <w:pPr>
        <w:spacing w:after="156" w:afterLines="50" w:line="300" w:lineRule="auto"/>
        <w:jc w:val="center"/>
        <w:rPr>
          <w:rFonts w:ascii="黑体" w:eastAsia="黑体" w:cs="Arial"/>
          <w:bCs/>
          <w:sz w:val="28"/>
          <w:szCs w:val="28"/>
          <w:highlight w:val="none"/>
        </w:rPr>
      </w:pPr>
      <w:r>
        <w:rPr>
          <w:rFonts w:hint="eastAsia" w:ascii="黑体" w:eastAsia="黑体" w:cs="Arial"/>
          <w:bCs/>
          <w:sz w:val="28"/>
          <w:szCs w:val="28"/>
          <w:highlight w:val="none"/>
        </w:rPr>
        <w:t>计算机辅助评标方法</w:t>
      </w:r>
    </w:p>
    <w:p>
      <w:pPr>
        <w:outlineLvl w:val="0"/>
        <w:rPr>
          <w:b/>
          <w:highlight w:val="none"/>
        </w:rPr>
      </w:pPr>
      <w:bookmarkStart w:id="360" w:name="_Toc11316"/>
      <w:bookmarkStart w:id="361" w:name="_Toc434331171"/>
      <w:bookmarkStart w:id="362" w:name="_Toc395686617"/>
      <w:r>
        <w:rPr>
          <w:rFonts w:hint="eastAsia"/>
          <w:b/>
          <w:highlight w:val="none"/>
        </w:rPr>
        <w:t>E1. 总  则</w:t>
      </w:r>
      <w:bookmarkEnd w:id="360"/>
      <w:bookmarkEnd w:id="361"/>
      <w:bookmarkEnd w:id="362"/>
    </w:p>
    <w:p>
      <w:pPr>
        <w:spacing w:line="400" w:lineRule="exact"/>
        <w:ind w:firstLine="420" w:firstLineChars="200"/>
        <w:rPr>
          <w:highlight w:val="none"/>
        </w:rPr>
      </w:pPr>
      <w:r>
        <w:rPr>
          <w:rFonts w:hint="eastAsia"/>
          <w:highlight w:val="none"/>
        </w:rPr>
        <w:t>本附件为“评标办法”的组成部分。本附件的内容是针对计算机辅助评标的特点和要求，对本章正文和前附件中的相关规定进行的补充和细化，本章正文部分、前附表部分中的相关规定应当按照本附件中的规定执行。</w:t>
      </w:r>
    </w:p>
    <w:p>
      <w:pPr>
        <w:outlineLvl w:val="0"/>
        <w:rPr>
          <w:highlight w:val="none"/>
        </w:rPr>
      </w:pPr>
      <w:bookmarkStart w:id="363" w:name="_Toc395686618"/>
      <w:bookmarkStart w:id="364" w:name="_Toc434331172"/>
      <w:bookmarkStart w:id="365" w:name="_Toc10176"/>
      <w:r>
        <w:rPr>
          <w:rFonts w:hint="eastAsia"/>
          <w:b/>
          <w:highlight w:val="none"/>
        </w:rPr>
        <w:t>E2. 计算机辅助评标操作细则</w:t>
      </w:r>
      <w:bookmarkEnd w:id="363"/>
      <w:bookmarkEnd w:id="364"/>
      <w:bookmarkEnd w:id="365"/>
    </w:p>
    <w:p>
      <w:pPr>
        <w:numPr>
          <w:ilvl w:val="0"/>
          <w:numId w:val="19"/>
        </w:numPr>
        <w:spacing w:line="400" w:lineRule="exact"/>
        <w:ind w:left="0" w:firstLine="426"/>
        <w:rPr>
          <w:highlight w:val="none"/>
        </w:rPr>
      </w:pPr>
      <w:r>
        <w:rPr>
          <w:rFonts w:hint="eastAsia"/>
          <w:highlight w:val="none"/>
        </w:rPr>
        <w:t>盖章及签字</w:t>
      </w:r>
    </w:p>
    <w:p>
      <w:pPr>
        <w:spacing w:line="400" w:lineRule="exact"/>
        <w:ind w:firstLine="420" w:firstLineChars="200"/>
        <w:rPr>
          <w:rFonts w:cs="Arial"/>
          <w:iCs/>
          <w:szCs w:val="28"/>
          <w:highlight w:val="none"/>
        </w:rPr>
      </w:pPr>
      <w:r>
        <w:rPr>
          <w:rFonts w:hint="eastAsia" w:cs="Arial"/>
          <w:iCs/>
          <w:szCs w:val="28"/>
          <w:highlight w:val="none"/>
        </w:rPr>
        <w:t>投标文件及</w:t>
      </w:r>
      <w:r>
        <w:rPr>
          <w:highlight w:val="none"/>
        </w:rPr>
        <w:t>澄清、说明或补正</w:t>
      </w:r>
      <w:r>
        <w:rPr>
          <w:rFonts w:hint="eastAsia"/>
          <w:highlight w:val="none"/>
        </w:rPr>
        <w:t>文件</w:t>
      </w:r>
      <w:r>
        <w:rPr>
          <w:rFonts w:hint="eastAsia" w:cs="Arial"/>
          <w:iCs/>
          <w:szCs w:val="28"/>
          <w:highlight w:val="none"/>
        </w:rPr>
        <w:t>的盖章均应当采用电子化平台认可的CA数字证书的电子印章。</w:t>
      </w:r>
    </w:p>
    <w:p>
      <w:pPr>
        <w:spacing w:line="400" w:lineRule="exact"/>
        <w:ind w:firstLine="420" w:firstLineChars="200"/>
        <w:rPr>
          <w:rFonts w:cs="Arial"/>
          <w:iCs/>
          <w:szCs w:val="28"/>
          <w:highlight w:val="none"/>
        </w:rPr>
      </w:pPr>
      <w:r>
        <w:rPr>
          <w:rFonts w:hint="eastAsia" w:cs="Arial"/>
          <w:iCs/>
          <w:szCs w:val="28"/>
          <w:highlight w:val="none"/>
        </w:rPr>
        <w:t>投标文件及</w:t>
      </w:r>
      <w:r>
        <w:rPr>
          <w:highlight w:val="none"/>
        </w:rPr>
        <w:t>澄清、说明或补正</w:t>
      </w:r>
      <w:r>
        <w:rPr>
          <w:rFonts w:hint="eastAsia"/>
          <w:highlight w:val="none"/>
        </w:rPr>
        <w:t>文件</w:t>
      </w:r>
      <w:r>
        <w:rPr>
          <w:rFonts w:hint="eastAsia" w:cs="Arial"/>
          <w:iCs/>
          <w:szCs w:val="28"/>
          <w:highlight w:val="none"/>
        </w:rPr>
        <w:t>的签字均应当采用电子化平台认可的个人CA电子印章。</w:t>
      </w:r>
    </w:p>
    <w:p>
      <w:pPr>
        <w:spacing w:line="400" w:lineRule="exact"/>
        <w:ind w:firstLine="420" w:firstLineChars="200"/>
        <w:rPr>
          <w:rFonts w:cs="Arial"/>
          <w:iCs/>
          <w:szCs w:val="28"/>
          <w:highlight w:val="none"/>
        </w:rPr>
      </w:pPr>
      <w:r>
        <w:rPr>
          <w:rFonts w:hint="eastAsia" w:cs="Arial"/>
          <w:iCs/>
          <w:szCs w:val="28"/>
          <w:highlight w:val="none"/>
        </w:rPr>
        <w:t>评标专家的签名均应当采用电子化平台认可的的个人CA电子印章。</w:t>
      </w:r>
    </w:p>
    <w:p>
      <w:pPr>
        <w:numPr>
          <w:ilvl w:val="0"/>
          <w:numId w:val="19"/>
        </w:numPr>
        <w:spacing w:line="400" w:lineRule="exact"/>
        <w:ind w:left="0" w:firstLine="426"/>
        <w:rPr>
          <w:highlight w:val="none"/>
        </w:rPr>
      </w:pPr>
      <w:r>
        <w:rPr>
          <w:rFonts w:hint="eastAsia"/>
          <w:highlight w:val="none"/>
        </w:rPr>
        <w:t>暗标编号</w:t>
      </w:r>
    </w:p>
    <w:p>
      <w:pPr>
        <w:spacing w:line="400" w:lineRule="exact"/>
        <w:ind w:firstLine="420" w:firstLineChars="200"/>
        <w:rPr>
          <w:rFonts w:cs="Arial"/>
          <w:iCs/>
          <w:szCs w:val="28"/>
          <w:highlight w:val="none"/>
        </w:rPr>
      </w:pPr>
      <w:r>
        <w:rPr>
          <w:rFonts w:hint="eastAsia" w:cs="Arial"/>
          <w:iCs/>
          <w:szCs w:val="28"/>
          <w:highlight w:val="none"/>
        </w:rPr>
        <w:t>招标人或其委托的招标代理机构在评标开始前，使用招标人数字身份认证锁对电子化平台中的电子标书进行解密，并自动生成施工组织设计各模块的暗标编号。</w:t>
      </w:r>
    </w:p>
    <w:p>
      <w:pPr>
        <w:spacing w:line="400" w:lineRule="exact"/>
        <w:ind w:firstLine="420" w:firstLineChars="200"/>
        <w:rPr>
          <w:rFonts w:cs="Arial"/>
          <w:iCs/>
          <w:szCs w:val="28"/>
          <w:highlight w:val="none"/>
        </w:rPr>
      </w:pPr>
      <w:r>
        <w:rPr>
          <w:rFonts w:hint="eastAsia" w:cs="Arial"/>
          <w:iCs/>
          <w:szCs w:val="28"/>
          <w:highlight w:val="none"/>
        </w:rPr>
        <w:t>在评标委员会全体成员均完成暗标评审并将评审记录保存后，由评标委员会通过系统的编码记录确定投标人与暗标编号的对应关系，系统自动生成</w:t>
      </w:r>
      <w:r>
        <w:rPr>
          <w:rFonts w:hint="eastAsia" w:ascii="Arial" w:hAnsi="Arial" w:cs="Arial"/>
          <w:b/>
          <w:szCs w:val="21"/>
          <w:highlight w:val="none"/>
        </w:rPr>
        <w:t>附表A-3</w:t>
      </w:r>
      <w:r>
        <w:rPr>
          <w:rFonts w:hint="eastAsia" w:cs="Arial"/>
          <w:iCs/>
          <w:szCs w:val="28"/>
          <w:highlight w:val="none"/>
        </w:rPr>
        <w:t>技术暗标编号确认表。</w:t>
      </w:r>
    </w:p>
    <w:p>
      <w:pPr>
        <w:spacing w:line="400" w:lineRule="exact"/>
        <w:ind w:firstLine="420" w:firstLineChars="200"/>
        <w:rPr>
          <w:rFonts w:cs="Arial"/>
          <w:iCs/>
          <w:szCs w:val="28"/>
          <w:highlight w:val="none"/>
        </w:rPr>
      </w:pPr>
      <w:r>
        <w:rPr>
          <w:rFonts w:hint="eastAsia" w:cs="Arial"/>
          <w:iCs/>
          <w:szCs w:val="28"/>
          <w:highlight w:val="none"/>
        </w:rPr>
        <w:t>投标文件未按照招标文件规定的模块目录编写的内容不予评审，该模块内容按“零”分处理。</w:t>
      </w:r>
    </w:p>
    <w:p>
      <w:pPr>
        <w:numPr>
          <w:ilvl w:val="0"/>
          <w:numId w:val="19"/>
        </w:numPr>
        <w:spacing w:line="400" w:lineRule="exact"/>
        <w:ind w:left="0" w:firstLine="426"/>
        <w:rPr>
          <w:highlight w:val="none"/>
        </w:rPr>
      </w:pPr>
      <w:r>
        <w:rPr>
          <w:highlight w:val="none"/>
        </w:rPr>
        <w:t>澄清、说明或补正</w:t>
      </w:r>
    </w:p>
    <w:p>
      <w:pPr>
        <w:spacing w:line="400" w:lineRule="exact"/>
        <w:ind w:firstLine="420" w:firstLineChars="200"/>
        <w:rPr>
          <w:rFonts w:cs="Arial"/>
          <w:iCs/>
          <w:szCs w:val="28"/>
          <w:highlight w:val="none"/>
        </w:rPr>
      </w:pPr>
      <w:r>
        <w:rPr>
          <w:rFonts w:cs="Arial"/>
          <w:iCs/>
          <w:szCs w:val="28"/>
          <w:highlight w:val="none"/>
        </w:rPr>
        <w:t>评标委员会将需要投标人澄清、说明或补正内容，通过电子化平台通知投标人，投标人通过电子化平台对评标委员会提出的质疑进行澄清、说明或补正。联合体投标的，应当由联合体共同投标协议书约定的牵头人以联合体的名义，进行澄清、说明或补正，并按照投标文件投标函的盖章方式，由联合体牵头人或联合体所有成员加盖电子印章后，通过电子化平台进行澄清、说明或补正。</w:t>
      </w:r>
    </w:p>
    <w:p>
      <w:pPr>
        <w:numPr>
          <w:ilvl w:val="0"/>
          <w:numId w:val="19"/>
        </w:numPr>
        <w:spacing w:line="400" w:lineRule="exact"/>
        <w:ind w:left="0" w:firstLine="426"/>
        <w:rPr>
          <w:highlight w:val="none"/>
        </w:rPr>
      </w:pPr>
      <w:r>
        <w:rPr>
          <w:rFonts w:hint="eastAsia"/>
          <w:highlight w:val="none"/>
        </w:rPr>
        <w:t>投标报价评分</w:t>
      </w:r>
    </w:p>
    <w:p>
      <w:pPr>
        <w:spacing w:line="400" w:lineRule="exact"/>
        <w:ind w:firstLine="420" w:firstLineChars="200"/>
        <w:rPr>
          <w:rFonts w:cs="Arial"/>
          <w:iCs/>
          <w:szCs w:val="28"/>
          <w:highlight w:val="none"/>
          <w:u w:val="single"/>
        </w:rPr>
      </w:pPr>
      <w:r>
        <w:rPr>
          <w:rFonts w:hint="eastAsia" w:cs="Arial"/>
          <w:iCs/>
          <w:szCs w:val="28"/>
          <w:highlight w:val="none"/>
        </w:rPr>
        <w:t>计算机清单比对结果如发现清单投标单价与清单基准单价有较大偏差时按如下方法处理：</w:t>
      </w:r>
      <w:r>
        <w:rPr>
          <w:rFonts w:hint="eastAsia" w:cs="Arial"/>
          <w:iCs/>
          <w:szCs w:val="28"/>
          <w:highlight w:val="none"/>
          <w:u w:val="single"/>
        </w:rPr>
        <w:t xml:space="preserve">       /             </w:t>
      </w:r>
    </w:p>
    <w:p>
      <w:pPr>
        <w:spacing w:line="400" w:lineRule="exact"/>
        <w:ind w:firstLine="420" w:firstLineChars="200"/>
        <w:rPr>
          <w:rFonts w:cs="Arial"/>
          <w:iCs/>
          <w:szCs w:val="28"/>
          <w:highlight w:val="none"/>
        </w:rPr>
      </w:pPr>
      <w:r>
        <w:rPr>
          <w:rFonts w:hint="eastAsia" w:cs="Arial"/>
          <w:iCs/>
          <w:szCs w:val="28"/>
          <w:highlight w:val="none"/>
        </w:rPr>
        <w:t>注：清单基准单价计算方法：</w:t>
      </w:r>
      <w:r>
        <w:rPr>
          <w:rFonts w:hint="eastAsia" w:cs="Arial"/>
          <w:iCs/>
          <w:szCs w:val="28"/>
          <w:highlight w:val="none"/>
          <w:u w:val="single"/>
        </w:rPr>
        <w:t xml:space="preserve">              /                                 </w:t>
      </w:r>
      <w:r>
        <w:rPr>
          <w:rFonts w:hint="eastAsia" w:cs="Arial"/>
          <w:iCs/>
          <w:szCs w:val="28"/>
          <w:highlight w:val="none"/>
        </w:rPr>
        <w:t xml:space="preserve">                                                 </w:t>
      </w:r>
    </w:p>
    <w:p>
      <w:pPr>
        <w:numPr>
          <w:ilvl w:val="0"/>
          <w:numId w:val="19"/>
        </w:numPr>
        <w:spacing w:line="400" w:lineRule="exact"/>
        <w:ind w:left="0" w:firstLine="426"/>
        <w:rPr>
          <w:highlight w:val="none"/>
        </w:rPr>
      </w:pPr>
      <w:r>
        <w:rPr>
          <w:rFonts w:hint="eastAsia"/>
          <w:highlight w:val="none"/>
        </w:rPr>
        <w:t>突发情况处理</w:t>
      </w:r>
    </w:p>
    <w:p>
      <w:pPr>
        <w:spacing w:line="400" w:lineRule="exact"/>
        <w:ind w:firstLine="420" w:firstLineChars="200"/>
        <w:rPr>
          <w:rFonts w:cs="Arial"/>
          <w:iCs/>
          <w:szCs w:val="28"/>
          <w:highlight w:val="none"/>
        </w:rPr>
      </w:pPr>
      <w:r>
        <w:rPr>
          <w:rFonts w:hint="eastAsia" w:cs="Arial"/>
          <w:iCs/>
          <w:szCs w:val="28"/>
          <w:highlight w:val="none"/>
        </w:rPr>
        <w:t>评标时，如遇系统故障等突发事件，评标专家应及时与现场工作人员沟通解决。</w:t>
      </w:r>
    </w:p>
    <w:p>
      <w:pPr>
        <w:spacing w:line="400" w:lineRule="exact"/>
        <w:ind w:firstLine="420" w:firstLineChars="200"/>
        <w:rPr>
          <w:rFonts w:cs="Arial"/>
          <w:iCs/>
          <w:szCs w:val="28"/>
          <w:highlight w:val="none"/>
        </w:rPr>
      </w:pPr>
    </w:p>
    <w:p>
      <w:pPr>
        <w:spacing w:line="400" w:lineRule="exact"/>
        <w:ind w:firstLine="422" w:firstLineChars="200"/>
        <w:rPr>
          <w:rFonts w:cs="Arial"/>
          <w:b/>
          <w:bCs/>
          <w:iCs/>
          <w:szCs w:val="28"/>
          <w:highlight w:val="none"/>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pPr>
        <w:tabs>
          <w:tab w:val="left" w:pos="4680"/>
        </w:tabs>
        <w:spacing w:after="120" w:afterLines="50" w:line="300" w:lineRule="auto"/>
        <w:rPr>
          <w:rFonts w:ascii="Arial" w:hAnsi="Arial" w:eastAsia="黑体" w:cs="Arial"/>
          <w:sz w:val="24"/>
          <w:highlight w:val="none"/>
        </w:rPr>
      </w:pPr>
      <w:r>
        <w:rPr>
          <w:rFonts w:ascii="Arial" w:hAnsi="Arial" w:eastAsia="黑体" w:cs="Arial"/>
          <w:sz w:val="24"/>
          <w:highlight w:val="none"/>
        </w:rPr>
        <w:t>附表</w:t>
      </w:r>
      <w:r>
        <w:rPr>
          <w:rFonts w:hint="eastAsia" w:ascii="Arial" w:hAnsi="Arial" w:cs="Arial"/>
          <w:b/>
          <w:bCs/>
          <w:sz w:val="24"/>
          <w:highlight w:val="none"/>
        </w:rPr>
        <w:t>A-</w:t>
      </w:r>
      <w:r>
        <w:rPr>
          <w:rFonts w:ascii="Arial" w:hAnsi="Arial" w:cs="Arial"/>
          <w:b/>
          <w:bCs/>
          <w:sz w:val="24"/>
          <w:highlight w:val="none"/>
        </w:rPr>
        <w:t>1：</w:t>
      </w:r>
      <w:r>
        <w:rPr>
          <w:rFonts w:ascii="Arial" w:hAnsi="Arial" w:eastAsia="黑体" w:cs="Arial"/>
          <w:sz w:val="24"/>
          <w:highlight w:val="none"/>
        </w:rPr>
        <w:t>评标委员会签到表</w:t>
      </w:r>
    </w:p>
    <w:p>
      <w:pPr>
        <w:tabs>
          <w:tab w:val="left" w:pos="4680"/>
        </w:tabs>
        <w:spacing w:after="120" w:afterLines="50" w:line="300" w:lineRule="auto"/>
        <w:jc w:val="center"/>
        <w:rPr>
          <w:rFonts w:ascii="Arial" w:hAnsi="Arial" w:eastAsia="黑体" w:cs="Arial"/>
          <w:sz w:val="28"/>
          <w:highlight w:val="none"/>
        </w:rPr>
      </w:pPr>
      <w:r>
        <w:rPr>
          <w:rFonts w:ascii="Arial" w:hAnsi="Arial" w:eastAsia="黑体" w:cs="Arial"/>
          <w:sz w:val="28"/>
          <w:highlight w:val="none"/>
        </w:rPr>
        <w:t>评标委员会签到表</w:t>
      </w:r>
    </w:p>
    <w:p>
      <w:pPr>
        <w:tabs>
          <w:tab w:val="left" w:pos="4680"/>
        </w:tabs>
        <w:spacing w:after="120" w:afterLines="50" w:line="300" w:lineRule="auto"/>
        <w:rPr>
          <w:rFonts w:ascii="Arial" w:hAnsi="Arial" w:cs="Arial"/>
          <w:bCs/>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rPr>
        <w:t>：</w:t>
      </w:r>
      <w:r>
        <w:rPr>
          <w:rFonts w:hint="eastAsia" w:ascii="Arial" w:hAnsi="Arial" w:cs="Arial"/>
          <w:bCs/>
          <w:szCs w:val="21"/>
          <w:highlight w:val="none"/>
          <w:u w:val="single"/>
        </w:rPr>
        <w:t xml:space="preserve">                                </w:t>
      </w:r>
      <w:r>
        <w:rPr>
          <w:rFonts w:hint="eastAsia" w:ascii="Arial" w:hAnsi="Arial" w:cs="Arial"/>
          <w:bCs/>
          <w:szCs w:val="21"/>
          <w:highlight w:val="none"/>
        </w:rPr>
        <w:t xml:space="preserve">                                                      </w:t>
      </w:r>
    </w:p>
    <w:p>
      <w:pPr>
        <w:tabs>
          <w:tab w:val="left" w:pos="4680"/>
        </w:tabs>
        <w:spacing w:after="120" w:afterLines="50" w:line="300" w:lineRule="auto"/>
        <w:rPr>
          <w:rFonts w:ascii="Arial" w:hAnsi="Arial" w:cs="Arial"/>
          <w:bCs/>
          <w:szCs w:val="21"/>
          <w:highlight w:val="none"/>
        </w:rPr>
      </w:pPr>
      <w:r>
        <w:rPr>
          <w:rFonts w:ascii="Arial" w:hAnsi="Arial" w:cs="Arial"/>
          <w:bCs/>
          <w:szCs w:val="21"/>
          <w:highlight w:val="none"/>
        </w:rPr>
        <w:t>评标时间：</w:t>
      </w:r>
      <w:r>
        <w:rPr>
          <w:rFonts w:hint="eastAsia" w:ascii="Arial" w:hAnsi="Arial" w:cs="Arial"/>
          <w:bCs/>
          <w:szCs w:val="21"/>
          <w:highlight w:val="none"/>
        </w:rPr>
        <w:t xml:space="preserve">      年    月    日</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800"/>
        <w:gridCol w:w="1575"/>
        <w:gridCol w:w="4725"/>
        <w:gridCol w:w="2940"/>
        <w:gridCol w:w="2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序号</w:t>
            </w:r>
          </w:p>
        </w:tc>
        <w:tc>
          <w:tcPr>
            <w:tcW w:w="180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姓名</w:t>
            </w:r>
          </w:p>
        </w:tc>
        <w:tc>
          <w:tcPr>
            <w:tcW w:w="1575"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职称</w:t>
            </w:r>
          </w:p>
        </w:tc>
        <w:tc>
          <w:tcPr>
            <w:tcW w:w="4725"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工作单位</w:t>
            </w:r>
          </w:p>
        </w:tc>
        <w:tc>
          <w:tcPr>
            <w:tcW w:w="294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专家证号码</w:t>
            </w:r>
          </w:p>
        </w:tc>
        <w:tc>
          <w:tcPr>
            <w:tcW w:w="228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签到时间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1</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2</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3</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4</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5</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6</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tabs>
                <w:tab w:val="left" w:pos="4680"/>
              </w:tabs>
              <w:spacing w:before="120" w:beforeLines="50" w:after="120" w:afterLines="50"/>
              <w:jc w:val="center"/>
              <w:rPr>
                <w:rFonts w:ascii="Arial" w:hAnsi="Arial" w:cs="Arial"/>
                <w:bCs/>
                <w:szCs w:val="21"/>
                <w:highlight w:val="none"/>
              </w:rPr>
            </w:pPr>
            <w:r>
              <w:rPr>
                <w:rFonts w:ascii="Arial" w:hAnsi="Arial" w:cs="Arial"/>
                <w:bCs/>
                <w:szCs w:val="21"/>
                <w:highlight w:val="none"/>
              </w:rPr>
              <w:t>7</w:t>
            </w:r>
          </w:p>
        </w:tc>
        <w:tc>
          <w:tcPr>
            <w:tcW w:w="1800" w:type="dxa"/>
          </w:tcPr>
          <w:p>
            <w:pPr>
              <w:tabs>
                <w:tab w:val="left" w:pos="4680"/>
              </w:tabs>
              <w:spacing w:before="120" w:beforeLines="50" w:after="120" w:afterLines="50"/>
              <w:rPr>
                <w:rFonts w:ascii="Arial" w:hAnsi="Arial" w:cs="Arial"/>
                <w:bCs/>
                <w:szCs w:val="21"/>
                <w:highlight w:val="none"/>
              </w:rPr>
            </w:pPr>
          </w:p>
        </w:tc>
        <w:tc>
          <w:tcPr>
            <w:tcW w:w="1575" w:type="dxa"/>
          </w:tcPr>
          <w:p>
            <w:pPr>
              <w:tabs>
                <w:tab w:val="left" w:pos="4680"/>
              </w:tabs>
              <w:spacing w:before="120" w:beforeLines="50" w:after="120" w:afterLines="50"/>
              <w:rPr>
                <w:rFonts w:ascii="Arial" w:hAnsi="Arial" w:cs="Arial"/>
                <w:bCs/>
                <w:szCs w:val="21"/>
                <w:highlight w:val="none"/>
              </w:rPr>
            </w:pPr>
          </w:p>
        </w:tc>
        <w:tc>
          <w:tcPr>
            <w:tcW w:w="4725" w:type="dxa"/>
          </w:tcPr>
          <w:p>
            <w:pPr>
              <w:tabs>
                <w:tab w:val="left" w:pos="4680"/>
              </w:tabs>
              <w:spacing w:before="120" w:beforeLines="50" w:after="120" w:afterLines="50"/>
              <w:rPr>
                <w:rFonts w:ascii="Arial" w:hAnsi="Arial" w:cs="Arial"/>
                <w:bCs/>
                <w:szCs w:val="21"/>
                <w:highlight w:val="none"/>
              </w:rPr>
            </w:pPr>
          </w:p>
        </w:tc>
        <w:tc>
          <w:tcPr>
            <w:tcW w:w="2940" w:type="dxa"/>
          </w:tcPr>
          <w:p>
            <w:pPr>
              <w:tabs>
                <w:tab w:val="left" w:pos="4680"/>
              </w:tabs>
              <w:spacing w:before="120" w:beforeLines="50" w:after="120" w:afterLines="50"/>
              <w:rPr>
                <w:rFonts w:ascii="Arial" w:hAnsi="Arial" w:cs="Arial"/>
                <w:bCs/>
                <w:szCs w:val="21"/>
                <w:highlight w:val="none"/>
              </w:rPr>
            </w:pPr>
          </w:p>
        </w:tc>
        <w:tc>
          <w:tcPr>
            <w:tcW w:w="2280" w:type="dxa"/>
          </w:tcPr>
          <w:p>
            <w:pPr>
              <w:tabs>
                <w:tab w:val="left" w:pos="4680"/>
              </w:tabs>
              <w:spacing w:before="120" w:beforeLines="50" w:after="120" w:afterLines="50"/>
              <w:rPr>
                <w:rFonts w:ascii="Arial" w:hAnsi="Arial" w:cs="Arial"/>
                <w:bCs/>
                <w:szCs w:val="21"/>
                <w:highlight w:val="none"/>
              </w:rPr>
            </w:pPr>
          </w:p>
        </w:tc>
      </w:tr>
    </w:tbl>
    <w:p>
      <w:pPr>
        <w:tabs>
          <w:tab w:val="left" w:pos="4680"/>
        </w:tabs>
        <w:spacing w:after="120" w:afterLines="50" w:line="300" w:lineRule="auto"/>
        <w:rPr>
          <w:rFonts w:ascii="Arial" w:hAnsi="Arial" w:cs="Arial"/>
          <w:b/>
          <w:bCs/>
          <w:sz w:val="24"/>
          <w:szCs w:val="20"/>
          <w:highlight w:val="none"/>
          <w:u w:val="single"/>
        </w:rPr>
      </w:pPr>
    </w:p>
    <w:p>
      <w:pPr>
        <w:tabs>
          <w:tab w:val="left" w:pos="4680"/>
        </w:tabs>
        <w:spacing w:after="120" w:afterLines="50" w:line="300" w:lineRule="auto"/>
        <w:rPr>
          <w:rFonts w:ascii="Arial" w:hAnsi="Arial" w:cs="Arial"/>
          <w:b/>
          <w:bCs/>
          <w:sz w:val="24"/>
          <w:szCs w:val="20"/>
          <w:highlight w:val="none"/>
          <w:u w:val="single"/>
        </w:rPr>
        <w:sectPr>
          <w:headerReference r:id="rId4" w:type="default"/>
          <w:footerReference r:id="rId5" w:type="default"/>
          <w:pgSz w:w="16838" w:h="11906" w:orient="landscape"/>
          <w:pgMar w:top="1797" w:right="1440" w:bottom="1797" w:left="1440" w:header="851" w:footer="992" w:gutter="0"/>
          <w:pgBorders>
            <w:top w:val="none" w:sz="0" w:space="0"/>
            <w:left w:val="none" w:sz="0" w:space="0"/>
            <w:bottom w:val="none" w:sz="0" w:space="0"/>
            <w:right w:val="none" w:sz="0" w:space="0"/>
          </w:pgBorders>
          <w:cols w:space="720" w:num="1"/>
          <w:docGrid w:linePitch="312" w:charSpace="0"/>
        </w:sectPr>
      </w:pPr>
    </w:p>
    <w:p>
      <w:pPr>
        <w:tabs>
          <w:tab w:val="left" w:pos="4680"/>
        </w:tabs>
        <w:spacing w:line="360" w:lineRule="auto"/>
        <w:rPr>
          <w:rFonts w:ascii="Arial" w:hAnsi="Arial" w:cs="Arial"/>
          <w:bCs/>
          <w:szCs w:val="21"/>
          <w:highlight w:val="none"/>
        </w:rPr>
      </w:pPr>
      <w:r>
        <w:rPr>
          <w:rFonts w:ascii="Arial" w:hAnsi="Arial" w:eastAsia="黑体" w:cs="Arial"/>
          <w:sz w:val="24"/>
          <w:highlight w:val="none"/>
        </w:rPr>
        <w:t>附表</w:t>
      </w:r>
      <w:r>
        <w:rPr>
          <w:rFonts w:hint="eastAsia" w:ascii="Arial" w:hAnsi="Arial" w:cs="Arial"/>
          <w:b/>
          <w:bCs/>
          <w:sz w:val="24"/>
          <w:highlight w:val="none"/>
        </w:rPr>
        <w:t>A-2</w:t>
      </w:r>
      <w:r>
        <w:rPr>
          <w:rFonts w:ascii="Arial" w:hAnsi="Arial" w:cs="Arial"/>
          <w:b/>
          <w:bCs/>
          <w:sz w:val="24"/>
          <w:highlight w:val="none"/>
        </w:rPr>
        <w:t>：</w:t>
      </w:r>
      <w:r>
        <w:rPr>
          <w:rFonts w:ascii="Arial" w:hAnsi="Arial" w:eastAsia="黑体" w:cs="Arial"/>
          <w:sz w:val="24"/>
          <w:highlight w:val="none"/>
        </w:rPr>
        <w:t>评标</w:t>
      </w:r>
      <w:r>
        <w:rPr>
          <w:rFonts w:hint="eastAsia" w:ascii="Arial" w:hAnsi="Arial" w:eastAsia="黑体" w:cs="Arial"/>
          <w:sz w:val="24"/>
          <w:highlight w:val="none"/>
        </w:rPr>
        <w:t>专家声明书</w:t>
      </w:r>
    </w:p>
    <w:p>
      <w:pPr>
        <w:widowControl/>
        <w:spacing w:line="360" w:lineRule="auto"/>
        <w:jc w:val="center"/>
        <w:rPr>
          <w:rFonts w:ascii="Arial" w:hAnsi="Arial"/>
          <w:b/>
          <w:bCs/>
          <w:kern w:val="0"/>
          <w:sz w:val="28"/>
          <w:szCs w:val="28"/>
          <w:highlight w:val="none"/>
        </w:rPr>
      </w:pPr>
    </w:p>
    <w:p>
      <w:pPr>
        <w:widowControl/>
        <w:spacing w:line="360" w:lineRule="auto"/>
        <w:jc w:val="center"/>
        <w:rPr>
          <w:rFonts w:ascii="Arial" w:hAnsi="Arial"/>
          <w:kern w:val="0"/>
          <w:sz w:val="28"/>
          <w:szCs w:val="28"/>
          <w:highlight w:val="none"/>
        </w:rPr>
      </w:pPr>
      <w:r>
        <w:rPr>
          <w:rFonts w:ascii="Arial" w:hAnsi="Arial"/>
          <w:b/>
          <w:bCs/>
          <w:kern w:val="0"/>
          <w:sz w:val="28"/>
          <w:szCs w:val="28"/>
          <w:highlight w:val="none"/>
        </w:rPr>
        <w:t>评标专家声明书</w:t>
      </w:r>
    </w:p>
    <w:p>
      <w:pPr>
        <w:widowControl/>
        <w:spacing w:line="360" w:lineRule="auto"/>
        <w:rPr>
          <w:rFonts w:ascii="Arial" w:hAnsi="Arial"/>
          <w:kern w:val="0"/>
          <w:szCs w:val="21"/>
          <w:highlight w:val="none"/>
        </w:rPr>
      </w:pPr>
    </w:p>
    <w:p>
      <w:pPr>
        <w:widowControl/>
        <w:spacing w:line="400" w:lineRule="exact"/>
        <w:ind w:firstLine="420" w:firstLineChars="200"/>
        <w:rPr>
          <w:rFonts w:ascii="Arial" w:hAnsi="Arial"/>
          <w:kern w:val="0"/>
          <w:szCs w:val="21"/>
          <w:highlight w:val="none"/>
        </w:rPr>
      </w:pPr>
      <w:r>
        <w:rPr>
          <w:rFonts w:ascii="Arial" w:hAnsi="Arial"/>
          <w:kern w:val="0"/>
          <w:szCs w:val="21"/>
          <w:highlight w:val="none"/>
        </w:rPr>
        <w:t>本人接受招标人邀请，担任</w:t>
      </w:r>
      <w:r>
        <w:rPr>
          <w:rFonts w:hint="eastAsia" w:ascii="Arial" w:hAnsi="Arial" w:cs="Arial"/>
          <w:bCs/>
          <w:szCs w:val="21"/>
          <w:highlight w:val="none"/>
          <w:u w:val="single"/>
        </w:rPr>
        <w:t xml:space="preserve">                   </w:t>
      </w:r>
      <w:r>
        <w:rPr>
          <w:rFonts w:ascii="Arial" w:hAnsi="Arial"/>
          <w:kern w:val="0"/>
          <w:szCs w:val="21"/>
          <w:highlight w:val="none"/>
        </w:rPr>
        <w:t>招标的评标专家。</w:t>
      </w:r>
    </w:p>
    <w:p>
      <w:pPr>
        <w:widowControl/>
        <w:spacing w:line="400" w:lineRule="exact"/>
        <w:ind w:firstLine="420" w:firstLineChars="200"/>
        <w:rPr>
          <w:rFonts w:ascii="Arial" w:hAnsi="Arial"/>
          <w:kern w:val="0"/>
          <w:szCs w:val="21"/>
          <w:highlight w:val="none"/>
        </w:rPr>
      </w:pPr>
      <w:r>
        <w:rPr>
          <w:rFonts w:ascii="Arial" w:hAnsi="Arial"/>
          <w:kern w:val="0"/>
          <w:szCs w:val="21"/>
          <w:highlight w:val="none"/>
        </w:rPr>
        <w:t>本人声明：本人</w:t>
      </w:r>
      <w:r>
        <w:rPr>
          <w:rFonts w:ascii="Arial" w:hAnsi="Arial" w:cs="Arial"/>
          <w:bCs/>
          <w:kern w:val="0"/>
          <w:szCs w:val="21"/>
          <w:highlight w:val="none"/>
        </w:rPr>
        <w:t>在评标</w:t>
      </w:r>
      <w:r>
        <w:rPr>
          <w:rFonts w:ascii="Arial" w:hAnsi="Arial"/>
          <w:kern w:val="0"/>
          <w:szCs w:val="21"/>
          <w:highlight w:val="none"/>
        </w:rPr>
        <w:t xml:space="preserve">前未与招标人、招标代理机构以及投标人发生可能影响评标结果的接触；在中标结果确定之前，不向外透露对投标文件的评审、中标候选人的推荐情况以及与评标有关的其他情况；不收受招标人超出合理报酬以外的任何现金、有价证券和礼物；不收受有关利害关系人的任何财物和好处；无国家及本市有关规定需要回避的情形。 </w:t>
      </w:r>
    </w:p>
    <w:p>
      <w:pPr>
        <w:widowControl/>
        <w:spacing w:line="400" w:lineRule="exact"/>
        <w:ind w:firstLine="420" w:firstLineChars="200"/>
        <w:rPr>
          <w:rFonts w:ascii="Arial" w:hAnsi="Arial"/>
          <w:kern w:val="0"/>
          <w:szCs w:val="21"/>
          <w:highlight w:val="none"/>
        </w:rPr>
      </w:pPr>
      <w:r>
        <w:rPr>
          <w:rFonts w:ascii="Arial" w:hAnsi="Arial"/>
          <w:kern w:val="0"/>
          <w:szCs w:val="21"/>
          <w:highlight w:val="none"/>
        </w:rPr>
        <w:t xml:space="preserve">本人郑重保证：在评标过程中，遵守有关法律法规规章和评标纪律；服从评标委员会的统一安排；独立、客观、公正地履行评标专家职责。 </w:t>
      </w:r>
    </w:p>
    <w:p>
      <w:pPr>
        <w:widowControl/>
        <w:spacing w:line="400" w:lineRule="exact"/>
        <w:ind w:firstLine="420" w:firstLineChars="200"/>
        <w:rPr>
          <w:rFonts w:ascii="Arial" w:hAnsi="Arial"/>
          <w:kern w:val="0"/>
          <w:szCs w:val="21"/>
          <w:highlight w:val="none"/>
        </w:rPr>
      </w:pPr>
      <w:r>
        <w:rPr>
          <w:rFonts w:ascii="Arial" w:hAnsi="Arial"/>
          <w:kern w:val="0"/>
          <w:szCs w:val="21"/>
          <w:highlight w:val="none"/>
        </w:rPr>
        <w:t xml:space="preserve">本人接受有关行政监督部门依法实施监督。如违反上述承诺或者不能履行评标专家职责，本人愿意承担一切由此带来的法律责任。 </w:t>
      </w:r>
    </w:p>
    <w:p>
      <w:pPr>
        <w:widowControl/>
        <w:spacing w:line="400" w:lineRule="exact"/>
        <w:ind w:firstLine="420" w:firstLineChars="200"/>
        <w:rPr>
          <w:rFonts w:ascii="Arial" w:hAnsi="Arial"/>
          <w:kern w:val="0"/>
          <w:szCs w:val="21"/>
          <w:highlight w:val="none"/>
        </w:rPr>
      </w:pPr>
      <w:r>
        <w:rPr>
          <w:rFonts w:ascii="Arial" w:hAnsi="Arial"/>
          <w:kern w:val="0"/>
          <w:szCs w:val="21"/>
          <w:highlight w:val="none"/>
        </w:rPr>
        <w:t xml:space="preserve">特此声明。 </w:t>
      </w:r>
    </w:p>
    <w:p>
      <w:pPr>
        <w:widowControl/>
        <w:spacing w:line="400" w:lineRule="exact"/>
        <w:rPr>
          <w:rFonts w:ascii="Arial" w:hAnsi="Arial"/>
          <w:kern w:val="0"/>
          <w:szCs w:val="21"/>
          <w:highlight w:val="none"/>
        </w:rPr>
      </w:pPr>
    </w:p>
    <w:p>
      <w:pPr>
        <w:spacing w:line="400" w:lineRule="exact"/>
        <w:ind w:firstLine="420" w:firstLineChars="200"/>
        <w:rPr>
          <w:rFonts w:ascii="Arial" w:hAnsi="Arial"/>
          <w:szCs w:val="21"/>
          <w:highlight w:val="none"/>
          <w:u w:val="single"/>
        </w:rPr>
      </w:pPr>
      <w:r>
        <w:rPr>
          <w:rFonts w:hint="eastAsia" w:ascii="Arial" w:hAnsi="Arial" w:cs="Arial"/>
          <w:szCs w:val="21"/>
          <w:highlight w:val="none"/>
        </w:rPr>
        <w:t>评标委员会成员</w:t>
      </w:r>
      <w:r>
        <w:rPr>
          <w:rFonts w:ascii="Arial" w:hAnsi="Arial"/>
          <w:kern w:val="0"/>
          <w:szCs w:val="21"/>
          <w:highlight w:val="none"/>
        </w:rPr>
        <w:t>签名</w:t>
      </w:r>
      <w:r>
        <w:rPr>
          <w:rFonts w:hint="eastAsia" w:ascii="Arial" w:hAnsi="Arial"/>
          <w:kern w:val="0"/>
          <w:szCs w:val="21"/>
          <w:highlight w:val="none"/>
        </w:rPr>
        <w:t>：</w:t>
      </w:r>
    </w:p>
    <w:p>
      <w:pPr>
        <w:spacing w:line="360" w:lineRule="auto"/>
        <w:rPr>
          <w:rFonts w:ascii="Arial" w:hAnsi="Arial"/>
          <w:szCs w:val="21"/>
          <w:highlight w:val="none"/>
        </w:rPr>
      </w:pPr>
    </w:p>
    <w:p>
      <w:pPr>
        <w:spacing w:line="360" w:lineRule="auto"/>
        <w:rPr>
          <w:rFonts w:ascii="Arial" w:hAnsi="Arial"/>
          <w:szCs w:val="21"/>
          <w:highlight w:val="none"/>
        </w:rPr>
      </w:pPr>
      <w:r>
        <w:rPr>
          <w:rFonts w:hint="eastAsia" w:ascii="Arial" w:hAnsi="Arial"/>
          <w:szCs w:val="21"/>
          <w:highlight w:val="none"/>
        </w:rPr>
        <w:t xml:space="preserve">   </w:t>
      </w:r>
    </w:p>
    <w:p>
      <w:pPr>
        <w:spacing w:line="360" w:lineRule="auto"/>
        <w:ind w:firstLine="315" w:firstLineChars="150"/>
        <w:rPr>
          <w:rFonts w:ascii="Arial" w:hAnsi="Arial"/>
          <w:szCs w:val="21"/>
          <w:highlight w:val="none"/>
        </w:rPr>
      </w:pPr>
      <w:r>
        <w:rPr>
          <w:rFonts w:hint="eastAsia" w:ascii="Arial" w:hAnsi="Arial"/>
          <w:szCs w:val="21"/>
          <w:highlight w:val="none"/>
        </w:rPr>
        <w:t xml:space="preserve"> 日        期：        年     月      日</w:t>
      </w:r>
    </w:p>
    <w:p>
      <w:pPr>
        <w:tabs>
          <w:tab w:val="left" w:pos="4680"/>
        </w:tabs>
        <w:spacing w:after="120" w:afterLines="50" w:line="300" w:lineRule="auto"/>
        <w:rPr>
          <w:rFonts w:ascii="Arial" w:hAnsi="Arial" w:cs="Arial"/>
          <w:b/>
          <w:bCs/>
          <w:sz w:val="24"/>
          <w:szCs w:val="20"/>
          <w:highlight w:val="none"/>
          <w:u w:val="single"/>
        </w:rPr>
      </w:pPr>
    </w:p>
    <w:p>
      <w:pPr>
        <w:tabs>
          <w:tab w:val="left" w:pos="4680"/>
        </w:tabs>
        <w:spacing w:line="360" w:lineRule="auto"/>
        <w:rPr>
          <w:rFonts w:ascii="黑体" w:hAnsi="Arial" w:eastAsia="黑体" w:cs="Arial"/>
          <w:kern w:val="0"/>
          <w:sz w:val="24"/>
          <w:highlight w:val="none"/>
        </w:rPr>
      </w:pPr>
      <w:r>
        <w:rPr>
          <w:rFonts w:ascii="Arial" w:hAnsi="Arial" w:cs="Arial"/>
          <w:b/>
          <w:bCs/>
          <w:sz w:val="24"/>
          <w:szCs w:val="20"/>
          <w:highlight w:val="none"/>
          <w:u w:val="single"/>
        </w:rPr>
        <w:br w:type="page"/>
      </w:r>
      <w:r>
        <w:rPr>
          <w:rFonts w:hint="eastAsia" w:ascii="黑体" w:hAnsi="Arial" w:eastAsia="黑体" w:cs="Arial"/>
          <w:kern w:val="0"/>
          <w:sz w:val="24"/>
          <w:highlight w:val="none"/>
        </w:rPr>
        <w:t>附表</w:t>
      </w:r>
      <w:r>
        <w:rPr>
          <w:rFonts w:hint="eastAsia" w:ascii="Arial" w:hAnsi="Arial" w:cs="Arial"/>
          <w:b/>
          <w:bCs/>
          <w:sz w:val="24"/>
          <w:highlight w:val="none"/>
        </w:rPr>
        <w:t>A-3</w:t>
      </w:r>
      <w:r>
        <w:rPr>
          <w:rFonts w:hint="eastAsia" w:ascii="黑体" w:hAnsi="Arial" w:eastAsia="黑体" w:cs="Arial"/>
          <w:kern w:val="0"/>
          <w:sz w:val="24"/>
          <w:highlight w:val="none"/>
        </w:rPr>
        <w:t>：技术暗标编号确认</w:t>
      </w:r>
      <w:r>
        <w:rPr>
          <w:rFonts w:ascii="黑体" w:hAnsi="Arial" w:eastAsia="黑体" w:cs="Arial"/>
          <w:kern w:val="0"/>
          <w:sz w:val="24"/>
          <w:highlight w:val="none"/>
        </w:rPr>
        <w:t>表</w:t>
      </w:r>
      <w:r>
        <w:rPr>
          <w:rFonts w:hint="eastAsia" w:ascii="黑体" w:hAnsi="Arial" w:eastAsia="黑体" w:cs="Arial"/>
          <w:kern w:val="0"/>
          <w:sz w:val="24"/>
          <w:highlight w:val="none"/>
        </w:rPr>
        <w:t>（本表不适用）</w:t>
      </w:r>
    </w:p>
    <w:p>
      <w:pPr>
        <w:widowControl/>
        <w:spacing w:line="360" w:lineRule="auto"/>
        <w:jc w:val="center"/>
        <w:rPr>
          <w:rFonts w:ascii="Arial" w:hAnsi="Arial"/>
          <w:b/>
          <w:bCs/>
          <w:kern w:val="0"/>
          <w:sz w:val="28"/>
          <w:szCs w:val="28"/>
          <w:highlight w:val="none"/>
        </w:rPr>
      </w:pPr>
    </w:p>
    <w:p>
      <w:pPr>
        <w:widowControl/>
        <w:spacing w:line="360" w:lineRule="auto"/>
        <w:jc w:val="center"/>
        <w:rPr>
          <w:rFonts w:ascii="Arial" w:hAnsi="Arial"/>
          <w:b/>
          <w:bCs/>
          <w:kern w:val="0"/>
          <w:sz w:val="28"/>
          <w:szCs w:val="28"/>
          <w:highlight w:val="none"/>
        </w:rPr>
      </w:pPr>
      <w:r>
        <w:rPr>
          <w:rFonts w:hint="eastAsia" w:ascii="Arial" w:hAnsi="Arial"/>
          <w:b/>
          <w:bCs/>
          <w:kern w:val="0"/>
          <w:sz w:val="28"/>
          <w:szCs w:val="28"/>
          <w:highlight w:val="none"/>
        </w:rPr>
        <w:t>技术暗标编号确认表</w:t>
      </w:r>
    </w:p>
    <w:p>
      <w:pPr>
        <w:tabs>
          <w:tab w:val="left" w:pos="4680"/>
        </w:tabs>
        <w:spacing w:line="360" w:lineRule="auto"/>
        <w:rPr>
          <w:rFonts w:ascii="Arial" w:hAnsi="Arial" w:cs="Arial"/>
          <w:bCs/>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r>
        <w:rPr>
          <w:rFonts w:hint="eastAsia" w:ascii="Arial" w:hAnsi="Arial" w:cs="Arial"/>
          <w:bCs/>
          <w:szCs w:val="21"/>
          <w:highlight w:val="none"/>
        </w:rPr>
        <w:t xml:space="preserve">  </w:t>
      </w:r>
    </w:p>
    <w:tbl>
      <w:tblPr>
        <w:tblStyle w:val="5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3420"/>
        <w:gridCol w:w="42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vAlign w:val="bottom"/>
          </w:tcPr>
          <w:p>
            <w:pPr>
              <w:tabs>
                <w:tab w:val="left" w:pos="4680"/>
              </w:tabs>
              <w:spacing w:line="360" w:lineRule="auto"/>
              <w:jc w:val="center"/>
              <w:rPr>
                <w:rFonts w:ascii="Arial" w:hAnsi="Arial" w:cs="Arial"/>
                <w:bCs/>
                <w:szCs w:val="21"/>
                <w:highlight w:val="none"/>
              </w:rPr>
            </w:pPr>
            <w:r>
              <w:rPr>
                <w:rFonts w:hint="eastAsia" w:ascii="Arial" w:hAnsi="Arial" w:cs="Arial"/>
                <w:bCs/>
                <w:szCs w:val="21"/>
                <w:highlight w:val="none"/>
              </w:rPr>
              <w:t>序号</w:t>
            </w:r>
          </w:p>
        </w:tc>
        <w:tc>
          <w:tcPr>
            <w:tcW w:w="3420" w:type="dxa"/>
            <w:vAlign w:val="bottom"/>
          </w:tcPr>
          <w:p>
            <w:pPr>
              <w:tabs>
                <w:tab w:val="left" w:pos="4680"/>
              </w:tabs>
              <w:spacing w:line="360" w:lineRule="auto"/>
              <w:jc w:val="center"/>
              <w:rPr>
                <w:rFonts w:ascii="Arial" w:hAnsi="Arial" w:cs="Arial"/>
                <w:bCs/>
                <w:szCs w:val="21"/>
                <w:highlight w:val="none"/>
              </w:rPr>
            </w:pPr>
            <w:r>
              <w:rPr>
                <w:rFonts w:hint="eastAsia" w:ascii="Arial" w:hAnsi="Arial" w:cs="Arial"/>
                <w:bCs/>
                <w:szCs w:val="21"/>
                <w:highlight w:val="none"/>
              </w:rPr>
              <w:t>暗标编号</w:t>
            </w:r>
          </w:p>
        </w:tc>
        <w:tc>
          <w:tcPr>
            <w:tcW w:w="4280" w:type="dxa"/>
            <w:vAlign w:val="bottom"/>
          </w:tcPr>
          <w:p>
            <w:pPr>
              <w:tabs>
                <w:tab w:val="left" w:pos="4680"/>
              </w:tabs>
              <w:spacing w:line="360" w:lineRule="auto"/>
              <w:jc w:val="center"/>
              <w:rPr>
                <w:rFonts w:ascii="Arial" w:hAnsi="Arial" w:cs="Arial"/>
                <w:bCs/>
                <w:szCs w:val="21"/>
                <w:highlight w:val="none"/>
              </w:rPr>
            </w:pPr>
            <w:r>
              <w:rPr>
                <w:rFonts w:hint="eastAsia" w:ascii="Arial" w:hAnsi="Arial" w:cs="Arial"/>
                <w:bCs/>
                <w:szCs w:val="21"/>
                <w:highlight w:val="none"/>
              </w:rPr>
              <w:t>确认的投标人名称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 w:type="dxa"/>
          </w:tcPr>
          <w:p>
            <w:pPr>
              <w:tabs>
                <w:tab w:val="left" w:pos="4680"/>
              </w:tabs>
              <w:spacing w:line="360" w:lineRule="auto"/>
              <w:rPr>
                <w:rFonts w:ascii="Arial" w:hAnsi="Arial" w:cs="Arial"/>
                <w:b/>
                <w:bCs/>
                <w:szCs w:val="21"/>
                <w:highlight w:val="none"/>
                <w:u w:val="single"/>
              </w:rPr>
            </w:pPr>
          </w:p>
        </w:tc>
        <w:tc>
          <w:tcPr>
            <w:tcW w:w="3420" w:type="dxa"/>
          </w:tcPr>
          <w:p>
            <w:pPr>
              <w:tabs>
                <w:tab w:val="left" w:pos="4680"/>
              </w:tabs>
              <w:spacing w:line="360" w:lineRule="auto"/>
              <w:rPr>
                <w:rFonts w:ascii="Arial" w:hAnsi="Arial" w:cs="Arial"/>
                <w:b/>
                <w:bCs/>
                <w:szCs w:val="21"/>
                <w:highlight w:val="none"/>
                <w:u w:val="single"/>
              </w:rPr>
            </w:pPr>
          </w:p>
        </w:tc>
        <w:tc>
          <w:tcPr>
            <w:tcW w:w="4280" w:type="dxa"/>
          </w:tcPr>
          <w:p>
            <w:pPr>
              <w:tabs>
                <w:tab w:val="left" w:pos="4680"/>
              </w:tabs>
              <w:spacing w:line="360" w:lineRule="auto"/>
              <w:rPr>
                <w:rFonts w:ascii="Arial" w:hAnsi="Arial" w:cs="Arial"/>
                <w:b/>
                <w:bCs/>
                <w:szCs w:val="21"/>
                <w:highlight w:val="none"/>
                <w:u w:val="single"/>
              </w:rPr>
            </w:pPr>
          </w:p>
        </w:tc>
      </w:tr>
    </w:tbl>
    <w:p>
      <w:pPr>
        <w:tabs>
          <w:tab w:val="left" w:pos="4680"/>
        </w:tabs>
        <w:spacing w:line="360" w:lineRule="auto"/>
        <w:rPr>
          <w:rFonts w:ascii="Arial" w:hAnsi="Arial" w:cs="Arial"/>
          <w:b/>
          <w:bCs/>
          <w:szCs w:val="21"/>
          <w:highlight w:val="none"/>
          <w:u w:val="single"/>
        </w:rPr>
      </w:pPr>
    </w:p>
    <w:p>
      <w:pPr>
        <w:tabs>
          <w:tab w:val="left" w:pos="4680"/>
        </w:tabs>
        <w:spacing w:line="360" w:lineRule="auto"/>
        <w:rPr>
          <w:rFonts w:ascii="Arial" w:hAnsi="Arial" w:cs="Arial"/>
          <w:szCs w:val="21"/>
          <w:highlight w:val="none"/>
        </w:rPr>
      </w:pPr>
      <w:r>
        <w:rPr>
          <w:rFonts w:hint="eastAsia" w:ascii="Arial" w:hAnsi="Arial" w:cs="Arial"/>
          <w:szCs w:val="21"/>
          <w:highlight w:val="none"/>
        </w:rPr>
        <w:t>评标委员会</w:t>
      </w:r>
      <w:r>
        <w:rPr>
          <w:rFonts w:ascii="Arial" w:hAnsi="Arial" w:cs="Arial"/>
          <w:szCs w:val="21"/>
          <w:highlight w:val="none"/>
        </w:rPr>
        <w:t>全体</w:t>
      </w:r>
      <w:r>
        <w:rPr>
          <w:rFonts w:hint="eastAsia" w:ascii="Arial" w:hAnsi="Arial" w:cs="Arial"/>
          <w:szCs w:val="21"/>
          <w:highlight w:val="none"/>
        </w:rPr>
        <w:t>成员</w:t>
      </w:r>
      <w:r>
        <w:rPr>
          <w:rFonts w:ascii="Arial" w:hAnsi="Arial" w:cs="Arial"/>
          <w:szCs w:val="21"/>
          <w:highlight w:val="none"/>
        </w:rPr>
        <w:t>签名</w:t>
      </w:r>
      <w:r>
        <w:rPr>
          <w:rFonts w:hint="eastAsia" w:ascii="Arial" w:hAnsi="Arial" w:cs="Arial"/>
          <w:szCs w:val="21"/>
          <w:highlight w:val="none"/>
        </w:rPr>
        <w:t xml:space="preserve">：                                          </w:t>
      </w:r>
    </w:p>
    <w:p>
      <w:pPr>
        <w:tabs>
          <w:tab w:val="left" w:pos="4680"/>
        </w:tabs>
        <w:spacing w:line="360" w:lineRule="auto"/>
        <w:rPr>
          <w:rFonts w:ascii="Arial" w:hAnsi="Arial" w:cs="Arial"/>
          <w:szCs w:val="21"/>
          <w:highlight w:val="none"/>
        </w:rPr>
      </w:pPr>
    </w:p>
    <w:p>
      <w:pPr>
        <w:tabs>
          <w:tab w:val="left" w:pos="4680"/>
        </w:tabs>
        <w:spacing w:line="360" w:lineRule="auto"/>
        <w:rPr>
          <w:rFonts w:ascii="Arial" w:hAnsi="Arial" w:cs="Arial"/>
          <w:szCs w:val="21"/>
          <w:highlight w:val="none"/>
        </w:rPr>
      </w:pPr>
    </w:p>
    <w:p>
      <w:pPr>
        <w:tabs>
          <w:tab w:val="left" w:pos="4680"/>
        </w:tabs>
        <w:spacing w:line="360" w:lineRule="auto"/>
        <w:rPr>
          <w:rFonts w:ascii="Arial" w:hAnsi="Arial" w:cs="Arial"/>
          <w:szCs w:val="21"/>
          <w:highlight w:val="none"/>
        </w:rPr>
      </w:pPr>
    </w:p>
    <w:p>
      <w:pPr>
        <w:tabs>
          <w:tab w:val="left" w:pos="4680"/>
        </w:tabs>
        <w:spacing w:line="360" w:lineRule="auto"/>
        <w:rPr>
          <w:rFonts w:ascii="Arial" w:hAnsi="Arial" w:cs="Arial"/>
          <w:szCs w:val="21"/>
          <w:highlight w:val="none"/>
        </w:rPr>
        <w:sectPr>
          <w:headerReference r:id="rId6"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linePitch="312" w:charSpace="0"/>
        </w:sectPr>
      </w:pPr>
      <w:r>
        <w:rPr>
          <w:rFonts w:ascii="Arial" w:hAnsi="Arial" w:cs="Arial"/>
          <w:szCs w:val="21"/>
          <w:highlight w:val="none"/>
        </w:rPr>
        <w:t xml:space="preserve">日期： </w:t>
      </w:r>
      <w:r>
        <w:rPr>
          <w:rFonts w:hint="eastAsia" w:ascii="Arial" w:hAnsi="Arial" w:cs="Arial"/>
          <w:szCs w:val="21"/>
          <w:highlight w:val="none"/>
        </w:rPr>
        <w:t xml:space="preserve"> </w:t>
      </w:r>
      <w:r>
        <w:rPr>
          <w:rFonts w:ascii="Arial" w:hAnsi="Arial" w:cs="Arial"/>
          <w:szCs w:val="21"/>
          <w:highlight w:val="none"/>
        </w:rPr>
        <w:t xml:space="preserve">  年    月  </w:t>
      </w:r>
      <w:r>
        <w:rPr>
          <w:rFonts w:hint="eastAsia" w:ascii="Arial" w:hAnsi="Arial" w:cs="Arial"/>
          <w:szCs w:val="21"/>
          <w:highlight w:val="none"/>
        </w:rPr>
        <w:t xml:space="preserve"> </w:t>
      </w:r>
      <w:r>
        <w:rPr>
          <w:rFonts w:ascii="Arial" w:hAnsi="Arial" w:cs="Arial"/>
          <w:szCs w:val="21"/>
          <w:highlight w:val="none"/>
        </w:rPr>
        <w:t xml:space="preserve"> </w:t>
      </w:r>
      <w:r>
        <w:rPr>
          <w:rFonts w:hint="eastAsia" w:ascii="Arial" w:hAnsi="Arial" w:cs="Arial"/>
          <w:szCs w:val="21"/>
          <w:highlight w:val="none"/>
        </w:rPr>
        <w:t>日</w:t>
      </w:r>
    </w:p>
    <w:p>
      <w:pPr>
        <w:tabs>
          <w:tab w:val="left" w:pos="4680"/>
        </w:tabs>
        <w:spacing w:after="120" w:afterLines="50" w:line="300" w:lineRule="auto"/>
        <w:rPr>
          <w:rFonts w:ascii="Arial" w:hAnsi="Arial" w:eastAsia="黑体" w:cs="Arial"/>
          <w:sz w:val="24"/>
          <w:highlight w:val="none"/>
        </w:rPr>
      </w:pPr>
      <w:r>
        <w:rPr>
          <w:rFonts w:ascii="Arial" w:hAnsi="Arial" w:eastAsia="黑体" w:cs="Arial"/>
          <w:sz w:val="24"/>
          <w:highlight w:val="none"/>
        </w:rPr>
        <w:t>附表</w:t>
      </w:r>
      <w:r>
        <w:rPr>
          <w:rFonts w:hint="eastAsia" w:ascii="Arial" w:hAnsi="Arial" w:cs="Arial"/>
          <w:b/>
          <w:bCs/>
          <w:sz w:val="24"/>
          <w:highlight w:val="none"/>
        </w:rPr>
        <w:t>A-4</w:t>
      </w:r>
      <w:r>
        <w:rPr>
          <w:rFonts w:ascii="Arial" w:hAnsi="Arial" w:cs="Arial"/>
          <w:b/>
          <w:bCs/>
          <w:sz w:val="24"/>
          <w:highlight w:val="none"/>
        </w:rPr>
        <w:t>：</w:t>
      </w:r>
      <w:r>
        <w:rPr>
          <w:rFonts w:hint="eastAsia" w:ascii="Arial" w:hAnsi="Arial" w:eastAsia="黑体" w:cs="Arial"/>
          <w:sz w:val="24"/>
          <w:highlight w:val="none"/>
        </w:rPr>
        <w:t>形式</w:t>
      </w:r>
      <w:r>
        <w:rPr>
          <w:rFonts w:ascii="Arial" w:hAnsi="Arial" w:eastAsia="黑体" w:cs="Arial"/>
          <w:sz w:val="24"/>
          <w:highlight w:val="none"/>
        </w:rPr>
        <w:t>评审记录表</w:t>
      </w:r>
    </w:p>
    <w:p>
      <w:pPr>
        <w:tabs>
          <w:tab w:val="left" w:pos="4680"/>
        </w:tabs>
        <w:spacing w:after="120" w:afterLines="50" w:line="300" w:lineRule="auto"/>
        <w:jc w:val="center"/>
        <w:rPr>
          <w:rFonts w:ascii="Arial" w:hAnsi="Arial" w:eastAsia="黑体" w:cs="Arial"/>
          <w:sz w:val="28"/>
          <w:highlight w:val="none"/>
        </w:rPr>
      </w:pPr>
      <w:r>
        <w:rPr>
          <w:rFonts w:hint="eastAsia" w:ascii="Arial" w:hAnsi="Arial" w:eastAsia="黑体" w:cs="Arial"/>
          <w:sz w:val="28"/>
          <w:szCs w:val="20"/>
          <w:highlight w:val="none"/>
        </w:rPr>
        <w:t>形式</w:t>
      </w:r>
      <w:r>
        <w:rPr>
          <w:rFonts w:ascii="Arial" w:hAnsi="Arial" w:eastAsia="黑体" w:cs="Arial"/>
          <w:sz w:val="28"/>
          <w:highlight w:val="none"/>
        </w:rPr>
        <w:t>评审记录表</w:t>
      </w:r>
    </w:p>
    <w:p>
      <w:pPr>
        <w:tabs>
          <w:tab w:val="left" w:pos="4680"/>
        </w:tabs>
        <w:spacing w:after="120" w:afterLines="50" w:line="300" w:lineRule="auto"/>
        <w:rPr>
          <w:rFonts w:ascii="Arial" w:hAnsi="Arial" w:cs="Arial"/>
          <w:bCs/>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r>
        <w:rPr>
          <w:rFonts w:hint="eastAsia" w:ascii="Arial" w:hAnsi="Arial" w:cs="Arial"/>
          <w:bCs/>
          <w:szCs w:val="21"/>
          <w:highlight w:val="non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96"/>
        <w:gridCol w:w="2161"/>
        <w:gridCol w:w="2416"/>
        <w:gridCol w:w="1209"/>
        <w:gridCol w:w="1208"/>
        <w:gridCol w:w="1209"/>
        <w:gridCol w:w="1209"/>
        <w:gridCol w:w="1211"/>
        <w:gridCol w:w="1210"/>
        <w:gridCol w:w="120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8" w:hRule="atLeast"/>
        </w:trPr>
        <w:tc>
          <w:tcPr>
            <w:tcW w:w="896"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2161"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评审</w:t>
            </w:r>
            <w:r>
              <w:rPr>
                <w:rFonts w:hint="eastAsia" w:ascii="Arial" w:hAnsi="Arial" w:cs="Arial"/>
                <w:szCs w:val="21"/>
                <w:highlight w:val="none"/>
              </w:rPr>
              <w:t>因素</w:t>
            </w:r>
          </w:p>
        </w:tc>
        <w:tc>
          <w:tcPr>
            <w:tcW w:w="2416" w:type="dxa"/>
            <w:vMerge w:val="restart"/>
            <w:tcBorders>
              <w:top w:val="single" w:color="auto" w:sz="4" w:space="0"/>
              <w:left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评审标准</w:t>
            </w:r>
          </w:p>
        </w:tc>
        <w:tc>
          <w:tcPr>
            <w:tcW w:w="8465" w:type="dxa"/>
            <w:gridSpan w:val="7"/>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ascii="Arial" w:hAnsi="Arial" w:cs="Arial"/>
                <w:szCs w:val="21"/>
                <w:highlight w:val="none"/>
              </w:rPr>
              <w:t>投标人名称及评审意见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Pr>
        <w:tc>
          <w:tcPr>
            <w:tcW w:w="896"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161"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416" w:type="dxa"/>
            <w:vMerge w:val="continue"/>
            <w:tcBorders>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nil"/>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投标人名称</w:t>
            </w:r>
          </w:p>
        </w:tc>
        <w:tc>
          <w:tcPr>
            <w:tcW w:w="241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与营业执照、资质证书</w:t>
            </w:r>
            <w:r>
              <w:rPr>
                <w:rFonts w:hint="eastAsia"/>
                <w:szCs w:val="21"/>
                <w:highlight w:val="none"/>
              </w:rPr>
              <w:t>、安全生产许可证</w:t>
            </w:r>
            <w:r>
              <w:rPr>
                <w:szCs w:val="21"/>
                <w:highlight w:val="none"/>
              </w:rPr>
              <w:t>一致</w:t>
            </w: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r>
              <w:rPr>
                <w:rFonts w:hint="eastAsia" w:ascii="Arial" w:hAnsi="Arial" w:cs="Arial"/>
                <w:szCs w:val="21"/>
                <w:highlight w:val="none"/>
              </w:rPr>
              <w:t>2</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投标函签字盖章</w:t>
            </w:r>
          </w:p>
        </w:tc>
        <w:tc>
          <w:tcPr>
            <w:tcW w:w="241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有法定代表人或其委托代理人签字</w:t>
            </w:r>
            <w:r>
              <w:rPr>
                <w:rFonts w:hint="eastAsia"/>
                <w:szCs w:val="21"/>
                <w:highlight w:val="none"/>
              </w:rPr>
              <w:t>并</w:t>
            </w:r>
            <w:r>
              <w:rPr>
                <w:szCs w:val="21"/>
                <w:highlight w:val="none"/>
              </w:rPr>
              <w:t>加盖单位章</w:t>
            </w: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r>
              <w:rPr>
                <w:rFonts w:hint="eastAsia" w:ascii="Arial" w:hAnsi="Arial" w:cs="Arial"/>
                <w:szCs w:val="21"/>
                <w:highlight w:val="none"/>
              </w:rPr>
              <w:t>3</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投标文件格式</w:t>
            </w:r>
          </w:p>
        </w:tc>
        <w:tc>
          <w:tcPr>
            <w:tcW w:w="241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符合第八章“投标文件格式”的要求</w:t>
            </w: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r>
              <w:rPr>
                <w:rFonts w:hint="eastAsia" w:ascii="Arial" w:hAnsi="Arial" w:cs="Arial"/>
                <w:szCs w:val="21"/>
                <w:highlight w:val="none"/>
              </w:rPr>
              <w:t>4</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报价唯一</w:t>
            </w:r>
          </w:p>
        </w:tc>
        <w:tc>
          <w:tcPr>
            <w:tcW w:w="241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只能有一个有效报价</w:t>
            </w: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5473" w:type="dxa"/>
            <w:gridSpan w:val="3"/>
            <w:tcBorders>
              <w:top w:val="single" w:color="auto" w:sz="4" w:space="0"/>
              <w:left w:val="single" w:color="auto" w:sz="4" w:space="0"/>
              <w:bottom w:val="single" w:color="auto" w:sz="4" w:space="0"/>
              <w:right w:val="single" w:color="auto" w:sz="4" w:space="0"/>
            </w:tcBorders>
          </w:tcPr>
          <w:p>
            <w:pPr>
              <w:spacing w:before="60" w:beforeLines="25" w:after="60" w:afterLines="25"/>
              <w:jc w:val="left"/>
              <w:rPr>
                <w:rFonts w:ascii="Arial" w:hAnsi="Arial" w:cs="Arial"/>
                <w:szCs w:val="21"/>
                <w:highlight w:val="none"/>
              </w:rPr>
            </w:pPr>
            <w:r>
              <w:rPr>
                <w:rFonts w:hint="eastAsia" w:ascii="Arial" w:hAnsi="Arial" w:cs="Arial"/>
                <w:szCs w:val="21"/>
                <w:highlight w:val="none"/>
              </w:rPr>
              <w:t>形式评审结论：</w:t>
            </w:r>
          </w:p>
          <w:p>
            <w:pPr>
              <w:spacing w:before="60" w:beforeLines="25" w:after="60" w:afterLines="25"/>
              <w:jc w:val="left"/>
              <w:rPr>
                <w:rFonts w:ascii="Arial" w:hAnsi="Arial" w:cs="Arial"/>
                <w:szCs w:val="21"/>
                <w:highlight w:val="none"/>
              </w:rPr>
            </w:pPr>
            <w:r>
              <w:rPr>
                <w:rFonts w:hint="eastAsia" w:ascii="Arial" w:hAnsi="Arial" w:cs="Arial"/>
                <w:szCs w:val="21"/>
                <w:highlight w:val="none"/>
              </w:rPr>
              <w:t>通过形式评审标注为√；未通过形式评审标注为×</w:t>
            </w:r>
            <w:r>
              <w:rPr>
                <w:rFonts w:hint="eastAsia" w:ascii="Arial" w:hAnsi="Arial" w:cs="Arial"/>
                <w:szCs w:val="21"/>
                <w:highlight w:val="none"/>
              </w:rPr>
              <w:tab/>
            </w: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1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2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bl>
    <w:p>
      <w:pPr>
        <w:rPr>
          <w:rFonts w:ascii="Arial" w:hAnsi="Arial" w:cs="Arial"/>
          <w:szCs w:val="21"/>
          <w:highlight w:val="none"/>
        </w:rPr>
      </w:pPr>
    </w:p>
    <w:p>
      <w:pPr>
        <w:rPr>
          <w:rFonts w:ascii="Arial" w:hAnsi="Arial" w:cs="Arial"/>
          <w:szCs w:val="21"/>
          <w:highlight w:val="none"/>
        </w:rPr>
      </w:pPr>
      <w:r>
        <w:rPr>
          <w:rFonts w:hint="eastAsia" w:ascii="Arial" w:hAnsi="Arial" w:cs="Arial"/>
          <w:szCs w:val="21"/>
          <w:highlight w:val="none"/>
        </w:rPr>
        <w:t>评标委员会</w:t>
      </w:r>
      <w:r>
        <w:rPr>
          <w:rFonts w:ascii="Arial" w:hAnsi="Arial" w:cs="Arial"/>
          <w:szCs w:val="21"/>
          <w:highlight w:val="none"/>
        </w:rPr>
        <w:t>全体</w:t>
      </w:r>
      <w:r>
        <w:rPr>
          <w:rFonts w:hint="eastAsia" w:ascii="Arial" w:hAnsi="Arial" w:cs="Arial"/>
          <w:szCs w:val="21"/>
          <w:highlight w:val="none"/>
        </w:rPr>
        <w:t>成员</w:t>
      </w:r>
      <w:r>
        <w:rPr>
          <w:rFonts w:ascii="Arial" w:hAnsi="Arial" w:cs="Arial"/>
          <w:szCs w:val="21"/>
          <w:highlight w:val="none"/>
        </w:rPr>
        <w:t xml:space="preserve">签名：                                                               </w:t>
      </w:r>
      <w:r>
        <w:rPr>
          <w:rFonts w:hint="eastAsia" w:ascii="Arial" w:hAnsi="Arial" w:cs="Arial"/>
          <w:szCs w:val="21"/>
          <w:highlight w:val="none"/>
        </w:rPr>
        <w:t xml:space="preserve">                  </w:t>
      </w:r>
      <w:r>
        <w:rPr>
          <w:rFonts w:ascii="Arial" w:hAnsi="Arial" w:cs="Arial"/>
          <w:szCs w:val="21"/>
          <w:highlight w:val="none"/>
        </w:rPr>
        <w:t xml:space="preserve">  日期：   年    月   日</w:t>
      </w:r>
    </w:p>
    <w:p>
      <w:pPr>
        <w:tabs>
          <w:tab w:val="left" w:pos="4680"/>
        </w:tabs>
        <w:spacing w:after="120" w:afterLines="50" w:line="300" w:lineRule="auto"/>
        <w:rPr>
          <w:rFonts w:ascii="Arial" w:hAnsi="Arial" w:cs="Arial"/>
          <w:szCs w:val="21"/>
          <w:highlight w:val="none"/>
        </w:rPr>
      </w:pPr>
    </w:p>
    <w:p>
      <w:pPr>
        <w:tabs>
          <w:tab w:val="left" w:pos="4680"/>
        </w:tabs>
        <w:spacing w:after="120" w:afterLines="50" w:line="300" w:lineRule="auto"/>
        <w:rPr>
          <w:rFonts w:ascii="Arial" w:hAnsi="Arial" w:cs="Arial"/>
          <w:szCs w:val="21"/>
          <w:highlight w:val="none"/>
        </w:rPr>
      </w:pPr>
    </w:p>
    <w:p>
      <w:pPr>
        <w:tabs>
          <w:tab w:val="left" w:pos="4680"/>
        </w:tabs>
        <w:spacing w:after="120" w:afterLines="50" w:line="300" w:lineRule="auto"/>
        <w:rPr>
          <w:rFonts w:ascii="Arial" w:hAnsi="Arial" w:cs="Arial"/>
          <w:szCs w:val="21"/>
          <w:highlight w:val="none"/>
        </w:rPr>
      </w:pPr>
    </w:p>
    <w:p>
      <w:pPr>
        <w:tabs>
          <w:tab w:val="left" w:pos="4680"/>
        </w:tabs>
        <w:spacing w:after="120" w:afterLines="50" w:line="300" w:lineRule="auto"/>
        <w:rPr>
          <w:rFonts w:ascii="Arial" w:hAnsi="Arial" w:cs="Arial"/>
          <w:szCs w:val="21"/>
          <w:highlight w:val="none"/>
        </w:rPr>
      </w:pPr>
    </w:p>
    <w:p>
      <w:pPr>
        <w:tabs>
          <w:tab w:val="left" w:pos="4680"/>
        </w:tabs>
        <w:spacing w:after="120" w:afterLines="50" w:line="300" w:lineRule="auto"/>
        <w:rPr>
          <w:rFonts w:ascii="Arial" w:hAnsi="Arial" w:eastAsia="黑体" w:cs="Arial"/>
          <w:sz w:val="24"/>
          <w:highlight w:val="none"/>
        </w:rPr>
      </w:pPr>
    </w:p>
    <w:p>
      <w:pPr>
        <w:tabs>
          <w:tab w:val="left" w:pos="4680"/>
        </w:tabs>
        <w:spacing w:after="120" w:afterLines="50" w:line="300" w:lineRule="auto"/>
        <w:rPr>
          <w:rFonts w:ascii="Arial" w:hAnsi="Arial" w:eastAsia="黑体" w:cs="Arial"/>
          <w:sz w:val="24"/>
          <w:highlight w:val="none"/>
        </w:rPr>
      </w:pPr>
      <w:r>
        <w:rPr>
          <w:rFonts w:ascii="Arial" w:hAnsi="Arial" w:eastAsia="黑体" w:cs="Arial"/>
          <w:sz w:val="24"/>
          <w:highlight w:val="none"/>
        </w:rPr>
        <w:t>附表</w:t>
      </w:r>
      <w:r>
        <w:rPr>
          <w:rFonts w:hint="eastAsia" w:ascii="Arial" w:hAnsi="Arial" w:cs="Arial"/>
          <w:b/>
          <w:bCs/>
          <w:sz w:val="24"/>
          <w:highlight w:val="none"/>
        </w:rPr>
        <w:t>A-5</w:t>
      </w:r>
      <w:r>
        <w:rPr>
          <w:rFonts w:ascii="Arial" w:hAnsi="Arial" w:cs="Arial"/>
          <w:b/>
          <w:bCs/>
          <w:sz w:val="24"/>
          <w:highlight w:val="none"/>
        </w:rPr>
        <w:t>：</w:t>
      </w:r>
      <w:r>
        <w:rPr>
          <w:rFonts w:hint="eastAsia" w:ascii="Arial" w:hAnsi="Arial" w:eastAsia="黑体" w:cs="Arial"/>
          <w:sz w:val="24"/>
          <w:highlight w:val="none"/>
        </w:rPr>
        <w:t>资格审查</w:t>
      </w:r>
      <w:r>
        <w:rPr>
          <w:rFonts w:ascii="Arial" w:hAnsi="Arial" w:eastAsia="黑体" w:cs="Arial"/>
          <w:sz w:val="24"/>
          <w:highlight w:val="none"/>
        </w:rPr>
        <w:t>记录表</w:t>
      </w:r>
    </w:p>
    <w:p>
      <w:pPr>
        <w:tabs>
          <w:tab w:val="left" w:pos="4680"/>
        </w:tabs>
        <w:spacing w:after="120" w:afterLines="50" w:line="300" w:lineRule="auto"/>
        <w:jc w:val="center"/>
        <w:rPr>
          <w:rFonts w:ascii="Arial" w:hAnsi="Arial" w:eastAsia="黑体" w:cs="Arial"/>
          <w:sz w:val="28"/>
          <w:szCs w:val="28"/>
          <w:highlight w:val="none"/>
        </w:rPr>
      </w:pPr>
      <w:r>
        <w:rPr>
          <w:rFonts w:hint="eastAsia" w:ascii="Arial" w:hAnsi="Arial" w:eastAsia="黑体" w:cs="Arial"/>
          <w:sz w:val="28"/>
          <w:szCs w:val="28"/>
          <w:highlight w:val="none"/>
        </w:rPr>
        <w:t>资格审查</w:t>
      </w:r>
      <w:r>
        <w:rPr>
          <w:rFonts w:ascii="Arial" w:hAnsi="Arial" w:eastAsia="黑体" w:cs="Arial"/>
          <w:sz w:val="28"/>
          <w:szCs w:val="28"/>
          <w:highlight w:val="none"/>
        </w:rPr>
        <w:t>评审记录表</w:t>
      </w:r>
    </w:p>
    <w:p>
      <w:pPr>
        <w:tabs>
          <w:tab w:val="left" w:pos="4680"/>
        </w:tabs>
        <w:spacing w:after="120" w:afterLines="50" w:line="300" w:lineRule="auto"/>
        <w:rPr>
          <w:rFonts w:ascii="Arial" w:hAnsi="Arial" w:cs="Arial"/>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14497"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09"/>
        <w:gridCol w:w="2268"/>
        <w:gridCol w:w="6003"/>
        <w:gridCol w:w="697"/>
        <w:gridCol w:w="709"/>
        <w:gridCol w:w="709"/>
        <w:gridCol w:w="709"/>
        <w:gridCol w:w="992"/>
        <w:gridCol w:w="850"/>
        <w:gridCol w:w="85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709"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2268"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资格审查更新资料</w:t>
            </w:r>
          </w:p>
        </w:tc>
        <w:tc>
          <w:tcPr>
            <w:tcW w:w="6003" w:type="dxa"/>
            <w:vMerge w:val="restart"/>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评审合格标准</w:t>
            </w:r>
          </w:p>
          <w:p>
            <w:pPr>
              <w:widowControl/>
              <w:jc w:val="center"/>
              <w:rPr>
                <w:rFonts w:ascii="Arial" w:hAnsi="Arial" w:cs="Arial"/>
                <w:szCs w:val="21"/>
                <w:highlight w:val="none"/>
              </w:rPr>
            </w:pPr>
          </w:p>
        </w:tc>
        <w:tc>
          <w:tcPr>
            <w:tcW w:w="5517" w:type="dxa"/>
            <w:gridSpan w:val="7"/>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ascii="Arial" w:hAnsi="Arial" w:cs="Arial"/>
                <w:szCs w:val="21"/>
                <w:highlight w:val="none"/>
              </w:rPr>
              <w:t>投标人名称及评审意见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02" w:hRule="atLeast"/>
        </w:trPr>
        <w:tc>
          <w:tcPr>
            <w:tcW w:w="709"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268"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003"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697"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nil"/>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w:t>
            </w:r>
          </w:p>
        </w:tc>
        <w:tc>
          <w:tcPr>
            <w:tcW w:w="2268" w:type="dxa"/>
            <w:tcBorders>
              <w:top w:val="single" w:color="auto" w:sz="4" w:space="0"/>
              <w:left w:val="single" w:color="auto" w:sz="4" w:space="0"/>
              <w:right w:val="single" w:color="auto" w:sz="4" w:space="0"/>
            </w:tcBorders>
            <w:vAlign w:val="center"/>
          </w:tcPr>
          <w:p>
            <w:pPr>
              <w:spacing w:line="440" w:lineRule="exact"/>
              <w:jc w:val="center"/>
              <w:rPr>
                <w:color w:val="000000"/>
                <w:highlight w:val="none"/>
              </w:rPr>
            </w:pPr>
            <w:r>
              <w:rPr>
                <w:rFonts w:hint="eastAsia"/>
                <w:highlight w:val="none"/>
              </w:rPr>
              <w:t>营业执照</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rPr>
            </w:pPr>
            <w:r>
              <w:rPr>
                <w:rFonts w:hint="eastAsia" w:ascii="宋体" w:hAnsi="宋体"/>
                <w:highlight w:val="none"/>
              </w:rPr>
              <w:t>有效的营业执照</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hint="eastAsia" w:ascii="Arial" w:hAnsi="Arial" w:eastAsia="宋体" w:cs="Arial"/>
                <w:szCs w:val="21"/>
                <w:highlight w:val="none"/>
                <w:lang w:eastAsia="zh-CN"/>
              </w:rPr>
            </w:pPr>
            <w:r>
              <w:rPr>
                <w:rFonts w:hint="eastAsia" w:ascii="Arial" w:hAnsi="Arial" w:cs="Arial"/>
                <w:szCs w:val="21"/>
                <w:highlight w:val="none"/>
                <w:lang w:val="en-US" w:eastAsia="zh-CN"/>
              </w:rPr>
              <w:t>2</w:t>
            </w:r>
          </w:p>
        </w:tc>
        <w:tc>
          <w:tcPr>
            <w:tcW w:w="2268" w:type="dxa"/>
            <w:tcBorders>
              <w:top w:val="single" w:color="auto" w:sz="4" w:space="0"/>
              <w:left w:val="single" w:color="auto" w:sz="4" w:space="0"/>
              <w:right w:val="single" w:color="auto" w:sz="4" w:space="0"/>
            </w:tcBorders>
            <w:vAlign w:val="center"/>
          </w:tcPr>
          <w:p>
            <w:pPr>
              <w:spacing w:line="440" w:lineRule="exact"/>
              <w:jc w:val="center"/>
              <w:rPr>
                <w:highlight w:val="none"/>
              </w:rPr>
            </w:pPr>
            <w:r>
              <w:rPr>
                <w:rFonts w:hint="eastAsia"/>
                <w:highlight w:val="none"/>
              </w:rPr>
              <w:t>资质等级</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rPr>
            </w:pPr>
            <w:r>
              <w:rPr>
                <w:rFonts w:hint="eastAsia" w:ascii="宋体" w:hAnsi="宋体"/>
                <w:highlight w:val="none"/>
              </w:rPr>
              <w:t>符合招标文件要求（提供相关证明材料</w:t>
            </w:r>
            <w:r>
              <w:rPr>
                <w:rFonts w:ascii="宋体" w:hAnsi="宋体"/>
                <w:highlight w:val="none"/>
              </w:rPr>
              <w:t>）</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hint="eastAsia" w:ascii="Arial" w:hAnsi="Arial" w:eastAsia="宋体" w:cs="Arial"/>
                <w:szCs w:val="21"/>
                <w:highlight w:val="none"/>
                <w:lang w:eastAsia="zh-CN"/>
              </w:rPr>
            </w:pPr>
            <w:r>
              <w:rPr>
                <w:rFonts w:hint="eastAsia" w:ascii="Arial" w:hAnsi="Arial" w:cs="Arial"/>
                <w:szCs w:val="21"/>
                <w:highlight w:val="none"/>
                <w:lang w:val="en-US" w:eastAsia="zh-CN"/>
              </w:rPr>
              <w:t>3</w:t>
            </w:r>
          </w:p>
        </w:tc>
        <w:tc>
          <w:tcPr>
            <w:tcW w:w="2268" w:type="dxa"/>
            <w:tcBorders>
              <w:top w:val="single" w:color="auto" w:sz="4" w:space="0"/>
              <w:left w:val="single" w:color="auto" w:sz="4" w:space="0"/>
              <w:right w:val="single" w:color="auto" w:sz="4" w:space="0"/>
            </w:tcBorders>
            <w:vAlign w:val="center"/>
          </w:tcPr>
          <w:p>
            <w:pPr>
              <w:spacing w:line="440" w:lineRule="exact"/>
              <w:jc w:val="center"/>
              <w:rPr>
                <w:highlight w:val="none"/>
              </w:rPr>
            </w:pPr>
            <w:r>
              <w:rPr>
                <w:rFonts w:hint="eastAsia"/>
                <w:highlight w:val="none"/>
              </w:rPr>
              <w:t>财务状况</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rPr>
            </w:pPr>
            <w:r>
              <w:rPr>
                <w:rFonts w:hint="eastAsia" w:ascii="宋体" w:hAnsi="宋体"/>
                <w:highlight w:val="none"/>
              </w:rPr>
              <w:t>近三年不亏损。</w:t>
            </w:r>
            <w:r>
              <w:rPr>
                <w:rFonts w:hint="eastAsia" w:ascii="宋体" w:hAnsi="宋体"/>
                <w:highlight w:val="none"/>
                <w:lang w:val="en-US" w:eastAsia="zh-CN"/>
              </w:rPr>
              <w:t>按前附表要求</w:t>
            </w:r>
            <w:r>
              <w:rPr>
                <w:rFonts w:hint="eastAsia" w:ascii="宋体" w:hAnsi="宋体"/>
                <w:highlight w:val="none"/>
              </w:rPr>
              <w:t>提供近</w:t>
            </w:r>
            <w:r>
              <w:rPr>
                <w:rFonts w:hint="eastAsia" w:ascii="宋体" w:hAnsi="宋体"/>
                <w:highlight w:val="none"/>
                <w:lang w:val="en-US" w:eastAsia="zh-CN"/>
              </w:rPr>
              <w:t>三</w:t>
            </w:r>
            <w:r>
              <w:rPr>
                <w:rFonts w:hint="eastAsia" w:ascii="宋体" w:hAnsi="宋体"/>
                <w:highlight w:val="none"/>
              </w:rPr>
              <w:t>年财务</w:t>
            </w:r>
            <w:r>
              <w:rPr>
                <w:rFonts w:hint="eastAsia" w:ascii="宋体" w:hAnsi="宋体"/>
                <w:highlight w:val="none"/>
                <w:lang w:val="en-US" w:eastAsia="zh-CN"/>
              </w:rPr>
              <w:t>相关</w:t>
            </w:r>
            <w:r>
              <w:rPr>
                <w:rFonts w:hint="eastAsia" w:ascii="宋体" w:hAnsi="宋体"/>
                <w:highlight w:val="none"/>
              </w:rPr>
              <w:t>报表。</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hint="eastAsia" w:ascii="Arial" w:hAnsi="Arial" w:eastAsia="宋体" w:cs="Arial"/>
                <w:szCs w:val="21"/>
                <w:highlight w:val="none"/>
                <w:lang w:val="en-US" w:eastAsia="zh-CN"/>
              </w:rPr>
            </w:pPr>
            <w:r>
              <w:rPr>
                <w:rFonts w:hint="eastAsia" w:ascii="Arial" w:hAnsi="Arial" w:cs="Arial"/>
                <w:szCs w:val="21"/>
                <w:highlight w:val="none"/>
                <w:lang w:val="en-US" w:eastAsia="zh-CN"/>
              </w:rPr>
              <w:t>4</w:t>
            </w:r>
          </w:p>
        </w:tc>
        <w:tc>
          <w:tcPr>
            <w:tcW w:w="2268" w:type="dxa"/>
            <w:tcBorders>
              <w:top w:val="single" w:color="auto" w:sz="4" w:space="0"/>
              <w:left w:val="single" w:color="auto" w:sz="4" w:space="0"/>
              <w:right w:val="single" w:color="auto" w:sz="4" w:space="0"/>
            </w:tcBorders>
            <w:vAlign w:val="center"/>
          </w:tcPr>
          <w:p>
            <w:pPr>
              <w:spacing w:line="440" w:lineRule="exact"/>
              <w:jc w:val="center"/>
              <w:rPr>
                <w:highlight w:val="none"/>
              </w:rPr>
            </w:pPr>
            <w:r>
              <w:rPr>
                <w:rFonts w:hint="eastAsia"/>
                <w:highlight w:val="none"/>
              </w:rPr>
              <w:t>类似项目业绩</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rPr>
            </w:pPr>
            <w:r>
              <w:rPr>
                <w:rFonts w:hint="eastAsia" w:ascii="宋体" w:hAnsi="宋体"/>
                <w:highlight w:val="none"/>
                <w:lang w:val="en-US" w:eastAsia="zh-CN"/>
              </w:rPr>
              <w:t>按前附表要求</w:t>
            </w:r>
            <w:r>
              <w:rPr>
                <w:rFonts w:hint="eastAsia" w:ascii="宋体" w:hAnsi="宋体"/>
                <w:highlight w:val="none"/>
              </w:rPr>
              <w:t>提供业绩</w:t>
            </w:r>
            <w:r>
              <w:rPr>
                <w:rFonts w:hint="eastAsia" w:ascii="宋体" w:hAnsi="宋体"/>
                <w:highlight w:val="none"/>
                <w:lang w:val="en-US" w:eastAsia="zh-CN"/>
              </w:rPr>
              <w:t>相关</w:t>
            </w:r>
            <w:r>
              <w:rPr>
                <w:rFonts w:hint="eastAsia" w:ascii="宋体" w:hAnsi="宋体"/>
                <w:highlight w:val="none"/>
              </w:rPr>
              <w:t>有效证明文件</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hint="eastAsia" w:ascii="Arial" w:hAnsi="Arial" w:eastAsia="宋体" w:cs="Arial"/>
                <w:szCs w:val="21"/>
                <w:highlight w:val="none"/>
                <w:lang w:eastAsia="zh-CN"/>
              </w:rPr>
            </w:pPr>
            <w:r>
              <w:rPr>
                <w:rFonts w:hint="eastAsia" w:ascii="Arial" w:hAnsi="Arial" w:cs="Arial"/>
                <w:szCs w:val="21"/>
                <w:highlight w:val="none"/>
                <w:lang w:val="en-US" w:eastAsia="zh-CN"/>
              </w:rPr>
              <w:t>5</w:t>
            </w:r>
          </w:p>
        </w:tc>
        <w:tc>
          <w:tcPr>
            <w:tcW w:w="2268" w:type="dxa"/>
            <w:tcBorders>
              <w:top w:val="single" w:color="auto" w:sz="4" w:space="0"/>
              <w:left w:val="single" w:color="auto" w:sz="4" w:space="0"/>
              <w:right w:val="single" w:color="auto" w:sz="4" w:space="0"/>
            </w:tcBorders>
            <w:vAlign w:val="center"/>
          </w:tcPr>
          <w:p>
            <w:pPr>
              <w:spacing w:line="440" w:lineRule="exact"/>
              <w:jc w:val="center"/>
              <w:rPr>
                <w:highlight w:val="none"/>
              </w:rPr>
            </w:pPr>
            <w:r>
              <w:rPr>
                <w:rFonts w:hint="eastAsia"/>
                <w:highlight w:val="none"/>
              </w:rPr>
              <w:t>信誉</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rPr>
            </w:pPr>
            <w:r>
              <w:rPr>
                <w:rFonts w:hint="eastAsia" w:ascii="宋体" w:hAnsi="宋体"/>
                <w:highlight w:val="none"/>
              </w:rPr>
              <w:t>提供信用中国非失信被执行人</w:t>
            </w:r>
            <w:r>
              <w:rPr>
                <w:rFonts w:hint="eastAsia" w:ascii="宋体" w:hAnsi="宋体"/>
                <w:highlight w:val="none"/>
                <w:lang w:val="en-US" w:eastAsia="zh-CN"/>
              </w:rPr>
              <w:t>以及裁判文书网无行贿犯罪记录的</w:t>
            </w:r>
            <w:r>
              <w:rPr>
                <w:rFonts w:hint="eastAsia" w:ascii="宋体" w:hAnsi="宋体"/>
                <w:highlight w:val="none"/>
              </w:rPr>
              <w:t>查询截图</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hint="eastAsia" w:ascii="Arial" w:hAnsi="Arial" w:eastAsia="宋体" w:cs="Arial"/>
                <w:szCs w:val="21"/>
                <w:highlight w:val="none"/>
                <w:lang w:eastAsia="zh-CN"/>
              </w:rPr>
            </w:pPr>
            <w:r>
              <w:rPr>
                <w:rFonts w:hint="eastAsia" w:ascii="Arial" w:hAnsi="Arial" w:cs="Arial"/>
                <w:szCs w:val="21"/>
                <w:highlight w:val="none"/>
                <w:lang w:val="en-US" w:eastAsia="zh-CN"/>
              </w:rPr>
              <w:t>6</w:t>
            </w:r>
          </w:p>
        </w:tc>
        <w:tc>
          <w:tcPr>
            <w:tcW w:w="2268" w:type="dxa"/>
            <w:vMerge w:val="restart"/>
            <w:tcBorders>
              <w:top w:val="single" w:color="auto" w:sz="4" w:space="0"/>
              <w:left w:val="single" w:color="auto" w:sz="4" w:space="0"/>
              <w:right w:val="single" w:color="auto" w:sz="4" w:space="0"/>
            </w:tcBorders>
            <w:vAlign w:val="center"/>
          </w:tcPr>
          <w:p>
            <w:pPr>
              <w:spacing w:line="440" w:lineRule="exact"/>
              <w:jc w:val="center"/>
              <w:rPr>
                <w:highlight w:val="none"/>
              </w:rPr>
            </w:pPr>
            <w:r>
              <w:rPr>
                <w:rFonts w:hint="eastAsia"/>
                <w:highlight w:val="none"/>
              </w:rPr>
              <w:t>项目经理</w:t>
            </w: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ascii="宋体" w:hAnsi="宋体"/>
                <w:highlight w:val="none"/>
                <w:u w:val="single"/>
              </w:rPr>
            </w:pPr>
            <w:r>
              <w:rPr>
                <w:rFonts w:hint="eastAsia" w:ascii="宋体" w:hAnsi="宋体"/>
                <w:highlight w:val="none"/>
              </w:rPr>
              <w:t>提供相关证明材料</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09" w:type="dxa"/>
            <w:vMerge w:val="continue"/>
            <w:tcBorders>
              <w:left w:val="single" w:color="auto" w:sz="4" w:space="0"/>
              <w:right w:val="single" w:color="auto" w:sz="4" w:space="0"/>
            </w:tcBorders>
            <w:vAlign w:val="center"/>
          </w:tcPr>
          <w:p>
            <w:pPr>
              <w:spacing w:before="60" w:beforeLines="25" w:after="60" w:afterLines="25"/>
              <w:jc w:val="center"/>
              <w:rPr>
                <w:rFonts w:hint="eastAsia" w:ascii="Arial" w:hAnsi="Arial" w:cs="Arial"/>
                <w:szCs w:val="21"/>
                <w:highlight w:val="none"/>
              </w:rPr>
            </w:pPr>
          </w:p>
        </w:tc>
        <w:tc>
          <w:tcPr>
            <w:tcW w:w="2268" w:type="dxa"/>
            <w:vMerge w:val="continue"/>
            <w:tcBorders>
              <w:left w:val="single" w:color="auto" w:sz="4" w:space="0"/>
              <w:right w:val="single" w:color="auto" w:sz="4" w:space="0"/>
            </w:tcBorders>
            <w:vAlign w:val="center"/>
          </w:tcPr>
          <w:p>
            <w:pPr>
              <w:spacing w:line="440" w:lineRule="exact"/>
              <w:jc w:val="center"/>
              <w:rPr>
                <w:rFonts w:hint="eastAsia"/>
                <w:highlight w:val="none"/>
              </w:rPr>
            </w:pPr>
          </w:p>
        </w:tc>
        <w:tc>
          <w:tcPr>
            <w:tcW w:w="6003" w:type="dxa"/>
            <w:tcBorders>
              <w:top w:val="single" w:color="auto" w:sz="4" w:space="0"/>
              <w:left w:val="single" w:color="auto" w:sz="4" w:space="0"/>
              <w:bottom w:val="single" w:color="auto" w:sz="4" w:space="0"/>
              <w:right w:val="single" w:color="auto" w:sz="4" w:space="0"/>
            </w:tcBorders>
            <w:vAlign w:val="center"/>
          </w:tcPr>
          <w:p>
            <w:pPr>
              <w:pStyle w:val="269"/>
              <w:jc w:val="left"/>
              <w:rPr>
                <w:rFonts w:hint="eastAsia" w:ascii="宋体" w:hAnsi="宋体"/>
                <w:highlight w:val="none"/>
              </w:rPr>
            </w:pPr>
            <w:r>
              <w:rPr>
                <w:rFonts w:hint="eastAsia" w:ascii="宋体" w:hAnsi="宋体"/>
                <w:highlight w:val="none"/>
              </w:rPr>
              <w:t>承诺函</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80" w:type="dxa"/>
            <w:gridSpan w:val="3"/>
            <w:tcBorders>
              <w:top w:val="single" w:color="auto" w:sz="4" w:space="0"/>
              <w:left w:val="single" w:color="auto" w:sz="4" w:space="0"/>
              <w:right w:val="single" w:color="auto" w:sz="4" w:space="0"/>
            </w:tcBorders>
            <w:vAlign w:val="center"/>
          </w:tcPr>
          <w:p>
            <w:pPr>
              <w:pStyle w:val="269"/>
              <w:ind w:firstLine="3150" w:firstLineChars="1500"/>
              <w:jc w:val="left"/>
              <w:rPr>
                <w:rFonts w:ascii="宋体" w:hAnsi="宋体"/>
                <w:highlight w:val="none"/>
              </w:rPr>
            </w:pPr>
            <w:r>
              <w:rPr>
                <w:rFonts w:hint="eastAsia"/>
                <w:highlight w:val="none"/>
              </w:rPr>
              <w:t>是否通过评审</w:t>
            </w:r>
          </w:p>
        </w:tc>
        <w:tc>
          <w:tcPr>
            <w:tcW w:w="697" w:type="dxa"/>
            <w:tcBorders>
              <w:top w:val="single" w:color="auto" w:sz="4" w:space="0"/>
              <w:left w:val="single" w:color="auto" w:sz="4" w:space="0"/>
              <w:bottom w:val="single" w:color="auto" w:sz="4" w:space="0"/>
              <w:right w:val="single" w:color="auto" w:sz="4" w:space="0"/>
            </w:tcBorders>
          </w:tcPr>
          <w:p>
            <w:pPr>
              <w:pStyle w:val="269"/>
              <w:rPr>
                <w:rFonts w:ascii="Arial" w:hAnsi="Arial" w:cs="Arial"/>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80" w:type="dxa"/>
            <w:gridSpan w:val="3"/>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b/>
                <w:szCs w:val="21"/>
                <w:highlight w:val="none"/>
              </w:rPr>
            </w:pPr>
            <w:r>
              <w:rPr>
                <w:rFonts w:hint="eastAsia" w:ascii="Arial" w:hAnsi="Arial" w:cs="Arial"/>
                <w:b/>
                <w:szCs w:val="21"/>
                <w:highlight w:val="none"/>
              </w:rPr>
              <w:t>资格审查更新资料</w:t>
            </w:r>
            <w:r>
              <w:rPr>
                <w:rFonts w:ascii="Arial" w:hAnsi="Arial" w:cs="Arial"/>
                <w:b/>
                <w:szCs w:val="21"/>
                <w:highlight w:val="none"/>
              </w:rPr>
              <w:t>评审</w:t>
            </w:r>
            <w:r>
              <w:rPr>
                <w:rFonts w:hint="eastAsia" w:ascii="Arial" w:hAnsi="Arial" w:cs="Arial"/>
                <w:b/>
                <w:szCs w:val="21"/>
                <w:highlight w:val="none"/>
              </w:rPr>
              <w:t>结论</w:t>
            </w:r>
          </w:p>
        </w:tc>
        <w:tc>
          <w:tcPr>
            <w:tcW w:w="697"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92"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85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bl>
    <w:p>
      <w:pPr>
        <w:spacing w:line="360" w:lineRule="auto"/>
        <w:ind w:left="708" w:right="685" w:rightChars="326" w:hanging="707" w:hangingChars="337"/>
        <w:rPr>
          <w:rFonts w:ascii="Arial" w:hAnsi="Arial" w:cs="Arial"/>
          <w:szCs w:val="21"/>
          <w:highlight w:val="none"/>
        </w:rPr>
      </w:pPr>
    </w:p>
    <w:p>
      <w:pPr>
        <w:rPr>
          <w:rFonts w:ascii="Arial" w:hAnsi="Arial" w:cs="Arial"/>
          <w:szCs w:val="21"/>
          <w:highlight w:val="none"/>
        </w:rPr>
      </w:pPr>
      <w:r>
        <w:rPr>
          <w:rFonts w:hint="eastAsia" w:ascii="Arial" w:hAnsi="Arial" w:cs="Arial"/>
          <w:szCs w:val="21"/>
          <w:highlight w:val="none"/>
        </w:rPr>
        <w:t>评标委员会</w:t>
      </w:r>
      <w:r>
        <w:rPr>
          <w:rFonts w:ascii="Arial" w:hAnsi="Arial" w:cs="Arial"/>
          <w:szCs w:val="21"/>
          <w:highlight w:val="none"/>
        </w:rPr>
        <w:t>全体</w:t>
      </w:r>
      <w:r>
        <w:rPr>
          <w:rFonts w:hint="eastAsia" w:ascii="Arial" w:hAnsi="Arial" w:cs="Arial"/>
          <w:szCs w:val="21"/>
          <w:highlight w:val="none"/>
        </w:rPr>
        <w:t>成员</w:t>
      </w:r>
      <w:r>
        <w:rPr>
          <w:rFonts w:ascii="Arial" w:hAnsi="Arial" w:cs="Arial"/>
          <w:szCs w:val="21"/>
          <w:highlight w:val="none"/>
        </w:rPr>
        <w:t xml:space="preserve">签名：                                                                  </w:t>
      </w:r>
      <w:r>
        <w:rPr>
          <w:rFonts w:hint="eastAsia" w:ascii="Arial" w:hAnsi="Arial" w:cs="Arial"/>
          <w:szCs w:val="21"/>
          <w:highlight w:val="none"/>
        </w:rPr>
        <w:t xml:space="preserve">                  </w:t>
      </w:r>
      <w:r>
        <w:rPr>
          <w:rFonts w:ascii="Arial" w:hAnsi="Arial" w:cs="Arial"/>
          <w:szCs w:val="21"/>
          <w:highlight w:val="none"/>
        </w:rPr>
        <w:t xml:space="preserve"> 日期：   年    月   日</w:t>
      </w:r>
    </w:p>
    <w:p>
      <w:pPr>
        <w:spacing w:line="360" w:lineRule="auto"/>
        <w:ind w:left="708" w:right="685" w:rightChars="326" w:hanging="707" w:hangingChars="337"/>
        <w:rPr>
          <w:rFonts w:ascii="Arial" w:hAnsi="Arial" w:cs="Arial"/>
          <w:szCs w:val="21"/>
          <w:highlight w:val="none"/>
        </w:rPr>
      </w:pPr>
      <w:r>
        <w:rPr>
          <w:rFonts w:ascii="Arial" w:hAnsi="Arial" w:cs="Arial"/>
          <w:szCs w:val="21"/>
          <w:highlight w:val="none"/>
        </w:rPr>
        <w:t>说明：</w:t>
      </w:r>
      <w:r>
        <w:rPr>
          <w:rFonts w:hint="eastAsia" w:ascii="Arial" w:hAnsi="Arial" w:cs="Arial"/>
          <w:szCs w:val="21"/>
          <w:highlight w:val="none"/>
        </w:rPr>
        <w:t>评审委员会对投标人提交的资格审查文件进行评审，并在对应的评审意见一栏记录评审意见：通过资格评审标注为√；未通过资格评审标注为×。</w:t>
      </w:r>
    </w:p>
    <w:p>
      <w:pPr>
        <w:tabs>
          <w:tab w:val="left" w:pos="4680"/>
        </w:tabs>
        <w:spacing w:after="120" w:afterLines="50" w:line="300" w:lineRule="auto"/>
        <w:rPr>
          <w:rFonts w:ascii="黑体" w:hAnsi="Arial" w:eastAsia="黑体" w:cs="Arial"/>
          <w:bCs/>
          <w:sz w:val="24"/>
          <w:highlight w:val="none"/>
          <w:u w:val="single"/>
        </w:rPr>
      </w:pPr>
      <w:r>
        <w:rPr>
          <w:rFonts w:ascii="Arial" w:hAnsi="Arial" w:cs="Arial"/>
          <w:szCs w:val="21"/>
          <w:highlight w:val="none"/>
        </w:rPr>
        <w:br w:type="page"/>
      </w:r>
      <w:r>
        <w:rPr>
          <w:rFonts w:ascii="Arial" w:hAnsi="Arial" w:eastAsia="黑体" w:cs="Arial"/>
          <w:sz w:val="24"/>
          <w:highlight w:val="none"/>
        </w:rPr>
        <w:t>附表</w:t>
      </w:r>
      <w:r>
        <w:rPr>
          <w:rFonts w:hint="eastAsia" w:ascii="Arial" w:hAnsi="Arial" w:cs="Arial"/>
          <w:b/>
          <w:bCs/>
          <w:sz w:val="24"/>
          <w:highlight w:val="none"/>
        </w:rPr>
        <w:t>A-6</w:t>
      </w:r>
      <w:r>
        <w:rPr>
          <w:rFonts w:ascii="Arial" w:hAnsi="Arial" w:cs="Arial"/>
          <w:b/>
          <w:bCs/>
          <w:sz w:val="24"/>
          <w:highlight w:val="none"/>
        </w:rPr>
        <w:t>：</w:t>
      </w:r>
      <w:r>
        <w:rPr>
          <w:rFonts w:hint="eastAsia" w:ascii="黑体" w:eastAsia="黑体" w:cs="Arial"/>
          <w:bCs/>
          <w:sz w:val="24"/>
          <w:highlight w:val="none"/>
        </w:rPr>
        <w:t>响应性评审记录表</w:t>
      </w:r>
    </w:p>
    <w:p>
      <w:pPr>
        <w:tabs>
          <w:tab w:val="left" w:pos="4680"/>
        </w:tabs>
        <w:spacing w:after="120" w:afterLines="50" w:line="300" w:lineRule="auto"/>
        <w:jc w:val="center"/>
        <w:rPr>
          <w:rFonts w:ascii="黑体" w:eastAsia="黑体" w:cs="Arial"/>
          <w:bCs/>
          <w:sz w:val="28"/>
          <w:szCs w:val="28"/>
          <w:highlight w:val="none"/>
        </w:rPr>
      </w:pPr>
      <w:r>
        <w:rPr>
          <w:rFonts w:hint="eastAsia" w:ascii="黑体" w:eastAsia="黑体" w:cs="Arial"/>
          <w:bCs/>
          <w:sz w:val="28"/>
          <w:szCs w:val="28"/>
          <w:highlight w:val="none"/>
        </w:rPr>
        <w:t>响应性评审记录表</w:t>
      </w:r>
    </w:p>
    <w:p>
      <w:pPr>
        <w:tabs>
          <w:tab w:val="left" w:pos="4680"/>
        </w:tabs>
        <w:spacing w:after="120" w:afterLines="50" w:line="300" w:lineRule="auto"/>
        <w:rPr>
          <w:rFonts w:cs="Arial"/>
          <w:bCs/>
          <w:szCs w:val="21"/>
          <w:highlight w:val="none"/>
          <w:u w:val="singl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96"/>
        <w:gridCol w:w="2161"/>
        <w:gridCol w:w="4173"/>
        <w:gridCol w:w="958"/>
        <w:gridCol w:w="958"/>
        <w:gridCol w:w="958"/>
        <w:gridCol w:w="959"/>
        <w:gridCol w:w="958"/>
        <w:gridCol w:w="958"/>
        <w:gridCol w:w="95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blHeader/>
        </w:trPr>
        <w:tc>
          <w:tcPr>
            <w:tcW w:w="896"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2161"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评审</w:t>
            </w:r>
            <w:r>
              <w:rPr>
                <w:rFonts w:hint="eastAsia" w:ascii="Arial" w:hAnsi="Arial" w:cs="Arial"/>
                <w:szCs w:val="21"/>
                <w:highlight w:val="none"/>
              </w:rPr>
              <w:t>因素</w:t>
            </w:r>
          </w:p>
        </w:tc>
        <w:tc>
          <w:tcPr>
            <w:tcW w:w="4173" w:type="dxa"/>
            <w:vMerge w:val="restart"/>
            <w:tcBorders>
              <w:top w:val="single" w:color="auto" w:sz="4" w:space="0"/>
              <w:left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评审标准</w:t>
            </w:r>
          </w:p>
        </w:tc>
        <w:tc>
          <w:tcPr>
            <w:tcW w:w="6708" w:type="dxa"/>
            <w:gridSpan w:val="7"/>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ascii="Arial" w:hAnsi="Arial" w:cs="Arial"/>
                <w:szCs w:val="21"/>
                <w:highlight w:val="none"/>
              </w:rPr>
              <w:t>投标人名称及评审意见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02" w:hRule="atLeast"/>
          <w:tblHeader/>
        </w:trPr>
        <w:tc>
          <w:tcPr>
            <w:tcW w:w="896"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161"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4173" w:type="dxa"/>
            <w:vMerge w:val="continue"/>
            <w:tcBorders>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nil"/>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投标内容</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符合第二章“投标人须知”第1.3.1项规定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2</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工期</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符合第二章“投标人须知”第1.3.2项规定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3</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工程质量</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符合第二章“投标人须知”第1.3.3项规定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4</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投标有效期</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符合第二章“投标人须知”第</w:t>
            </w:r>
            <w:r>
              <w:rPr>
                <w:rFonts w:hint="eastAsia"/>
                <w:szCs w:val="21"/>
                <w:highlight w:val="none"/>
              </w:rPr>
              <w:t>3</w:t>
            </w:r>
            <w:r>
              <w:rPr>
                <w:szCs w:val="21"/>
                <w:highlight w:val="none"/>
              </w:rPr>
              <w:t>.3.</w:t>
            </w:r>
            <w:r>
              <w:rPr>
                <w:rFonts w:hint="eastAsia"/>
                <w:szCs w:val="21"/>
                <w:highlight w:val="none"/>
              </w:rPr>
              <w:t>1</w:t>
            </w:r>
            <w:r>
              <w:rPr>
                <w:szCs w:val="21"/>
                <w:highlight w:val="none"/>
              </w:rPr>
              <w:t>项规</w:t>
            </w:r>
            <w:r>
              <w:rPr>
                <w:rFonts w:hint="eastAsia"/>
                <w:szCs w:val="21"/>
                <w:highlight w:val="none"/>
              </w:rPr>
              <w:t>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05"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5</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投标保证金</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符合第二章“投标人须知”第3.4</w:t>
            </w:r>
            <w:r>
              <w:rPr>
                <w:rFonts w:hint="eastAsia"/>
                <w:szCs w:val="21"/>
                <w:highlight w:val="none"/>
              </w:rPr>
              <w:t>.1项</w:t>
            </w:r>
            <w:r>
              <w:rPr>
                <w:szCs w:val="21"/>
                <w:highlight w:val="none"/>
              </w:rPr>
              <w:t>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6</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权利义务</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投标函附录中的相关承诺</w:t>
            </w:r>
            <w:r>
              <w:rPr>
                <w:szCs w:val="21"/>
                <w:highlight w:val="none"/>
              </w:rPr>
              <w:t>符合</w:t>
            </w:r>
            <w:r>
              <w:rPr>
                <w:rFonts w:hint="eastAsia"/>
                <w:szCs w:val="21"/>
                <w:highlight w:val="none"/>
              </w:rPr>
              <w:t>或优于</w:t>
            </w:r>
            <w:r>
              <w:rPr>
                <w:szCs w:val="21"/>
                <w:highlight w:val="none"/>
              </w:rPr>
              <w:t>第四章“合同条款及格式”</w:t>
            </w:r>
            <w:r>
              <w:rPr>
                <w:rFonts w:hint="eastAsia"/>
                <w:szCs w:val="21"/>
                <w:highlight w:val="none"/>
              </w:rPr>
              <w:t>的相关</w:t>
            </w:r>
            <w:r>
              <w:rPr>
                <w:szCs w:val="21"/>
                <w:highlight w:val="none"/>
              </w:rPr>
              <w:t>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7</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已标价工程量清单</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符合第五章“工程量清单”给出的</w:t>
            </w:r>
            <w:r>
              <w:rPr>
                <w:rFonts w:hint="eastAsia" w:cs="Arial"/>
                <w:szCs w:val="21"/>
                <w:highlight w:val="none"/>
              </w:rPr>
              <w:t>子目</w:t>
            </w:r>
            <w:r>
              <w:rPr>
                <w:rFonts w:hint="eastAsia"/>
                <w:szCs w:val="21"/>
                <w:highlight w:val="none"/>
              </w:rPr>
              <w:t>编码、</w:t>
            </w:r>
            <w:r>
              <w:rPr>
                <w:rFonts w:hint="eastAsia" w:cs="Arial"/>
                <w:szCs w:val="21"/>
                <w:highlight w:val="none"/>
              </w:rPr>
              <w:t>子目</w:t>
            </w:r>
            <w:r>
              <w:rPr>
                <w:rFonts w:hint="eastAsia"/>
                <w:szCs w:val="21"/>
                <w:highlight w:val="none"/>
              </w:rPr>
              <w:t>名称、</w:t>
            </w:r>
            <w:r>
              <w:rPr>
                <w:rFonts w:hint="eastAsia" w:cs="Arial"/>
                <w:szCs w:val="21"/>
                <w:highlight w:val="none"/>
              </w:rPr>
              <w:t>子目</w:t>
            </w:r>
            <w:r>
              <w:rPr>
                <w:rFonts w:hint="eastAsia"/>
                <w:szCs w:val="21"/>
                <w:highlight w:val="none"/>
              </w:rPr>
              <w:t>特征、计量单位和工程量。</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8</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技术标准和要求</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符合第七章“技术标准和要求”规定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9</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投标价格</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szCs w:val="21"/>
                <w:highlight w:val="none"/>
              </w:rPr>
              <w:t>符合第</w:t>
            </w:r>
            <w:r>
              <w:rPr>
                <w:rFonts w:hint="eastAsia"/>
                <w:szCs w:val="21"/>
                <w:highlight w:val="none"/>
              </w:rPr>
              <w:t>三</w:t>
            </w:r>
            <w:r>
              <w:rPr>
                <w:szCs w:val="21"/>
                <w:highlight w:val="none"/>
              </w:rPr>
              <w:t>章“</w:t>
            </w:r>
            <w:r>
              <w:rPr>
                <w:rFonts w:hint="eastAsia"/>
                <w:szCs w:val="21"/>
                <w:highlight w:val="none"/>
              </w:rPr>
              <w:t>评标办法前附表</w:t>
            </w:r>
            <w:r>
              <w:rPr>
                <w:szCs w:val="21"/>
                <w:highlight w:val="none"/>
              </w:rPr>
              <w:t>”第</w:t>
            </w:r>
            <w:r>
              <w:rPr>
                <w:rFonts w:hint="eastAsia"/>
                <w:szCs w:val="21"/>
                <w:highlight w:val="none"/>
              </w:rPr>
              <w:t>2.</w:t>
            </w:r>
            <w:r>
              <w:rPr>
                <w:szCs w:val="21"/>
                <w:highlight w:val="none"/>
              </w:rPr>
              <w:t>1.3.项</w:t>
            </w:r>
            <w:r>
              <w:rPr>
                <w:rFonts w:hint="eastAsia"/>
                <w:szCs w:val="21"/>
                <w:highlight w:val="none"/>
              </w:rPr>
              <w:t>对应</w:t>
            </w:r>
            <w:r>
              <w:rPr>
                <w:szCs w:val="21"/>
                <w:highlight w:val="none"/>
              </w:rPr>
              <w:t>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10</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分包计划</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符合</w:t>
            </w:r>
            <w:r>
              <w:rPr>
                <w:szCs w:val="21"/>
                <w:highlight w:val="none"/>
              </w:rPr>
              <w:t>第二章“投标人须知”第1.</w:t>
            </w:r>
            <w:r>
              <w:rPr>
                <w:rFonts w:hint="eastAsia"/>
                <w:szCs w:val="21"/>
                <w:highlight w:val="none"/>
              </w:rPr>
              <w:t>1</w:t>
            </w:r>
            <w:r>
              <w:rPr>
                <w:szCs w:val="21"/>
                <w:highlight w:val="none"/>
              </w:rPr>
              <w:t>1</w:t>
            </w:r>
            <w:r>
              <w:rPr>
                <w:rFonts w:hint="eastAsia"/>
                <w:szCs w:val="21"/>
                <w:highlight w:val="none"/>
              </w:rPr>
              <w:t>款</w:t>
            </w:r>
            <w:r>
              <w:rPr>
                <w:szCs w:val="21"/>
                <w:highlight w:val="none"/>
              </w:rPr>
              <w:t>规定</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8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hint="default" w:ascii="Arial" w:hAnsi="Arial" w:eastAsia="宋体" w:cs="Arial"/>
                <w:szCs w:val="21"/>
                <w:highlight w:val="none"/>
                <w:lang w:val="en-US" w:eastAsia="zh-CN"/>
              </w:rPr>
            </w:pPr>
            <w:r>
              <w:rPr>
                <w:rFonts w:hint="eastAsia" w:ascii="Arial" w:hAnsi="Arial" w:cs="Arial"/>
                <w:szCs w:val="21"/>
                <w:highlight w:val="none"/>
                <w:lang w:val="en-US" w:eastAsia="zh-CN"/>
              </w:rPr>
              <w:t>11</w:t>
            </w:r>
          </w:p>
        </w:tc>
        <w:tc>
          <w:tcPr>
            <w:tcW w:w="2161" w:type="dxa"/>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hint="default" w:eastAsia="宋体"/>
                <w:szCs w:val="21"/>
                <w:highlight w:val="none"/>
                <w:lang w:val="en-US" w:eastAsia="zh-CN"/>
              </w:rPr>
            </w:pPr>
            <w:r>
              <w:rPr>
                <w:rFonts w:hint="eastAsia"/>
                <w:szCs w:val="21"/>
                <w:highlight w:val="none"/>
                <w:lang w:val="en-US" w:eastAsia="zh-CN"/>
              </w:rPr>
              <w:t>设备品牌</w:t>
            </w:r>
          </w:p>
        </w:tc>
        <w:tc>
          <w:tcPr>
            <w:tcW w:w="417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hint="eastAsia" w:eastAsia="宋体"/>
                <w:szCs w:val="21"/>
                <w:highlight w:val="none"/>
                <w:lang w:val="en-US" w:eastAsia="zh-CN"/>
              </w:rPr>
            </w:pPr>
            <w:r>
              <w:rPr>
                <w:rFonts w:hint="eastAsia"/>
                <w:szCs w:val="21"/>
                <w:highlight w:val="none"/>
              </w:rPr>
              <w:t>项目轨道设备</w:t>
            </w:r>
            <w:r>
              <w:rPr>
                <w:rFonts w:hint="eastAsia"/>
                <w:szCs w:val="21"/>
                <w:highlight w:val="none"/>
                <w:lang w:val="en-US" w:eastAsia="zh-CN"/>
              </w:rPr>
              <w:t>符合</w:t>
            </w:r>
            <w:r>
              <w:rPr>
                <w:szCs w:val="21"/>
                <w:highlight w:val="none"/>
              </w:rPr>
              <w:t>“投标人须知</w:t>
            </w:r>
            <w:r>
              <w:rPr>
                <w:rFonts w:hint="eastAsia"/>
                <w:szCs w:val="21"/>
                <w:highlight w:val="none"/>
                <w:lang w:val="en-US" w:eastAsia="zh-CN"/>
              </w:rPr>
              <w:t>前附表</w:t>
            </w:r>
            <w:r>
              <w:rPr>
                <w:szCs w:val="21"/>
                <w:highlight w:val="none"/>
              </w:rPr>
              <w:t>”</w:t>
            </w:r>
            <w:r>
              <w:rPr>
                <w:rFonts w:hint="eastAsia"/>
                <w:szCs w:val="21"/>
                <w:highlight w:val="none"/>
                <w:lang w:val="en-US" w:eastAsia="zh-CN"/>
              </w:rPr>
              <w:t>推荐</w:t>
            </w:r>
            <w:r>
              <w:rPr>
                <w:rFonts w:hint="eastAsia"/>
                <w:szCs w:val="21"/>
                <w:highlight w:val="none"/>
              </w:rPr>
              <w:t>品牌</w:t>
            </w:r>
            <w:r>
              <w:rPr>
                <w:rFonts w:hint="eastAsia"/>
                <w:szCs w:val="21"/>
                <w:highlight w:val="none"/>
                <w:lang w:val="en-US" w:eastAsia="zh-CN"/>
              </w:rPr>
              <w:t>要求</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0" w:hRule="atLeast"/>
        </w:trPr>
        <w:tc>
          <w:tcPr>
            <w:tcW w:w="7230" w:type="dxa"/>
            <w:gridSpan w:val="3"/>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left"/>
              <w:rPr>
                <w:rFonts w:ascii="Arial" w:hAnsi="Arial" w:cs="Arial"/>
                <w:szCs w:val="21"/>
                <w:highlight w:val="none"/>
              </w:rPr>
            </w:pPr>
            <w:r>
              <w:rPr>
                <w:rFonts w:hint="eastAsia" w:ascii="Arial" w:hAnsi="Arial" w:cs="Arial"/>
                <w:szCs w:val="21"/>
                <w:highlight w:val="none"/>
              </w:rPr>
              <w:t>响应性评审结论：</w:t>
            </w:r>
          </w:p>
          <w:p>
            <w:pPr>
              <w:spacing w:before="60" w:beforeLines="25" w:after="60" w:afterLines="25"/>
              <w:rPr>
                <w:rFonts w:ascii="Arial" w:hAnsi="Arial" w:cs="Arial"/>
                <w:szCs w:val="21"/>
                <w:highlight w:val="none"/>
              </w:rPr>
            </w:pPr>
            <w:r>
              <w:rPr>
                <w:rFonts w:hint="eastAsia" w:ascii="Arial" w:hAnsi="Arial" w:cs="Arial"/>
                <w:szCs w:val="21"/>
                <w:highlight w:val="none"/>
              </w:rPr>
              <w:t>通过响应性评审标注为√；未通过响应性评审标注为×</w:t>
            </w: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8"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95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bl>
    <w:p>
      <w:pPr>
        <w:tabs>
          <w:tab w:val="left" w:pos="4680"/>
        </w:tabs>
        <w:spacing w:after="120" w:afterLines="50" w:line="300" w:lineRule="auto"/>
        <w:rPr>
          <w:rFonts w:ascii="Arial" w:hAnsi="Arial" w:cs="Arial"/>
          <w:szCs w:val="21"/>
          <w:highlight w:val="none"/>
        </w:rPr>
      </w:pPr>
      <w:r>
        <w:rPr>
          <w:rFonts w:ascii="Arial" w:hAnsi="Arial" w:cs="Arial"/>
          <w:szCs w:val="21"/>
          <w:highlight w:val="none"/>
        </w:rPr>
        <w:t>评</w:t>
      </w:r>
      <w:r>
        <w:rPr>
          <w:rFonts w:hint="eastAsia" w:ascii="Arial" w:hAnsi="Arial" w:cs="Arial"/>
          <w:szCs w:val="21"/>
          <w:highlight w:val="none"/>
        </w:rPr>
        <w:t>标委员会</w:t>
      </w:r>
      <w:r>
        <w:rPr>
          <w:rFonts w:ascii="Arial" w:hAnsi="Arial" w:cs="Arial"/>
          <w:szCs w:val="21"/>
          <w:highlight w:val="none"/>
        </w:rPr>
        <w:t>全体</w:t>
      </w:r>
      <w:r>
        <w:rPr>
          <w:rFonts w:hint="eastAsia" w:ascii="Arial" w:hAnsi="Arial" w:cs="Arial"/>
          <w:szCs w:val="21"/>
          <w:highlight w:val="none"/>
        </w:rPr>
        <w:t>成员</w:t>
      </w:r>
      <w:r>
        <w:rPr>
          <w:rFonts w:ascii="Arial" w:hAnsi="Arial" w:cs="Arial"/>
          <w:szCs w:val="21"/>
          <w:highlight w:val="none"/>
        </w:rPr>
        <w:t xml:space="preserve">签名：                                                                </w:t>
      </w:r>
      <w:r>
        <w:rPr>
          <w:rFonts w:hint="eastAsia" w:ascii="Arial" w:hAnsi="Arial" w:cs="Arial"/>
          <w:szCs w:val="21"/>
          <w:highlight w:val="none"/>
        </w:rPr>
        <w:t xml:space="preserve">                  </w:t>
      </w:r>
      <w:r>
        <w:rPr>
          <w:rFonts w:ascii="Arial" w:hAnsi="Arial" w:cs="Arial"/>
          <w:szCs w:val="21"/>
          <w:highlight w:val="none"/>
        </w:rPr>
        <w:t xml:space="preserve"> 日期：   年    月   日</w:t>
      </w:r>
      <w:r>
        <w:rPr>
          <w:rFonts w:ascii="Arial" w:hAnsi="Arial" w:cs="Arial"/>
          <w:b/>
          <w:bCs/>
          <w:szCs w:val="21"/>
          <w:highlight w:val="none"/>
          <w:u w:val="single"/>
        </w:rPr>
        <w:br w:type="page"/>
      </w:r>
      <w:r>
        <w:rPr>
          <w:rFonts w:ascii="Arial" w:hAnsi="Arial" w:eastAsia="黑体" w:cs="Arial"/>
          <w:sz w:val="24"/>
          <w:highlight w:val="none"/>
        </w:rPr>
        <w:t>附表</w:t>
      </w:r>
      <w:r>
        <w:rPr>
          <w:rFonts w:hint="eastAsia" w:ascii="Arial" w:hAnsi="Arial" w:cs="Arial"/>
          <w:b/>
          <w:bCs/>
          <w:sz w:val="24"/>
          <w:highlight w:val="none"/>
        </w:rPr>
        <w:t>A-7</w:t>
      </w:r>
      <w:r>
        <w:rPr>
          <w:rFonts w:ascii="Arial" w:hAnsi="Arial" w:cs="Arial"/>
          <w:b/>
          <w:bCs/>
          <w:sz w:val="24"/>
          <w:highlight w:val="none"/>
        </w:rPr>
        <w:t>：</w:t>
      </w:r>
      <w:r>
        <w:rPr>
          <w:rFonts w:ascii="Arial" w:hAnsi="Arial" w:eastAsia="黑体" w:cs="Arial"/>
          <w:sz w:val="24"/>
          <w:highlight w:val="none"/>
        </w:rPr>
        <w:t>投标偏差分析表</w:t>
      </w:r>
    </w:p>
    <w:p>
      <w:pPr>
        <w:tabs>
          <w:tab w:val="left" w:pos="4680"/>
        </w:tabs>
        <w:spacing w:line="360" w:lineRule="auto"/>
        <w:jc w:val="center"/>
        <w:rPr>
          <w:rFonts w:ascii="Arial" w:hAnsi="Arial" w:cs="Arial"/>
          <w:b/>
          <w:sz w:val="28"/>
          <w:szCs w:val="28"/>
          <w:highlight w:val="none"/>
        </w:rPr>
      </w:pPr>
      <w:r>
        <w:rPr>
          <w:rFonts w:ascii="Arial" w:hAnsi="Arial" w:cs="Arial"/>
          <w:b/>
          <w:sz w:val="28"/>
          <w:szCs w:val="28"/>
          <w:highlight w:val="none"/>
        </w:rPr>
        <w:t>投标偏差分析表</w:t>
      </w:r>
    </w:p>
    <w:p>
      <w:pPr>
        <w:tabs>
          <w:tab w:val="left" w:pos="4680"/>
        </w:tabs>
        <w:spacing w:line="360" w:lineRule="auto"/>
        <w:rPr>
          <w:rFonts w:ascii="Arial" w:hAnsi="Arial" w:cs="Arial"/>
          <w:b/>
          <w:szCs w:val="21"/>
          <w:highlight w:val="none"/>
        </w:rPr>
      </w:pPr>
      <w:r>
        <w:rPr>
          <w:rFonts w:ascii="Arial" w:hAnsi="Arial"/>
          <w:highlight w:val="none"/>
        </w:rPr>
        <w:t>投标人名称：</w:t>
      </w:r>
    </w:p>
    <w:tbl>
      <w:tblPr>
        <w:tblStyle w:val="50"/>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880"/>
        <w:gridCol w:w="2292"/>
        <w:gridCol w:w="753"/>
        <w:gridCol w:w="2895"/>
        <w:gridCol w:w="2205"/>
        <w:gridCol w:w="220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892" w:type="dxa"/>
            <w:gridSpan w:val="3"/>
            <w:vAlign w:val="center"/>
          </w:tcPr>
          <w:p>
            <w:pPr>
              <w:spacing w:line="360" w:lineRule="auto"/>
              <w:jc w:val="center"/>
              <w:rPr>
                <w:rFonts w:ascii="Arial" w:hAnsi="Arial" w:cs="Arial"/>
                <w:szCs w:val="21"/>
                <w:highlight w:val="none"/>
              </w:rPr>
            </w:pPr>
            <w:r>
              <w:rPr>
                <w:rFonts w:ascii="Arial" w:hAnsi="Arial" w:cs="Arial"/>
                <w:szCs w:val="21"/>
                <w:highlight w:val="none"/>
              </w:rPr>
              <w:t>重大偏差</w:t>
            </w:r>
          </w:p>
        </w:tc>
        <w:tc>
          <w:tcPr>
            <w:tcW w:w="8055" w:type="dxa"/>
            <w:gridSpan w:val="4"/>
            <w:vAlign w:val="center"/>
          </w:tcPr>
          <w:p>
            <w:pPr>
              <w:spacing w:line="360" w:lineRule="auto"/>
              <w:jc w:val="center"/>
              <w:rPr>
                <w:rFonts w:ascii="Arial" w:hAnsi="Arial" w:cs="Arial"/>
                <w:szCs w:val="21"/>
                <w:highlight w:val="none"/>
              </w:rPr>
            </w:pPr>
            <w:r>
              <w:rPr>
                <w:rFonts w:ascii="Arial" w:hAnsi="Arial" w:cs="Arial"/>
                <w:szCs w:val="21"/>
                <w:highlight w:val="none"/>
              </w:rPr>
              <w:t>细微偏差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20" w:type="dxa"/>
          </w:tcPr>
          <w:p>
            <w:pPr>
              <w:spacing w:line="360" w:lineRule="auto"/>
              <w:rPr>
                <w:rFonts w:ascii="Arial" w:hAnsi="Arial" w:cs="Arial"/>
                <w:szCs w:val="21"/>
                <w:highlight w:val="none"/>
              </w:rPr>
            </w:pPr>
            <w:r>
              <w:rPr>
                <w:rFonts w:ascii="Arial" w:hAnsi="Arial" w:cs="Arial"/>
                <w:szCs w:val="21"/>
                <w:highlight w:val="none"/>
              </w:rPr>
              <w:t>序号</w:t>
            </w:r>
          </w:p>
        </w:tc>
        <w:tc>
          <w:tcPr>
            <w:tcW w:w="2880" w:type="dxa"/>
            <w:vAlign w:val="center"/>
          </w:tcPr>
          <w:p>
            <w:pPr>
              <w:spacing w:line="360" w:lineRule="auto"/>
              <w:jc w:val="center"/>
              <w:rPr>
                <w:rFonts w:ascii="Arial" w:hAnsi="Arial" w:cs="Arial"/>
                <w:szCs w:val="21"/>
                <w:highlight w:val="none"/>
              </w:rPr>
            </w:pPr>
            <w:r>
              <w:rPr>
                <w:rFonts w:ascii="Arial" w:hAnsi="Arial" w:cs="Arial"/>
                <w:szCs w:val="21"/>
                <w:highlight w:val="none"/>
              </w:rPr>
              <w:t>重大偏差内容说明</w:t>
            </w:r>
          </w:p>
        </w:tc>
        <w:tc>
          <w:tcPr>
            <w:tcW w:w="2292" w:type="dxa"/>
            <w:vAlign w:val="center"/>
          </w:tcPr>
          <w:p>
            <w:pPr>
              <w:spacing w:line="360" w:lineRule="auto"/>
              <w:jc w:val="center"/>
              <w:rPr>
                <w:rFonts w:ascii="Arial" w:hAnsi="Arial" w:cs="Arial"/>
                <w:szCs w:val="21"/>
                <w:highlight w:val="none"/>
              </w:rPr>
            </w:pPr>
            <w:r>
              <w:rPr>
                <w:rFonts w:ascii="Arial" w:hAnsi="Arial" w:cs="Arial"/>
                <w:szCs w:val="21"/>
                <w:highlight w:val="none"/>
              </w:rPr>
              <w:t>招标文件相关条款</w:t>
            </w:r>
          </w:p>
        </w:tc>
        <w:tc>
          <w:tcPr>
            <w:tcW w:w="753" w:type="dxa"/>
            <w:vAlign w:val="center"/>
          </w:tcPr>
          <w:p>
            <w:pPr>
              <w:spacing w:line="360" w:lineRule="auto"/>
              <w:jc w:val="center"/>
              <w:rPr>
                <w:rFonts w:ascii="Arial" w:hAnsi="Arial" w:cs="Arial"/>
                <w:szCs w:val="21"/>
                <w:highlight w:val="none"/>
              </w:rPr>
            </w:pPr>
            <w:r>
              <w:rPr>
                <w:rFonts w:ascii="Arial" w:hAnsi="Arial" w:cs="Arial"/>
                <w:szCs w:val="21"/>
                <w:highlight w:val="none"/>
              </w:rPr>
              <w:t>序号</w:t>
            </w:r>
          </w:p>
        </w:tc>
        <w:tc>
          <w:tcPr>
            <w:tcW w:w="2895" w:type="dxa"/>
            <w:vAlign w:val="center"/>
          </w:tcPr>
          <w:p>
            <w:pPr>
              <w:spacing w:line="360" w:lineRule="auto"/>
              <w:jc w:val="center"/>
              <w:rPr>
                <w:rFonts w:ascii="Arial" w:hAnsi="Arial" w:cs="Arial"/>
                <w:szCs w:val="21"/>
                <w:highlight w:val="none"/>
              </w:rPr>
            </w:pPr>
            <w:r>
              <w:rPr>
                <w:rFonts w:ascii="Arial" w:hAnsi="Arial" w:cs="Arial"/>
                <w:szCs w:val="21"/>
                <w:highlight w:val="none"/>
              </w:rPr>
              <w:t>细微偏差内容说明</w:t>
            </w:r>
          </w:p>
        </w:tc>
        <w:tc>
          <w:tcPr>
            <w:tcW w:w="2205" w:type="dxa"/>
            <w:vAlign w:val="center"/>
          </w:tcPr>
          <w:p>
            <w:pPr>
              <w:spacing w:line="360" w:lineRule="auto"/>
              <w:jc w:val="center"/>
              <w:rPr>
                <w:rFonts w:ascii="Arial" w:hAnsi="Arial" w:cs="Arial"/>
                <w:szCs w:val="21"/>
                <w:highlight w:val="none"/>
              </w:rPr>
            </w:pPr>
            <w:r>
              <w:rPr>
                <w:rFonts w:ascii="Arial" w:hAnsi="Arial" w:cs="Arial"/>
                <w:szCs w:val="21"/>
                <w:highlight w:val="none"/>
              </w:rPr>
              <w:t>招标文件相关条款</w:t>
            </w:r>
          </w:p>
        </w:tc>
        <w:tc>
          <w:tcPr>
            <w:tcW w:w="2202" w:type="dxa"/>
            <w:vAlign w:val="center"/>
          </w:tcPr>
          <w:p>
            <w:pPr>
              <w:spacing w:line="360" w:lineRule="auto"/>
              <w:jc w:val="center"/>
              <w:rPr>
                <w:rFonts w:ascii="Arial" w:hAnsi="Arial" w:cs="Arial"/>
                <w:szCs w:val="21"/>
                <w:highlight w:val="none"/>
              </w:rPr>
            </w:pPr>
            <w:r>
              <w:rPr>
                <w:rFonts w:ascii="Arial" w:hAnsi="Arial" w:cs="Arial"/>
                <w:szCs w:val="21"/>
                <w:highlight w:val="none"/>
              </w:rPr>
              <w:t>补正情况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89" w:hRule="atLeast"/>
        </w:trPr>
        <w:tc>
          <w:tcPr>
            <w:tcW w:w="720" w:type="dxa"/>
          </w:tcPr>
          <w:p>
            <w:pPr>
              <w:spacing w:line="360" w:lineRule="auto"/>
              <w:rPr>
                <w:rFonts w:ascii="Arial" w:hAnsi="Arial" w:cs="Arial"/>
                <w:szCs w:val="21"/>
                <w:highlight w:val="none"/>
              </w:rPr>
            </w:pPr>
          </w:p>
        </w:tc>
        <w:tc>
          <w:tcPr>
            <w:tcW w:w="2880" w:type="dxa"/>
          </w:tcPr>
          <w:p>
            <w:pPr>
              <w:spacing w:line="360" w:lineRule="auto"/>
              <w:rPr>
                <w:rFonts w:ascii="Arial" w:hAnsi="Arial" w:cs="Arial"/>
                <w:szCs w:val="21"/>
                <w:highlight w:val="none"/>
              </w:rPr>
            </w:pPr>
          </w:p>
          <w:p>
            <w:pPr>
              <w:spacing w:line="360" w:lineRule="auto"/>
              <w:rPr>
                <w:rFonts w:ascii="Arial" w:hAnsi="Arial" w:cs="Arial"/>
                <w:szCs w:val="21"/>
                <w:highlight w:val="none"/>
              </w:rPr>
            </w:pPr>
          </w:p>
          <w:p>
            <w:pPr>
              <w:spacing w:line="360" w:lineRule="auto"/>
              <w:rPr>
                <w:rFonts w:ascii="Arial" w:hAnsi="Arial" w:cs="Arial"/>
                <w:szCs w:val="21"/>
                <w:highlight w:val="none"/>
              </w:rPr>
            </w:pPr>
          </w:p>
          <w:p>
            <w:pPr>
              <w:spacing w:line="360" w:lineRule="auto"/>
              <w:rPr>
                <w:rFonts w:ascii="Arial" w:hAnsi="Arial" w:cs="Arial"/>
                <w:szCs w:val="21"/>
                <w:highlight w:val="none"/>
              </w:rPr>
            </w:pPr>
          </w:p>
          <w:p>
            <w:pPr>
              <w:spacing w:line="360" w:lineRule="auto"/>
              <w:rPr>
                <w:rFonts w:ascii="Arial" w:hAnsi="Arial" w:cs="Arial"/>
                <w:szCs w:val="21"/>
                <w:highlight w:val="none"/>
              </w:rPr>
            </w:pPr>
          </w:p>
          <w:p>
            <w:pPr>
              <w:spacing w:line="360" w:lineRule="auto"/>
              <w:rPr>
                <w:rFonts w:ascii="Arial" w:hAnsi="Arial" w:cs="Arial"/>
                <w:szCs w:val="21"/>
                <w:highlight w:val="none"/>
              </w:rPr>
            </w:pPr>
          </w:p>
          <w:p>
            <w:pPr>
              <w:spacing w:line="360" w:lineRule="auto"/>
              <w:rPr>
                <w:rFonts w:ascii="Arial" w:hAnsi="Arial" w:cs="Arial"/>
                <w:szCs w:val="21"/>
                <w:highlight w:val="none"/>
              </w:rPr>
            </w:pPr>
          </w:p>
        </w:tc>
        <w:tc>
          <w:tcPr>
            <w:tcW w:w="2292" w:type="dxa"/>
          </w:tcPr>
          <w:p>
            <w:pPr>
              <w:spacing w:line="360" w:lineRule="auto"/>
              <w:rPr>
                <w:rFonts w:ascii="Arial" w:hAnsi="Arial" w:cs="Arial"/>
                <w:szCs w:val="21"/>
                <w:highlight w:val="none"/>
              </w:rPr>
            </w:pPr>
          </w:p>
        </w:tc>
        <w:tc>
          <w:tcPr>
            <w:tcW w:w="753" w:type="dxa"/>
          </w:tcPr>
          <w:p>
            <w:pPr>
              <w:spacing w:line="360" w:lineRule="auto"/>
              <w:rPr>
                <w:rFonts w:ascii="Arial" w:hAnsi="Arial" w:cs="Arial"/>
                <w:szCs w:val="21"/>
                <w:highlight w:val="none"/>
              </w:rPr>
            </w:pPr>
          </w:p>
        </w:tc>
        <w:tc>
          <w:tcPr>
            <w:tcW w:w="2895" w:type="dxa"/>
          </w:tcPr>
          <w:p>
            <w:pPr>
              <w:spacing w:line="360" w:lineRule="auto"/>
              <w:rPr>
                <w:rFonts w:ascii="Arial" w:hAnsi="Arial" w:cs="Arial"/>
                <w:szCs w:val="21"/>
                <w:highlight w:val="none"/>
              </w:rPr>
            </w:pPr>
          </w:p>
        </w:tc>
        <w:tc>
          <w:tcPr>
            <w:tcW w:w="2205" w:type="dxa"/>
          </w:tcPr>
          <w:p>
            <w:pPr>
              <w:spacing w:line="360" w:lineRule="auto"/>
              <w:rPr>
                <w:rFonts w:ascii="Arial" w:hAnsi="Arial" w:cs="Arial"/>
                <w:szCs w:val="21"/>
                <w:highlight w:val="none"/>
              </w:rPr>
            </w:pPr>
          </w:p>
        </w:tc>
        <w:tc>
          <w:tcPr>
            <w:tcW w:w="2202" w:type="dxa"/>
          </w:tcPr>
          <w:p>
            <w:pPr>
              <w:spacing w:line="360" w:lineRule="auto"/>
              <w:rPr>
                <w:rFonts w:ascii="Arial" w:hAnsi="Arial" w:cs="Arial"/>
                <w:szCs w:val="21"/>
                <w:highlight w:val="none"/>
              </w:rPr>
            </w:pPr>
          </w:p>
        </w:tc>
      </w:tr>
    </w:tbl>
    <w:p>
      <w:pPr>
        <w:tabs>
          <w:tab w:val="left" w:pos="4680"/>
        </w:tabs>
        <w:spacing w:after="120" w:afterLines="50" w:line="300" w:lineRule="auto"/>
        <w:rPr>
          <w:rFonts w:ascii="Arial" w:hAnsi="Arial" w:cs="Arial"/>
          <w:szCs w:val="21"/>
          <w:highlight w:val="none"/>
        </w:rPr>
      </w:pPr>
    </w:p>
    <w:p>
      <w:pPr>
        <w:tabs>
          <w:tab w:val="left" w:pos="4680"/>
        </w:tabs>
        <w:spacing w:after="120" w:afterLines="50" w:line="300" w:lineRule="auto"/>
        <w:rPr>
          <w:rFonts w:ascii="Arial" w:hAnsi="Arial" w:cs="Arial"/>
          <w:b/>
          <w:bCs/>
          <w:szCs w:val="21"/>
          <w:highlight w:val="none"/>
          <w:u w:val="single"/>
        </w:rPr>
      </w:pPr>
      <w:r>
        <w:rPr>
          <w:rFonts w:ascii="Arial" w:hAnsi="Arial" w:cs="Arial"/>
          <w:szCs w:val="21"/>
          <w:highlight w:val="none"/>
        </w:rPr>
        <w:t>评</w:t>
      </w:r>
      <w:r>
        <w:rPr>
          <w:rFonts w:hint="eastAsia" w:ascii="Arial" w:hAnsi="Arial" w:cs="Arial"/>
          <w:szCs w:val="21"/>
          <w:highlight w:val="none"/>
        </w:rPr>
        <w:t>标委员会</w:t>
      </w:r>
      <w:r>
        <w:rPr>
          <w:rFonts w:ascii="Arial" w:hAnsi="Arial" w:cs="Arial"/>
          <w:szCs w:val="21"/>
          <w:highlight w:val="none"/>
        </w:rPr>
        <w:t>全体</w:t>
      </w:r>
      <w:r>
        <w:rPr>
          <w:rFonts w:hint="eastAsia" w:ascii="Arial" w:hAnsi="Arial" w:cs="Arial"/>
          <w:szCs w:val="21"/>
          <w:highlight w:val="none"/>
        </w:rPr>
        <w:t>成员</w:t>
      </w:r>
      <w:r>
        <w:rPr>
          <w:rFonts w:ascii="Arial" w:hAnsi="Arial" w:cs="Arial"/>
          <w:szCs w:val="21"/>
          <w:highlight w:val="none"/>
        </w:rPr>
        <w:t xml:space="preserve">签名：                                                                </w:t>
      </w:r>
      <w:r>
        <w:rPr>
          <w:rFonts w:hint="eastAsia" w:ascii="Arial" w:hAnsi="Arial" w:cs="Arial"/>
          <w:szCs w:val="21"/>
          <w:highlight w:val="none"/>
        </w:rPr>
        <w:t xml:space="preserve">                  </w:t>
      </w:r>
      <w:r>
        <w:rPr>
          <w:rFonts w:ascii="Arial" w:hAnsi="Arial" w:cs="Arial"/>
          <w:szCs w:val="21"/>
          <w:highlight w:val="none"/>
        </w:rPr>
        <w:t xml:space="preserve"> 日期：   年    月   日</w:t>
      </w:r>
    </w:p>
    <w:p>
      <w:pPr>
        <w:pStyle w:val="29"/>
        <w:tabs>
          <w:tab w:val="left" w:pos="4680"/>
        </w:tabs>
        <w:spacing w:after="120" w:afterLines="50"/>
        <w:rPr>
          <w:rFonts w:ascii="黑体" w:eastAsia="黑体"/>
          <w:bCs/>
          <w:szCs w:val="24"/>
          <w:highlight w:val="none"/>
        </w:rPr>
      </w:pPr>
      <w:r>
        <w:rPr>
          <w:rFonts w:ascii="Arial" w:hAnsi="Arial" w:cs="Arial"/>
          <w:b/>
          <w:bCs/>
          <w:szCs w:val="21"/>
          <w:highlight w:val="none"/>
          <w:u w:val="single"/>
        </w:rPr>
        <w:br w:type="page"/>
      </w:r>
      <w:r>
        <w:rPr>
          <w:rFonts w:hint="eastAsia" w:ascii="Arial" w:hAnsi="Arial" w:eastAsia="黑体" w:cs="Arial"/>
          <w:szCs w:val="24"/>
          <w:highlight w:val="none"/>
        </w:rPr>
        <w:t>附表</w:t>
      </w:r>
      <w:r>
        <w:rPr>
          <w:rFonts w:hint="eastAsia" w:ascii="Arial" w:hAnsi="Arial" w:cs="Arial"/>
          <w:b/>
          <w:bCs/>
          <w:highlight w:val="none"/>
        </w:rPr>
        <w:t>A-8</w:t>
      </w:r>
      <w:r>
        <w:rPr>
          <w:rFonts w:hint="eastAsia" w:ascii="黑体" w:hAnsi="Arial" w:eastAsia="黑体" w:cs="Arial"/>
          <w:bCs/>
          <w:szCs w:val="24"/>
          <w:highlight w:val="none"/>
        </w:rPr>
        <w:t>：</w:t>
      </w:r>
      <w:r>
        <w:rPr>
          <w:rFonts w:hint="eastAsia" w:ascii="黑体" w:eastAsia="黑体"/>
          <w:bCs/>
          <w:szCs w:val="24"/>
          <w:highlight w:val="none"/>
        </w:rPr>
        <w:t>施工组织设计评审记录表</w:t>
      </w:r>
    </w:p>
    <w:p>
      <w:pPr>
        <w:pStyle w:val="29"/>
        <w:tabs>
          <w:tab w:val="left" w:pos="4680"/>
        </w:tabs>
        <w:spacing w:after="120" w:afterLines="50"/>
        <w:jc w:val="center"/>
        <w:rPr>
          <w:b/>
          <w:bCs/>
          <w:sz w:val="28"/>
          <w:szCs w:val="28"/>
          <w:highlight w:val="none"/>
        </w:rPr>
      </w:pPr>
      <w:r>
        <w:rPr>
          <w:rFonts w:hint="eastAsia"/>
          <w:b/>
          <w:bCs/>
          <w:sz w:val="28"/>
          <w:szCs w:val="28"/>
          <w:highlight w:val="none"/>
        </w:rPr>
        <w:t>施工组织设计</w:t>
      </w:r>
      <w:r>
        <w:rPr>
          <w:b/>
          <w:bCs/>
          <w:sz w:val="28"/>
          <w:szCs w:val="28"/>
          <w:highlight w:val="none"/>
        </w:rPr>
        <w:t>评审记录表</w:t>
      </w:r>
    </w:p>
    <w:p>
      <w:pPr>
        <w:rPr>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67"/>
        <w:gridCol w:w="2694"/>
        <w:gridCol w:w="5527"/>
        <w:gridCol w:w="993"/>
        <w:gridCol w:w="565"/>
        <w:gridCol w:w="565"/>
        <w:gridCol w:w="565"/>
        <w:gridCol w:w="565"/>
        <w:gridCol w:w="565"/>
        <w:gridCol w:w="565"/>
        <w:gridCol w:w="56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567"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序号</w:t>
            </w:r>
          </w:p>
        </w:tc>
        <w:tc>
          <w:tcPr>
            <w:tcW w:w="2694"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评分项目</w:t>
            </w:r>
          </w:p>
        </w:tc>
        <w:tc>
          <w:tcPr>
            <w:tcW w:w="5527" w:type="dxa"/>
            <w:vMerge w:val="restart"/>
            <w:tcBorders>
              <w:top w:val="single" w:color="auto" w:sz="4" w:space="0"/>
              <w:left w:val="single" w:color="auto" w:sz="4" w:space="0"/>
              <w:bottom w:val="single" w:color="auto" w:sz="4" w:space="0"/>
            </w:tcBorders>
            <w:vAlign w:val="center"/>
          </w:tcPr>
          <w:p>
            <w:pPr>
              <w:widowControl/>
              <w:jc w:val="center"/>
              <w:rPr>
                <w:rFonts w:cs="Arial"/>
                <w:szCs w:val="21"/>
                <w:highlight w:val="none"/>
              </w:rPr>
            </w:pPr>
            <w:r>
              <w:rPr>
                <w:rFonts w:hint="eastAsia" w:cs="Arial"/>
                <w:szCs w:val="21"/>
                <w:highlight w:val="none"/>
              </w:rPr>
              <w:t>评分标准</w:t>
            </w:r>
          </w:p>
        </w:tc>
        <w:tc>
          <w:tcPr>
            <w:tcW w:w="993" w:type="dxa"/>
            <w:vMerge w:val="restart"/>
            <w:tcBorders>
              <w:top w:val="single" w:color="auto" w:sz="4" w:space="0"/>
              <w:left w:val="single" w:color="auto" w:sz="4" w:space="0"/>
              <w:bottom w:val="single" w:color="auto" w:sz="4" w:space="0"/>
            </w:tcBorders>
            <w:vAlign w:val="center"/>
          </w:tcPr>
          <w:p>
            <w:pPr>
              <w:widowControl/>
              <w:jc w:val="center"/>
              <w:rPr>
                <w:rFonts w:cs="Arial"/>
                <w:szCs w:val="21"/>
                <w:highlight w:val="none"/>
              </w:rPr>
            </w:pPr>
            <w:r>
              <w:rPr>
                <w:rFonts w:hint="eastAsia" w:cs="Arial"/>
                <w:szCs w:val="21"/>
                <w:highlight w:val="none"/>
              </w:rPr>
              <w:t>标准分</w:t>
            </w:r>
          </w:p>
        </w:tc>
        <w:tc>
          <w:tcPr>
            <w:tcW w:w="3955" w:type="dxa"/>
            <w:gridSpan w:val="7"/>
            <w:tcBorders>
              <w:top w:val="single" w:color="auto" w:sz="4" w:space="0"/>
              <w:left w:val="single" w:color="auto" w:sz="4" w:space="0"/>
              <w:bottom w:val="single" w:color="auto" w:sz="4" w:space="0"/>
            </w:tcBorders>
            <w:vAlign w:val="center"/>
          </w:tcPr>
          <w:p>
            <w:pPr>
              <w:widowControl/>
              <w:jc w:val="center"/>
              <w:rPr>
                <w:rFonts w:cs="Arial"/>
                <w:szCs w:val="21"/>
                <w:highlight w:val="none"/>
              </w:rPr>
            </w:pPr>
            <w:r>
              <w:rPr>
                <w:rFonts w:hint="eastAsia" w:cs="Arial"/>
                <w:szCs w:val="21"/>
                <w:highlight w:val="none"/>
              </w:rPr>
              <w:t>投标人名称及评审得分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1" w:hRule="atLeast"/>
        </w:trPr>
        <w:tc>
          <w:tcPr>
            <w:tcW w:w="567"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cs="Arial"/>
                <w:szCs w:val="21"/>
                <w:highlight w:val="none"/>
              </w:rPr>
            </w:pPr>
          </w:p>
        </w:tc>
        <w:tc>
          <w:tcPr>
            <w:tcW w:w="2694"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cs="Arial"/>
                <w:szCs w:val="21"/>
                <w:highlight w:val="none"/>
              </w:rPr>
            </w:pPr>
          </w:p>
        </w:tc>
        <w:tc>
          <w:tcPr>
            <w:tcW w:w="5527"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cs="Arial"/>
                <w:szCs w:val="21"/>
                <w:highlight w:val="none"/>
              </w:rPr>
            </w:pPr>
          </w:p>
        </w:tc>
        <w:tc>
          <w:tcPr>
            <w:tcW w:w="993" w:type="dxa"/>
            <w:vMerge w:val="continue"/>
            <w:tcBorders>
              <w:top w:val="single" w:color="auto" w:sz="4" w:space="0"/>
              <w:left w:val="single" w:color="auto" w:sz="4" w:space="0"/>
              <w:bottom w:val="single" w:color="auto" w:sz="4" w:space="0"/>
              <w:right w:val="single" w:color="auto" w:sz="4" w:space="0"/>
            </w:tcBorders>
          </w:tcPr>
          <w:p>
            <w:pPr>
              <w:spacing w:before="60" w:beforeLines="25" w:after="60" w:afterLines="25"/>
              <w:rPr>
                <w:rFonts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96" w:hRule="atLeast"/>
        </w:trPr>
        <w:tc>
          <w:tcPr>
            <w:tcW w:w="567"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1</w:t>
            </w:r>
          </w:p>
        </w:tc>
        <w:tc>
          <w:tcPr>
            <w:tcW w:w="2694"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cs="Arial"/>
                <w:szCs w:val="21"/>
                <w:highlight w:val="none"/>
              </w:rPr>
            </w:pPr>
            <w:r>
              <w:rPr>
                <w:rFonts w:hint="eastAsia"/>
                <w:szCs w:val="21"/>
                <w:highlight w:val="none"/>
              </w:rPr>
              <w:t>施工方案与技术措施</w:t>
            </w:r>
          </w:p>
        </w:tc>
        <w:tc>
          <w:tcPr>
            <w:tcW w:w="552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施工方案与技术措施根据工程特点细化、针对本工程的特点，方案措施科学、合理、可行。</w:t>
            </w:r>
          </w:p>
        </w:tc>
        <w:tc>
          <w:tcPr>
            <w:tcW w:w="993"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96" w:hRule="atLeast"/>
        </w:trPr>
        <w:tc>
          <w:tcPr>
            <w:tcW w:w="567"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2</w:t>
            </w:r>
          </w:p>
        </w:tc>
        <w:tc>
          <w:tcPr>
            <w:tcW w:w="2694"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cs="Arial"/>
                <w:szCs w:val="21"/>
                <w:highlight w:val="none"/>
              </w:rPr>
            </w:pPr>
            <w:r>
              <w:rPr>
                <w:rFonts w:hint="eastAsia"/>
                <w:szCs w:val="21"/>
                <w:highlight w:val="none"/>
              </w:rPr>
              <w:t>质量管理体系与保证措施</w:t>
            </w:r>
          </w:p>
        </w:tc>
        <w:tc>
          <w:tcPr>
            <w:tcW w:w="552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质量管理体系完整，保证措施具有针对性和可行性。</w:t>
            </w:r>
          </w:p>
        </w:tc>
        <w:tc>
          <w:tcPr>
            <w:tcW w:w="993"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86" w:hRule="atLeast"/>
        </w:trPr>
        <w:tc>
          <w:tcPr>
            <w:tcW w:w="567"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3</w:t>
            </w:r>
          </w:p>
        </w:tc>
        <w:tc>
          <w:tcPr>
            <w:tcW w:w="2694"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cs="Arial"/>
                <w:szCs w:val="21"/>
                <w:highlight w:val="none"/>
              </w:rPr>
            </w:pPr>
            <w:r>
              <w:rPr>
                <w:rFonts w:hint="eastAsia"/>
                <w:szCs w:val="21"/>
                <w:highlight w:val="none"/>
              </w:rPr>
              <w:t>安全</w:t>
            </w:r>
            <w:r>
              <w:rPr>
                <w:rFonts w:hint="eastAsia" w:cs="Arial"/>
                <w:iCs/>
                <w:szCs w:val="28"/>
                <w:highlight w:val="none"/>
              </w:rPr>
              <w:t>和绿色施工保障</w:t>
            </w:r>
            <w:r>
              <w:rPr>
                <w:rFonts w:hint="eastAsia"/>
                <w:szCs w:val="21"/>
                <w:highlight w:val="none"/>
              </w:rPr>
              <w:t>措施</w:t>
            </w:r>
          </w:p>
        </w:tc>
        <w:tc>
          <w:tcPr>
            <w:tcW w:w="552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安全生产体系完整，绿色施工保障措施有针对性和可行性，有切实可行的安全技术措施及安全预案，以达到安全目标要求。</w:t>
            </w:r>
          </w:p>
        </w:tc>
        <w:tc>
          <w:tcPr>
            <w:tcW w:w="993"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vMerge w:val="restart"/>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86" w:hRule="atLeast"/>
        </w:trPr>
        <w:tc>
          <w:tcPr>
            <w:tcW w:w="567" w:type="dxa"/>
            <w:tcBorders>
              <w:top w:val="single" w:color="auto" w:sz="4" w:space="0"/>
              <w:left w:val="single" w:color="auto" w:sz="4" w:space="0"/>
              <w:right w:val="single" w:color="auto" w:sz="4" w:space="0"/>
            </w:tcBorders>
            <w:vAlign w:val="center"/>
          </w:tcPr>
          <w:p>
            <w:pPr>
              <w:spacing w:before="60" w:beforeLines="25" w:after="60" w:afterLines="25"/>
              <w:jc w:val="center"/>
              <w:rPr>
                <w:rFonts w:cs="Arial"/>
                <w:szCs w:val="21"/>
                <w:highlight w:val="none"/>
              </w:rPr>
            </w:pPr>
            <w:r>
              <w:rPr>
                <w:rFonts w:hint="eastAsia" w:cs="Arial"/>
                <w:szCs w:val="21"/>
                <w:highlight w:val="none"/>
              </w:rPr>
              <w:t>4</w:t>
            </w:r>
          </w:p>
        </w:tc>
        <w:tc>
          <w:tcPr>
            <w:tcW w:w="2694" w:type="dxa"/>
            <w:tcBorders>
              <w:top w:val="single" w:color="auto" w:sz="4" w:space="0"/>
              <w:left w:val="single" w:color="auto" w:sz="4" w:space="0"/>
              <w:right w:val="single" w:color="auto" w:sz="4" w:space="0"/>
            </w:tcBorders>
            <w:vAlign w:val="center"/>
          </w:tcPr>
          <w:p>
            <w:pPr>
              <w:spacing w:before="60" w:beforeLines="25" w:after="60" w:afterLines="25"/>
              <w:rPr>
                <w:rFonts w:cs="Arial"/>
                <w:szCs w:val="21"/>
                <w:highlight w:val="none"/>
              </w:rPr>
            </w:pPr>
            <w:r>
              <w:rPr>
                <w:rFonts w:hint="eastAsia"/>
                <w:szCs w:val="21"/>
                <w:highlight w:val="none"/>
              </w:rPr>
              <w:t>工程进度计划与保证措施</w:t>
            </w:r>
          </w:p>
        </w:tc>
        <w:tc>
          <w:tcPr>
            <w:tcW w:w="552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施工进度计划与工序衔接科学合理，有明确的施工网络图，能直接地反映出进度计划工序的作业时间。</w:t>
            </w:r>
          </w:p>
        </w:tc>
        <w:tc>
          <w:tcPr>
            <w:tcW w:w="99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02" w:hRule="atLeast"/>
        </w:trPr>
        <w:tc>
          <w:tcPr>
            <w:tcW w:w="9781" w:type="dxa"/>
            <w:gridSpan w:val="4"/>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cs="Arial"/>
                <w:szCs w:val="21"/>
                <w:highlight w:val="none"/>
              </w:rPr>
            </w:pPr>
            <w:r>
              <w:rPr>
                <w:rFonts w:hint="eastAsia" w:cs="Arial"/>
                <w:b/>
                <w:bCs/>
                <w:szCs w:val="20"/>
                <w:highlight w:val="none"/>
              </w:rPr>
              <w:t>施工组织设计得分合计A（满分</w:t>
            </w:r>
            <w:r>
              <w:rPr>
                <w:rFonts w:hint="eastAsia" w:cs="Arial"/>
                <w:b/>
                <w:bCs/>
                <w:szCs w:val="20"/>
                <w:highlight w:val="none"/>
                <w:u w:val="single"/>
              </w:rPr>
              <w:t xml:space="preserve"> 10  </w:t>
            </w:r>
            <w:r>
              <w:rPr>
                <w:rFonts w:hint="eastAsia" w:cs="Arial"/>
                <w:b/>
                <w:bCs/>
                <w:szCs w:val="20"/>
                <w:highlight w:val="none"/>
              </w:rPr>
              <w:t>）</w:t>
            </w: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c>
          <w:tcPr>
            <w:tcW w:w="565"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仿宋_GB2312" w:hAnsi="Arial" w:eastAsia="仿宋_GB2312" w:cs="Arial"/>
                <w:szCs w:val="21"/>
                <w:highlight w:val="none"/>
              </w:rPr>
            </w:pPr>
          </w:p>
        </w:tc>
      </w:tr>
    </w:tbl>
    <w:p>
      <w:pPr>
        <w:tabs>
          <w:tab w:val="left" w:pos="4680"/>
        </w:tabs>
        <w:spacing w:after="120" w:afterLines="50"/>
        <w:rPr>
          <w:rFonts w:ascii="Arial" w:hAnsi="Arial" w:cs="Arial"/>
          <w:highlight w:val="none"/>
        </w:rPr>
      </w:pPr>
    </w:p>
    <w:p>
      <w:pPr>
        <w:pStyle w:val="29"/>
        <w:tabs>
          <w:tab w:val="left" w:pos="4680"/>
        </w:tabs>
        <w:spacing w:after="120" w:afterLines="50"/>
        <w:jc w:val="center"/>
        <w:rPr>
          <w:b/>
          <w:bCs/>
          <w:sz w:val="28"/>
          <w:szCs w:val="28"/>
          <w:highlight w:val="none"/>
        </w:rPr>
      </w:pPr>
      <w:r>
        <w:rPr>
          <w:rFonts w:hint="eastAsia" w:ascii="Arial" w:hAnsi="Arial" w:cs="Arial"/>
          <w:highlight w:val="none"/>
        </w:rPr>
        <w:t>评标委员会成员</w:t>
      </w:r>
      <w:r>
        <w:rPr>
          <w:rFonts w:ascii="Arial" w:hAnsi="Arial" w:cs="Arial"/>
          <w:highlight w:val="none"/>
        </w:rPr>
        <w:t xml:space="preserve">签名：                                                                      日期：   年    月   日                     </w:t>
      </w:r>
      <w:r>
        <w:rPr>
          <w:rFonts w:hint="eastAsia" w:ascii="normal ˎ̥" w:hAnsi="normal ˎ̥"/>
          <w:szCs w:val="21"/>
          <w:highlight w:val="none"/>
        </w:rPr>
        <w:br w:type="page"/>
      </w:r>
      <w:r>
        <w:rPr>
          <w:rFonts w:hint="eastAsia"/>
          <w:b/>
          <w:bCs/>
          <w:sz w:val="28"/>
          <w:szCs w:val="28"/>
          <w:highlight w:val="none"/>
        </w:rPr>
        <w:t>施工组织设计</w:t>
      </w:r>
      <w:r>
        <w:rPr>
          <w:b/>
          <w:bCs/>
          <w:sz w:val="28"/>
          <w:szCs w:val="28"/>
          <w:highlight w:val="none"/>
        </w:rPr>
        <w:t>评审记录表</w:t>
      </w:r>
      <w:r>
        <w:rPr>
          <w:rFonts w:hint="eastAsia"/>
          <w:b/>
          <w:bCs/>
          <w:sz w:val="28"/>
          <w:szCs w:val="28"/>
          <w:highlight w:val="none"/>
        </w:rPr>
        <w:t>（续表1）</w:t>
      </w:r>
    </w:p>
    <w:p>
      <w:pPr>
        <w:rPr>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15"/>
        <w:gridCol w:w="2960"/>
        <w:gridCol w:w="4828"/>
        <w:gridCol w:w="877"/>
        <w:gridCol w:w="681"/>
        <w:gridCol w:w="709"/>
        <w:gridCol w:w="854"/>
        <w:gridCol w:w="696"/>
        <w:gridCol w:w="863"/>
        <w:gridCol w:w="69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715"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2960"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w:t>
            </w:r>
            <w:r>
              <w:rPr>
                <w:rFonts w:hint="eastAsia" w:ascii="Arial" w:hAnsi="Arial" w:cs="Arial"/>
                <w:szCs w:val="21"/>
                <w:highlight w:val="none"/>
              </w:rPr>
              <w:t>分项目</w:t>
            </w:r>
          </w:p>
        </w:tc>
        <w:tc>
          <w:tcPr>
            <w:tcW w:w="482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Arial" w:hAnsi="Arial" w:cs="Arial"/>
                <w:szCs w:val="21"/>
                <w:highlight w:val="none"/>
              </w:rPr>
            </w:pPr>
            <w:r>
              <w:rPr>
                <w:rFonts w:hint="eastAsia" w:cs="Arial"/>
                <w:szCs w:val="21"/>
                <w:highlight w:val="none"/>
              </w:rPr>
              <w:t>评分标准</w:t>
            </w:r>
          </w:p>
        </w:tc>
        <w:tc>
          <w:tcPr>
            <w:tcW w:w="877" w:type="dxa"/>
            <w:vMerge w:val="restart"/>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cs="Arial"/>
                <w:szCs w:val="21"/>
                <w:highlight w:val="none"/>
              </w:rPr>
              <w:t>标准分</w:t>
            </w:r>
          </w:p>
        </w:tc>
        <w:tc>
          <w:tcPr>
            <w:tcW w:w="4499" w:type="dxa"/>
            <w:gridSpan w:val="6"/>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投标人名称及评审得分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1" w:hRule="atLeast"/>
        </w:trPr>
        <w:tc>
          <w:tcPr>
            <w:tcW w:w="715"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960"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4828" w:type="dxa"/>
            <w:vMerge w:val="continue"/>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877"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8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55"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5</w:t>
            </w:r>
          </w:p>
        </w:tc>
        <w:tc>
          <w:tcPr>
            <w:tcW w:w="296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针对本工程的重点难点分析及合理化建议</w:t>
            </w:r>
          </w:p>
        </w:tc>
        <w:tc>
          <w:tcPr>
            <w:tcW w:w="482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default" w:eastAsia="宋体" w:cs="Arial"/>
                <w:szCs w:val="21"/>
                <w:highlight w:val="none"/>
                <w:lang w:val="en-US" w:eastAsia="zh-CN"/>
              </w:rPr>
            </w:pPr>
            <w:r>
              <w:rPr>
                <w:rFonts w:hint="eastAsia"/>
                <w:szCs w:val="21"/>
                <w:highlight w:val="none"/>
              </w:rPr>
              <w:t>针对本工程的重点难点</w:t>
            </w:r>
            <w:r>
              <w:rPr>
                <w:rFonts w:hint="eastAsia"/>
                <w:szCs w:val="21"/>
                <w:highlight w:val="none"/>
                <w:lang w:val="en-US" w:eastAsia="zh-CN"/>
              </w:rPr>
              <w:t>进行分析，有切实可行的合理化建议，提前考虑到本工程各施工界面衔接等问题。</w:t>
            </w:r>
          </w:p>
        </w:tc>
        <w:tc>
          <w:tcPr>
            <w:tcW w:w="87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681"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41"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6</w:t>
            </w:r>
          </w:p>
        </w:tc>
        <w:tc>
          <w:tcPr>
            <w:tcW w:w="296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对其他承包人的管理、配合、协调和服务的方案</w:t>
            </w:r>
          </w:p>
        </w:tc>
        <w:tc>
          <w:tcPr>
            <w:tcW w:w="482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eastAsia" w:cs="Arial"/>
                <w:szCs w:val="21"/>
                <w:highlight w:val="none"/>
                <w:lang w:val="en-US" w:eastAsia="zh-CN"/>
              </w:rPr>
            </w:pPr>
          </w:p>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有合理可行的协调和服务方案，确保对分包、其他承包人的管理到位。</w:t>
            </w:r>
          </w:p>
        </w:tc>
        <w:tc>
          <w:tcPr>
            <w:tcW w:w="87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681"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86"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7</w:t>
            </w:r>
          </w:p>
        </w:tc>
        <w:tc>
          <w:tcPr>
            <w:tcW w:w="296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cs="Arial"/>
                <w:iCs/>
                <w:szCs w:val="28"/>
                <w:highlight w:val="none"/>
              </w:rPr>
              <w:t>劳动力需求计划及保证措施和主要材料设备用量及采购计划</w:t>
            </w:r>
          </w:p>
        </w:tc>
        <w:tc>
          <w:tcPr>
            <w:tcW w:w="482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现场管理组织机构健全、分工明确、配置合理、劳动力组织合理，能满足施工需求，同时要有处罚、整改措施。</w:t>
            </w:r>
          </w:p>
        </w:tc>
        <w:tc>
          <w:tcPr>
            <w:tcW w:w="87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681"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86" w:hRule="atLeast"/>
        </w:trPr>
        <w:tc>
          <w:tcPr>
            <w:tcW w:w="715"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8</w:t>
            </w:r>
          </w:p>
        </w:tc>
        <w:tc>
          <w:tcPr>
            <w:tcW w:w="2960" w:type="dxa"/>
            <w:tcBorders>
              <w:top w:val="single" w:color="auto" w:sz="4" w:space="0"/>
              <w:left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冬季、雨季施工方案</w:t>
            </w:r>
          </w:p>
        </w:tc>
        <w:tc>
          <w:tcPr>
            <w:tcW w:w="4828"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eastAsia" w:cs="Arial"/>
                <w:szCs w:val="21"/>
                <w:highlight w:val="none"/>
                <w:lang w:val="en-US" w:eastAsia="zh-CN"/>
              </w:rPr>
            </w:pPr>
          </w:p>
          <w:p>
            <w:pPr>
              <w:spacing w:before="60" w:beforeLines="25" w:after="60" w:afterLines="25"/>
              <w:rPr>
                <w:rFonts w:hint="eastAsia" w:eastAsia="宋体" w:cs="Arial"/>
                <w:szCs w:val="21"/>
                <w:highlight w:val="none"/>
                <w:lang w:val="en-US" w:eastAsia="zh-CN"/>
              </w:rPr>
            </w:pPr>
            <w:r>
              <w:rPr>
                <w:rFonts w:hint="eastAsia" w:cs="Arial"/>
                <w:szCs w:val="21"/>
                <w:highlight w:val="none"/>
                <w:lang w:val="en-US" w:eastAsia="zh-CN"/>
              </w:rPr>
              <w:t>有合理可行的</w:t>
            </w:r>
            <w:r>
              <w:rPr>
                <w:rFonts w:hint="eastAsia"/>
                <w:szCs w:val="21"/>
                <w:highlight w:val="none"/>
              </w:rPr>
              <w:t>冬季、雨季施工方案</w:t>
            </w:r>
            <w:r>
              <w:rPr>
                <w:rFonts w:hint="eastAsia"/>
                <w:szCs w:val="21"/>
                <w:highlight w:val="none"/>
                <w:lang w:eastAsia="zh-CN"/>
              </w:rPr>
              <w:t>。</w:t>
            </w:r>
          </w:p>
        </w:tc>
        <w:tc>
          <w:tcPr>
            <w:tcW w:w="87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0.5分</w:t>
            </w:r>
          </w:p>
        </w:tc>
        <w:tc>
          <w:tcPr>
            <w:tcW w:w="681"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02" w:hRule="atLeast"/>
        </w:trPr>
        <w:tc>
          <w:tcPr>
            <w:tcW w:w="9380" w:type="dxa"/>
            <w:gridSpan w:val="4"/>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b/>
                <w:bCs/>
                <w:szCs w:val="20"/>
                <w:highlight w:val="none"/>
              </w:rPr>
              <w:t>施工组织设计</w:t>
            </w:r>
            <w:r>
              <w:rPr>
                <w:rFonts w:ascii="Arial" w:hAnsi="Arial" w:cs="Arial"/>
                <w:b/>
                <w:bCs/>
                <w:szCs w:val="20"/>
                <w:highlight w:val="none"/>
              </w:rPr>
              <w:t>得分合计</w:t>
            </w:r>
            <w:r>
              <w:rPr>
                <w:rFonts w:hint="eastAsia" w:ascii="Arial" w:hAnsi="Arial" w:cs="Arial"/>
                <w:b/>
                <w:bCs/>
                <w:szCs w:val="20"/>
                <w:highlight w:val="none"/>
              </w:rPr>
              <w:t>A（满分</w:t>
            </w:r>
            <w:r>
              <w:rPr>
                <w:rFonts w:hint="eastAsia" w:ascii="Arial" w:hAnsi="Arial" w:cs="Arial"/>
                <w:b/>
                <w:bCs/>
                <w:szCs w:val="20"/>
                <w:highlight w:val="none"/>
                <w:u w:val="single"/>
              </w:rPr>
              <w:t>10</w:t>
            </w:r>
            <w:r>
              <w:rPr>
                <w:rFonts w:hint="eastAsia" w:ascii="Arial" w:hAnsi="Arial" w:cs="Arial"/>
                <w:b/>
                <w:bCs/>
                <w:szCs w:val="20"/>
                <w:highlight w:val="none"/>
              </w:rPr>
              <w:t>）</w:t>
            </w:r>
          </w:p>
        </w:tc>
        <w:tc>
          <w:tcPr>
            <w:tcW w:w="681"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r>
    </w:tbl>
    <w:p>
      <w:pPr>
        <w:pStyle w:val="29"/>
        <w:tabs>
          <w:tab w:val="left" w:pos="4680"/>
        </w:tabs>
        <w:spacing w:after="120" w:afterLines="50"/>
        <w:jc w:val="center"/>
        <w:rPr>
          <w:b/>
          <w:bCs/>
          <w:sz w:val="28"/>
          <w:szCs w:val="28"/>
          <w:highlight w:val="none"/>
        </w:rPr>
      </w:pPr>
      <w:r>
        <w:rPr>
          <w:rFonts w:hint="eastAsia" w:ascii="Arial" w:hAnsi="Arial" w:cs="Arial"/>
          <w:highlight w:val="none"/>
        </w:rPr>
        <w:t>评标委员会成员</w:t>
      </w:r>
      <w:r>
        <w:rPr>
          <w:rFonts w:ascii="Arial" w:hAnsi="Arial" w:cs="Arial"/>
          <w:highlight w:val="none"/>
        </w:rPr>
        <w:t xml:space="preserve">签名：               </w:t>
      </w:r>
      <w:r>
        <w:rPr>
          <w:rFonts w:hint="eastAsia" w:ascii="Arial" w:hAnsi="Arial" w:cs="Arial"/>
          <w:highlight w:val="none"/>
        </w:rPr>
        <w:t xml:space="preserve">                                              </w:t>
      </w:r>
      <w:r>
        <w:rPr>
          <w:rFonts w:ascii="Arial" w:hAnsi="Arial" w:cs="Arial"/>
          <w:highlight w:val="none"/>
        </w:rPr>
        <w:t xml:space="preserve">   日期：   年    月   日</w:t>
      </w:r>
      <w:r>
        <w:rPr>
          <w:highlight w:val="none"/>
        </w:rPr>
        <w:br w:type="page"/>
      </w:r>
      <w:r>
        <w:rPr>
          <w:rFonts w:hint="eastAsia"/>
          <w:b/>
          <w:bCs/>
          <w:sz w:val="28"/>
          <w:szCs w:val="28"/>
          <w:highlight w:val="none"/>
        </w:rPr>
        <w:t>施工组织设计</w:t>
      </w:r>
      <w:r>
        <w:rPr>
          <w:b/>
          <w:bCs/>
          <w:sz w:val="28"/>
          <w:szCs w:val="28"/>
          <w:highlight w:val="none"/>
        </w:rPr>
        <w:t>评审记录表</w:t>
      </w:r>
      <w:r>
        <w:rPr>
          <w:rFonts w:hint="eastAsia"/>
          <w:b/>
          <w:bCs/>
          <w:sz w:val="28"/>
          <w:szCs w:val="28"/>
          <w:highlight w:val="none"/>
        </w:rPr>
        <w:t>（续表2）</w:t>
      </w:r>
    </w:p>
    <w:p>
      <w:pPr>
        <w:rPr>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15"/>
        <w:gridCol w:w="2961"/>
        <w:gridCol w:w="4480"/>
        <w:gridCol w:w="1275"/>
        <w:gridCol w:w="630"/>
        <w:gridCol w:w="709"/>
        <w:gridCol w:w="854"/>
        <w:gridCol w:w="696"/>
        <w:gridCol w:w="863"/>
        <w:gridCol w:w="69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715"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2961" w:type="dxa"/>
            <w:vMerge w:val="restart"/>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w:t>
            </w:r>
            <w:r>
              <w:rPr>
                <w:rFonts w:hint="eastAsia" w:ascii="Arial" w:hAnsi="Arial" w:cs="Arial"/>
                <w:szCs w:val="21"/>
                <w:highlight w:val="none"/>
              </w:rPr>
              <w:t>分项目</w:t>
            </w:r>
          </w:p>
        </w:tc>
        <w:tc>
          <w:tcPr>
            <w:tcW w:w="44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Arial" w:hAnsi="Arial" w:cs="Arial"/>
                <w:szCs w:val="21"/>
                <w:highlight w:val="none"/>
              </w:rPr>
            </w:pPr>
            <w:r>
              <w:rPr>
                <w:rFonts w:hint="eastAsia" w:cs="Arial"/>
                <w:szCs w:val="21"/>
                <w:highlight w:val="none"/>
              </w:rPr>
              <w:t>评分标准</w:t>
            </w:r>
          </w:p>
        </w:tc>
        <w:tc>
          <w:tcPr>
            <w:tcW w:w="1275" w:type="dxa"/>
            <w:vMerge w:val="restart"/>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cs="Arial"/>
                <w:szCs w:val="21"/>
                <w:highlight w:val="none"/>
              </w:rPr>
              <w:t>标准分</w:t>
            </w:r>
          </w:p>
        </w:tc>
        <w:tc>
          <w:tcPr>
            <w:tcW w:w="4448" w:type="dxa"/>
            <w:gridSpan w:val="6"/>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投标人名称及评审得分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1" w:hRule="atLeast"/>
        </w:trPr>
        <w:tc>
          <w:tcPr>
            <w:tcW w:w="715"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2961" w:type="dxa"/>
            <w:vMerge w:val="continue"/>
            <w:tcBorders>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4480" w:type="dxa"/>
            <w:vMerge w:val="continue"/>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275"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3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73"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9</w:t>
            </w:r>
          </w:p>
        </w:tc>
        <w:tc>
          <w:tcPr>
            <w:tcW w:w="296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应急预案以及抵抗风险的措施</w:t>
            </w:r>
          </w:p>
        </w:tc>
        <w:tc>
          <w:tcPr>
            <w:tcW w:w="4480"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eastAsia" w:cs="Arial"/>
                <w:szCs w:val="21"/>
                <w:highlight w:val="none"/>
                <w:lang w:val="en-US" w:eastAsia="zh-CN"/>
              </w:rPr>
            </w:pPr>
          </w:p>
          <w:p>
            <w:pPr>
              <w:spacing w:before="60" w:beforeLines="25" w:after="60" w:afterLines="25"/>
              <w:rPr>
                <w:rFonts w:hint="eastAsia" w:eastAsia="宋体" w:cs="Arial"/>
                <w:szCs w:val="21"/>
                <w:highlight w:val="none"/>
                <w:lang w:val="en-US" w:eastAsia="zh-CN"/>
              </w:rPr>
            </w:pPr>
            <w:r>
              <w:rPr>
                <w:rFonts w:hint="eastAsia" w:cs="Arial"/>
                <w:szCs w:val="21"/>
                <w:highlight w:val="none"/>
                <w:lang w:val="en-US" w:eastAsia="zh-CN"/>
              </w:rPr>
              <w:t>充分了解本工程可能遇到的风险，制定合理可行的</w:t>
            </w:r>
            <w:r>
              <w:rPr>
                <w:rFonts w:hint="eastAsia"/>
                <w:szCs w:val="21"/>
                <w:highlight w:val="none"/>
              </w:rPr>
              <w:t>应急预案以及抵抗风险的措施</w:t>
            </w:r>
            <w:r>
              <w:rPr>
                <w:rFonts w:hint="eastAsia"/>
                <w:szCs w:val="21"/>
                <w:highlight w:val="none"/>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63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41"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10</w:t>
            </w:r>
          </w:p>
        </w:tc>
        <w:tc>
          <w:tcPr>
            <w:tcW w:w="296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成品保护和工程保修工作的管理措施</w:t>
            </w:r>
          </w:p>
        </w:tc>
        <w:tc>
          <w:tcPr>
            <w:tcW w:w="4480"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eastAsia" w:cs="Arial"/>
                <w:szCs w:val="21"/>
                <w:highlight w:val="none"/>
                <w:lang w:val="en-US" w:eastAsia="zh-CN"/>
              </w:rPr>
            </w:pPr>
          </w:p>
          <w:p>
            <w:pPr>
              <w:spacing w:before="60" w:beforeLines="25" w:after="60" w:afterLines="25"/>
              <w:rPr>
                <w:rFonts w:hint="eastAsia" w:eastAsia="宋体" w:cs="Arial"/>
                <w:szCs w:val="21"/>
                <w:highlight w:val="none"/>
                <w:lang w:val="en-US" w:eastAsia="zh-CN"/>
              </w:rPr>
            </w:pPr>
            <w:r>
              <w:rPr>
                <w:rFonts w:hint="eastAsia" w:cs="Arial"/>
                <w:szCs w:val="21"/>
                <w:highlight w:val="none"/>
                <w:lang w:val="en-US" w:eastAsia="zh-CN"/>
              </w:rPr>
              <w:t>制定合理可行的</w:t>
            </w:r>
            <w:r>
              <w:rPr>
                <w:rFonts w:hint="eastAsia"/>
                <w:szCs w:val="21"/>
                <w:highlight w:val="none"/>
              </w:rPr>
              <w:t>成品保护</w:t>
            </w:r>
            <w:r>
              <w:rPr>
                <w:rFonts w:hint="eastAsia"/>
                <w:szCs w:val="21"/>
                <w:highlight w:val="none"/>
                <w:lang w:eastAsia="zh-CN"/>
              </w:rPr>
              <w:t>、</w:t>
            </w:r>
            <w:r>
              <w:rPr>
                <w:rFonts w:hint="eastAsia"/>
                <w:szCs w:val="21"/>
                <w:highlight w:val="none"/>
              </w:rPr>
              <w:t>工程保修工作的管理措施</w:t>
            </w:r>
            <w:r>
              <w:rPr>
                <w:rFonts w:hint="eastAsia"/>
                <w:szCs w:val="21"/>
                <w:highlight w:val="none"/>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0.5分</w:t>
            </w:r>
          </w:p>
        </w:tc>
        <w:tc>
          <w:tcPr>
            <w:tcW w:w="63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86" w:hRule="atLeast"/>
        </w:trPr>
        <w:tc>
          <w:tcPr>
            <w:tcW w:w="71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11</w:t>
            </w:r>
          </w:p>
        </w:tc>
        <w:tc>
          <w:tcPr>
            <w:tcW w:w="2961"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cs="Arial"/>
                <w:iCs/>
                <w:szCs w:val="28"/>
                <w:highlight w:val="none"/>
              </w:rPr>
              <w:t>施工现场总平面布置</w:t>
            </w:r>
          </w:p>
        </w:tc>
        <w:tc>
          <w:tcPr>
            <w:tcW w:w="4480"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hint="eastAsia" w:cs="Arial"/>
                <w:szCs w:val="21"/>
                <w:highlight w:val="none"/>
                <w:lang w:val="en-US" w:eastAsia="zh-CN"/>
              </w:rPr>
            </w:pPr>
          </w:p>
          <w:p>
            <w:pPr>
              <w:spacing w:before="60" w:beforeLines="25" w:after="60" w:afterLines="25"/>
              <w:rPr>
                <w:rFonts w:hint="default" w:eastAsia="宋体" w:cs="Arial"/>
                <w:szCs w:val="21"/>
                <w:highlight w:val="none"/>
                <w:lang w:val="en-US" w:eastAsia="zh-CN"/>
              </w:rPr>
            </w:pPr>
            <w:r>
              <w:rPr>
                <w:rFonts w:hint="eastAsia" w:cs="Arial"/>
                <w:szCs w:val="21"/>
                <w:highlight w:val="none"/>
                <w:lang w:val="en-US" w:eastAsia="zh-CN"/>
              </w:rPr>
              <w:t>总平面布置合理，满足安全文明施工要求。</w:t>
            </w:r>
          </w:p>
        </w:tc>
        <w:tc>
          <w:tcPr>
            <w:tcW w:w="1275"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szCs w:val="21"/>
                <w:highlight w:val="none"/>
                <w:lang w:val="en-US" w:eastAsia="zh-CN"/>
              </w:rPr>
              <w:t>0-</w:t>
            </w:r>
            <w:r>
              <w:rPr>
                <w:rFonts w:hint="eastAsia"/>
                <w:szCs w:val="21"/>
                <w:highlight w:val="none"/>
              </w:rPr>
              <w:t>1分</w:t>
            </w:r>
          </w:p>
        </w:tc>
        <w:tc>
          <w:tcPr>
            <w:tcW w:w="63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02" w:hRule="atLeast"/>
        </w:trPr>
        <w:tc>
          <w:tcPr>
            <w:tcW w:w="9431" w:type="dxa"/>
            <w:gridSpan w:val="4"/>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b/>
                <w:bCs/>
                <w:szCs w:val="20"/>
                <w:highlight w:val="none"/>
              </w:rPr>
              <w:t>施工组织设计</w:t>
            </w:r>
            <w:r>
              <w:rPr>
                <w:rFonts w:ascii="Arial" w:hAnsi="Arial" w:cs="Arial"/>
                <w:b/>
                <w:bCs/>
                <w:szCs w:val="20"/>
                <w:highlight w:val="none"/>
              </w:rPr>
              <w:t>得分合计</w:t>
            </w:r>
            <w:r>
              <w:rPr>
                <w:rFonts w:hint="eastAsia" w:ascii="Arial" w:hAnsi="Arial" w:cs="Arial"/>
                <w:b/>
                <w:bCs/>
                <w:szCs w:val="20"/>
                <w:highlight w:val="none"/>
              </w:rPr>
              <w:t>A（满分</w:t>
            </w:r>
            <w:r>
              <w:rPr>
                <w:rFonts w:hint="eastAsia" w:ascii="Arial" w:hAnsi="Arial" w:cs="Arial"/>
                <w:b/>
                <w:bCs/>
                <w:szCs w:val="20"/>
                <w:highlight w:val="none"/>
                <w:u w:val="single"/>
              </w:rPr>
              <w:t>10</w:t>
            </w:r>
            <w:r>
              <w:rPr>
                <w:rFonts w:hint="eastAsia" w:ascii="Arial" w:hAnsi="Arial" w:cs="Arial"/>
                <w:b/>
                <w:bCs/>
                <w:szCs w:val="20"/>
                <w:highlight w:val="none"/>
              </w:rPr>
              <w:t>）</w:t>
            </w:r>
          </w:p>
        </w:tc>
        <w:tc>
          <w:tcPr>
            <w:tcW w:w="630"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709"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85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86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696"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r>
    </w:tbl>
    <w:p>
      <w:pPr>
        <w:tabs>
          <w:tab w:val="left" w:pos="4680"/>
        </w:tabs>
        <w:spacing w:after="120" w:afterLines="50"/>
        <w:rPr>
          <w:rFonts w:ascii="Arial" w:hAnsi="Arial" w:cs="Arial"/>
          <w:highlight w:val="none"/>
        </w:rPr>
      </w:pPr>
      <w:r>
        <w:rPr>
          <w:rFonts w:hint="eastAsia" w:ascii="Arial" w:hAnsi="Arial" w:cs="Arial"/>
          <w:highlight w:val="none"/>
        </w:rPr>
        <w:t>评标委员会成员</w:t>
      </w:r>
      <w:r>
        <w:rPr>
          <w:rFonts w:ascii="Arial" w:hAnsi="Arial" w:cs="Arial"/>
          <w:highlight w:val="none"/>
        </w:rPr>
        <w:t xml:space="preserve">签名：               </w:t>
      </w:r>
      <w:r>
        <w:rPr>
          <w:rFonts w:hint="eastAsia" w:ascii="Arial" w:hAnsi="Arial" w:cs="Arial"/>
          <w:highlight w:val="none"/>
        </w:rPr>
        <w:t xml:space="preserve">                                              </w:t>
      </w:r>
      <w:r>
        <w:rPr>
          <w:rFonts w:ascii="Arial" w:hAnsi="Arial" w:cs="Arial"/>
          <w:highlight w:val="none"/>
        </w:rPr>
        <w:t xml:space="preserve">   日期：   年    月   日</w:t>
      </w:r>
      <w:r>
        <w:rPr>
          <w:highlight w:val="none"/>
        </w:rPr>
        <w:br w:type="page"/>
      </w:r>
      <w:r>
        <w:rPr>
          <w:rFonts w:hint="eastAsia" w:ascii="黑体" w:eastAsia="黑体"/>
          <w:sz w:val="24"/>
          <w:highlight w:val="none"/>
        </w:rPr>
        <w:t>附表</w:t>
      </w:r>
      <w:r>
        <w:rPr>
          <w:rFonts w:hint="eastAsia" w:ascii="Arial" w:hAnsi="Arial" w:cs="Arial"/>
          <w:b/>
          <w:bCs/>
          <w:sz w:val="24"/>
          <w:highlight w:val="none"/>
        </w:rPr>
        <w:t>A-9</w:t>
      </w:r>
      <w:r>
        <w:rPr>
          <w:rFonts w:hint="eastAsia" w:ascii="黑体" w:eastAsia="黑体"/>
          <w:sz w:val="24"/>
          <w:highlight w:val="none"/>
        </w:rPr>
        <w:t>：项目管理机构评审记录表</w:t>
      </w:r>
    </w:p>
    <w:p>
      <w:pPr>
        <w:jc w:val="center"/>
        <w:rPr>
          <w:rFonts w:ascii="Arial" w:hAnsi="Arial" w:cs="Arial"/>
          <w:bCs/>
          <w:szCs w:val="21"/>
          <w:highlight w:val="none"/>
        </w:rPr>
      </w:pPr>
      <w:r>
        <w:rPr>
          <w:rFonts w:hint="eastAsia"/>
          <w:b/>
          <w:bCs/>
          <w:kern w:val="0"/>
          <w:sz w:val="28"/>
          <w:szCs w:val="28"/>
          <w:highlight w:val="none"/>
        </w:rPr>
        <w:t>项目管理机构</w:t>
      </w:r>
      <w:r>
        <w:rPr>
          <w:b/>
          <w:bCs/>
          <w:kern w:val="0"/>
          <w:sz w:val="28"/>
          <w:szCs w:val="28"/>
          <w:highlight w:val="none"/>
        </w:rPr>
        <w:t>评审记录表</w:t>
      </w:r>
    </w:p>
    <w:p>
      <w:pPr>
        <w:rPr>
          <w:rFonts w:ascii="Arial" w:hAnsi="Arial" w:cs="Arial"/>
          <w:bCs/>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14587"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20"/>
        <w:gridCol w:w="1853"/>
        <w:gridCol w:w="4136"/>
        <w:gridCol w:w="851"/>
        <w:gridCol w:w="1003"/>
        <w:gridCol w:w="1004"/>
        <w:gridCol w:w="1004"/>
        <w:gridCol w:w="1004"/>
        <w:gridCol w:w="1004"/>
        <w:gridCol w:w="1004"/>
        <w:gridCol w:w="100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720"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1853"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w:t>
            </w:r>
            <w:r>
              <w:rPr>
                <w:rFonts w:hint="eastAsia" w:ascii="Arial" w:hAnsi="Arial" w:cs="Arial"/>
                <w:szCs w:val="21"/>
                <w:highlight w:val="none"/>
              </w:rPr>
              <w:t>分项目</w:t>
            </w:r>
          </w:p>
        </w:tc>
        <w:tc>
          <w:tcPr>
            <w:tcW w:w="4136" w:type="dxa"/>
            <w:vMerge w:val="restart"/>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评分标准</w:t>
            </w:r>
          </w:p>
        </w:tc>
        <w:tc>
          <w:tcPr>
            <w:tcW w:w="851" w:type="dxa"/>
            <w:vMerge w:val="restart"/>
            <w:tcBorders>
              <w:top w:val="single" w:color="auto" w:sz="4" w:space="0"/>
              <w:left w:val="single" w:color="auto" w:sz="4" w:space="0"/>
              <w:bottom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标准分</w:t>
            </w:r>
          </w:p>
        </w:tc>
        <w:tc>
          <w:tcPr>
            <w:tcW w:w="7027" w:type="dxa"/>
            <w:gridSpan w:val="7"/>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ascii="Arial" w:hAnsi="Arial" w:cs="Arial"/>
                <w:szCs w:val="20"/>
                <w:highlight w:val="none"/>
              </w:rPr>
              <w:t>投标人名称</w:t>
            </w:r>
            <w:r>
              <w:rPr>
                <w:rFonts w:hint="eastAsia" w:ascii="Arial" w:hAnsi="Arial" w:cs="Arial"/>
                <w:szCs w:val="21"/>
                <w:highlight w:val="none"/>
              </w:rPr>
              <w:t>及评审得分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98" w:hRule="atLeas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1853"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4136"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51" w:type="dxa"/>
            <w:vMerge w:val="continue"/>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734" w:hRule="atLeast"/>
        </w:trPr>
        <w:tc>
          <w:tcPr>
            <w:tcW w:w="72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olor w:val="000000"/>
                <w:highlight w:val="none"/>
              </w:rPr>
            </w:pPr>
            <w:r>
              <w:rPr>
                <w:rFonts w:hint="eastAsia" w:ascii="Arial" w:hAnsi="Arial"/>
                <w:color w:val="000000"/>
                <w:highlight w:val="none"/>
              </w:rPr>
              <w:t>1</w:t>
            </w:r>
          </w:p>
        </w:tc>
        <w:tc>
          <w:tcPr>
            <w:tcW w:w="185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eastAsia="Arial"/>
                <w:color w:val="000000"/>
                <w:highlight w:val="none"/>
              </w:rPr>
            </w:pPr>
            <w:r>
              <w:rPr>
                <w:rFonts w:hint="eastAsia" w:ascii="Arial" w:hAnsi="Arial"/>
                <w:color w:val="000000"/>
                <w:highlight w:val="none"/>
              </w:rPr>
              <w:t>项目经理</w:t>
            </w:r>
          </w:p>
        </w:tc>
        <w:tc>
          <w:tcPr>
            <w:tcW w:w="4136" w:type="dxa"/>
            <w:tcBorders>
              <w:top w:val="single" w:color="auto" w:sz="4" w:space="0"/>
              <w:left w:val="single" w:color="auto" w:sz="4" w:space="0"/>
              <w:right w:val="single" w:color="auto" w:sz="4" w:space="0"/>
            </w:tcBorders>
            <w:vAlign w:val="center"/>
          </w:tcPr>
          <w:p>
            <w:pPr>
              <w:spacing w:before="60" w:beforeLines="25" w:after="60" w:afterLines="25"/>
              <w:jc w:val="left"/>
              <w:rPr>
                <w:rFonts w:hint="eastAsia" w:ascii="Arial" w:hAnsi="Arial"/>
                <w:color w:val="000000"/>
                <w:highlight w:val="none"/>
              </w:rPr>
            </w:pPr>
            <w:r>
              <w:rPr>
                <w:rFonts w:hint="eastAsia" w:ascii="Arial" w:hAnsi="Arial"/>
                <w:color w:val="000000"/>
                <w:highlight w:val="none"/>
                <w:lang w:val="en-US" w:eastAsia="zh-CN"/>
              </w:rPr>
              <w:t>1）近8年</w:t>
            </w:r>
            <w:r>
              <w:rPr>
                <w:rFonts w:hint="eastAsia" w:ascii="Arial" w:hAnsi="Arial"/>
                <w:color w:val="000000"/>
                <w:highlight w:val="none"/>
              </w:rPr>
              <w:t>以项目经理身份主持过</w:t>
            </w:r>
            <w:r>
              <w:rPr>
                <w:rFonts w:hint="eastAsia"/>
                <w:szCs w:val="21"/>
                <w:highlight w:val="none"/>
                <w:u w:val="single"/>
              </w:rPr>
              <w:t>类似</w:t>
            </w:r>
            <w:r>
              <w:rPr>
                <w:szCs w:val="21"/>
                <w:highlight w:val="none"/>
                <w:u w:val="single"/>
              </w:rPr>
              <w:t>工程</w:t>
            </w:r>
            <w:r>
              <w:rPr>
                <w:rFonts w:hint="eastAsia"/>
                <w:color w:val="000000"/>
                <w:szCs w:val="21"/>
                <w:highlight w:val="none"/>
                <w:u w:val="single"/>
              </w:rPr>
              <w:t>业绩</w:t>
            </w:r>
            <w:r>
              <w:rPr>
                <w:rFonts w:hint="eastAsia"/>
                <w:highlight w:val="none"/>
              </w:rPr>
              <w:t>的，</w:t>
            </w:r>
            <w:r>
              <w:rPr>
                <w:rFonts w:hint="eastAsia" w:ascii="Arial" w:hAnsi="Arial"/>
                <w:color w:val="000000"/>
                <w:highlight w:val="none"/>
              </w:rPr>
              <w:t>每具备</w:t>
            </w:r>
            <w:r>
              <w:rPr>
                <w:rFonts w:ascii="Arial" w:hAnsi="Arial"/>
                <w:color w:val="000000"/>
                <w:highlight w:val="none"/>
              </w:rPr>
              <w:t>1</w:t>
            </w:r>
            <w:r>
              <w:rPr>
                <w:rFonts w:hint="eastAsia" w:ascii="Arial" w:hAnsi="Arial"/>
                <w:color w:val="000000"/>
                <w:highlight w:val="none"/>
              </w:rPr>
              <w:t>个得</w:t>
            </w:r>
            <w:r>
              <w:rPr>
                <w:rFonts w:hint="eastAsia" w:ascii="Arial" w:hAnsi="Arial"/>
                <w:color w:val="000000"/>
                <w:highlight w:val="none"/>
                <w:lang w:val="en-US" w:eastAsia="zh-CN"/>
              </w:rPr>
              <w:t>3</w:t>
            </w:r>
            <w:r>
              <w:rPr>
                <w:rFonts w:hint="eastAsia" w:ascii="Arial" w:hAnsi="Arial"/>
                <w:color w:val="000000"/>
                <w:highlight w:val="none"/>
              </w:rPr>
              <w:t>分，最高得</w:t>
            </w:r>
            <w:r>
              <w:rPr>
                <w:rFonts w:hint="eastAsia" w:ascii="Arial" w:hAnsi="Arial"/>
                <w:color w:val="000000"/>
                <w:highlight w:val="none"/>
                <w:lang w:val="en-US" w:eastAsia="zh-CN"/>
              </w:rPr>
              <w:t>6</w:t>
            </w:r>
            <w:r>
              <w:rPr>
                <w:rFonts w:hint="eastAsia" w:ascii="Arial" w:hAnsi="Arial"/>
                <w:color w:val="000000"/>
                <w:highlight w:val="none"/>
              </w:rPr>
              <w:t>分。</w:t>
            </w:r>
          </w:p>
          <w:p>
            <w:pPr>
              <w:spacing w:before="60" w:beforeLines="25" w:after="60" w:afterLines="25"/>
              <w:jc w:val="left"/>
              <w:rPr>
                <w:rFonts w:hint="eastAsia" w:ascii="Arial" w:hAnsi="Arial"/>
                <w:color w:val="000000"/>
                <w:highlight w:val="none"/>
                <w:lang w:val="en-US" w:eastAsia="zh-CN"/>
              </w:rPr>
            </w:pPr>
            <w:r>
              <w:rPr>
                <w:rFonts w:hint="eastAsia" w:ascii="Arial" w:hAnsi="Arial"/>
                <w:color w:val="000000"/>
                <w:highlight w:val="none"/>
                <w:lang w:val="en-US" w:eastAsia="zh-CN"/>
              </w:rPr>
              <w:t>仅主持过地铁或轻轨项目轨道工程业绩的，最高得4分。</w:t>
            </w:r>
          </w:p>
          <w:p>
            <w:pPr>
              <w:spacing w:before="60" w:beforeLines="25" w:after="60" w:afterLines="25"/>
              <w:jc w:val="left"/>
              <w:rPr>
                <w:rFonts w:hint="eastAsia" w:ascii="Arial" w:hAnsi="Arial"/>
                <w:color w:val="000000"/>
                <w:highlight w:val="none"/>
                <w:lang w:val="en-US" w:eastAsia="zh-CN"/>
              </w:rPr>
            </w:pPr>
            <w:r>
              <w:rPr>
                <w:rFonts w:hint="eastAsia" w:ascii="Arial" w:hAnsi="Arial"/>
                <w:color w:val="000000"/>
                <w:highlight w:val="none"/>
                <w:lang w:val="en-US" w:eastAsia="zh-CN"/>
              </w:rPr>
              <w:t>2）近8年</w:t>
            </w:r>
            <w:r>
              <w:rPr>
                <w:rFonts w:hint="eastAsia" w:ascii="Arial" w:hAnsi="Arial"/>
                <w:color w:val="000000"/>
                <w:highlight w:val="none"/>
              </w:rPr>
              <w:t>以项目经理身份主持过</w:t>
            </w:r>
            <w:r>
              <w:rPr>
                <w:rFonts w:hint="eastAsia"/>
                <w:szCs w:val="21"/>
                <w:highlight w:val="none"/>
                <w:u w:val="single"/>
              </w:rPr>
              <w:t>类似</w:t>
            </w:r>
            <w:r>
              <w:rPr>
                <w:szCs w:val="21"/>
                <w:highlight w:val="none"/>
                <w:u w:val="single"/>
              </w:rPr>
              <w:t>工程</w:t>
            </w:r>
            <w:r>
              <w:rPr>
                <w:rFonts w:hint="eastAsia"/>
                <w:color w:val="000000"/>
                <w:szCs w:val="21"/>
                <w:highlight w:val="none"/>
                <w:u w:val="single"/>
              </w:rPr>
              <w:t>业绩</w:t>
            </w:r>
            <w:r>
              <w:rPr>
                <w:rFonts w:hint="eastAsia"/>
                <w:color w:val="000000"/>
                <w:szCs w:val="21"/>
                <w:highlight w:val="none"/>
                <w:u w:val="single"/>
                <w:lang w:val="en-US" w:eastAsia="zh-CN"/>
              </w:rPr>
              <w:t>中包含</w:t>
            </w:r>
            <w:r>
              <w:rPr>
                <w:rFonts w:hint="eastAsia" w:ascii="Arial" w:hAnsi="Arial"/>
                <w:color w:val="000000"/>
                <w:highlight w:val="none"/>
                <w:lang w:val="en-US" w:eastAsia="zh-CN"/>
              </w:rPr>
              <w:t>基标测设工作的，每个加2分，最多得2分。</w:t>
            </w:r>
          </w:p>
          <w:p>
            <w:pPr>
              <w:spacing w:before="60" w:beforeLines="25" w:after="60" w:afterLines="25"/>
              <w:jc w:val="left"/>
              <w:rPr>
                <w:rFonts w:hint="default" w:ascii="Arial" w:hAnsi="Arial"/>
                <w:color w:val="000000"/>
                <w:highlight w:val="none"/>
                <w:lang w:val="en-US" w:eastAsia="zh-CN"/>
              </w:rPr>
            </w:pPr>
            <w:r>
              <w:rPr>
                <w:rFonts w:hint="eastAsia" w:ascii="Arial" w:hAnsi="Arial"/>
                <w:color w:val="000000"/>
                <w:highlight w:val="none"/>
                <w:lang w:val="en-US" w:eastAsia="zh-CN"/>
              </w:rPr>
              <w:t>本项最高得8分。</w:t>
            </w:r>
          </w:p>
        </w:tc>
        <w:tc>
          <w:tcPr>
            <w:tcW w:w="851"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i w:val="0"/>
                <w:iCs w:val="0"/>
                <w:szCs w:val="21"/>
                <w:highlight w:val="none"/>
              </w:rPr>
            </w:pPr>
            <w:r>
              <w:rPr>
                <w:rFonts w:hint="eastAsia" w:ascii="Arial" w:hAnsi="Arial" w:cs="Arial"/>
                <w:i w:val="0"/>
                <w:iCs w:val="0"/>
                <w:szCs w:val="21"/>
                <w:highlight w:val="none"/>
              </w:rPr>
              <w:t>8</w:t>
            </w:r>
            <w:r>
              <w:rPr>
                <w:rFonts w:hint="eastAsia"/>
                <w:i w:val="0"/>
                <w:iCs w:val="0"/>
                <w:highlight w:val="none"/>
              </w:rPr>
              <w:t>分</w:t>
            </w:r>
          </w:p>
        </w:tc>
        <w:tc>
          <w:tcPr>
            <w:tcW w:w="1003"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143" w:hRule="atLeast"/>
        </w:trPr>
        <w:tc>
          <w:tcPr>
            <w:tcW w:w="72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2</w:t>
            </w:r>
          </w:p>
        </w:tc>
        <w:tc>
          <w:tcPr>
            <w:tcW w:w="185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olor w:val="000000"/>
                <w:highlight w:val="none"/>
              </w:rPr>
              <w:t>技术负责人</w:t>
            </w:r>
          </w:p>
        </w:tc>
        <w:tc>
          <w:tcPr>
            <w:tcW w:w="4136" w:type="dxa"/>
            <w:tcBorders>
              <w:top w:val="single" w:color="auto" w:sz="4" w:space="0"/>
              <w:left w:val="single" w:color="auto" w:sz="4" w:space="0"/>
              <w:right w:val="single" w:color="auto" w:sz="4" w:space="0"/>
            </w:tcBorders>
            <w:vAlign w:val="center"/>
          </w:tcPr>
          <w:p>
            <w:pPr>
              <w:spacing w:before="60" w:beforeLines="25" w:after="60" w:afterLines="25"/>
              <w:jc w:val="left"/>
              <w:rPr>
                <w:rFonts w:hint="eastAsia" w:ascii="Arial" w:hAnsi="Arial"/>
                <w:i w:val="0"/>
                <w:iCs w:val="0"/>
                <w:color w:val="000000"/>
                <w:highlight w:val="none"/>
              </w:rPr>
            </w:pPr>
            <w:r>
              <w:rPr>
                <w:rFonts w:hint="eastAsia" w:ascii="Arial" w:hAnsi="Arial"/>
                <w:i w:val="0"/>
                <w:iCs w:val="0"/>
                <w:color w:val="000000"/>
                <w:highlight w:val="none"/>
                <w:lang w:val="en-US" w:eastAsia="zh-CN"/>
              </w:rPr>
              <w:t>1）</w:t>
            </w:r>
            <w:r>
              <w:rPr>
                <w:rFonts w:hint="eastAsia" w:ascii="Arial" w:hAnsi="Arial"/>
                <w:color w:val="000000"/>
                <w:highlight w:val="none"/>
                <w:lang w:val="en-US" w:eastAsia="zh-CN"/>
              </w:rPr>
              <w:t>近8年</w:t>
            </w:r>
            <w:r>
              <w:rPr>
                <w:rFonts w:hint="eastAsia" w:ascii="Arial" w:hAnsi="Arial"/>
                <w:i w:val="0"/>
                <w:iCs w:val="0"/>
                <w:color w:val="auto"/>
                <w:highlight w:val="none"/>
              </w:rPr>
              <w:t>以技术负责人或者总工程师身份主持过</w:t>
            </w:r>
            <w:r>
              <w:rPr>
                <w:rFonts w:hint="eastAsia"/>
                <w:i w:val="0"/>
                <w:iCs w:val="0"/>
                <w:color w:val="auto"/>
                <w:szCs w:val="21"/>
                <w:highlight w:val="none"/>
                <w:u w:val="single"/>
              </w:rPr>
              <w:t>类似</w:t>
            </w:r>
            <w:r>
              <w:rPr>
                <w:i w:val="0"/>
                <w:iCs w:val="0"/>
                <w:color w:val="auto"/>
                <w:szCs w:val="21"/>
                <w:highlight w:val="none"/>
                <w:u w:val="single"/>
              </w:rPr>
              <w:t>工程</w:t>
            </w:r>
            <w:r>
              <w:rPr>
                <w:rFonts w:hint="eastAsia"/>
                <w:i w:val="0"/>
                <w:iCs w:val="0"/>
                <w:color w:val="auto"/>
                <w:szCs w:val="21"/>
                <w:highlight w:val="none"/>
                <w:u w:val="single"/>
              </w:rPr>
              <w:t>业绩的</w:t>
            </w:r>
            <w:r>
              <w:rPr>
                <w:rFonts w:hint="eastAsia"/>
                <w:i w:val="0"/>
                <w:iCs w:val="0"/>
                <w:color w:val="auto"/>
                <w:highlight w:val="none"/>
              </w:rPr>
              <w:t>，</w:t>
            </w:r>
            <w:r>
              <w:rPr>
                <w:rFonts w:hint="eastAsia" w:ascii="Arial" w:hAnsi="Arial"/>
                <w:i w:val="0"/>
                <w:iCs w:val="0"/>
                <w:color w:val="auto"/>
                <w:highlight w:val="none"/>
              </w:rPr>
              <w:t>每具备</w:t>
            </w:r>
            <w:r>
              <w:rPr>
                <w:rFonts w:ascii="Arial" w:hAnsi="Arial"/>
                <w:i w:val="0"/>
                <w:iCs w:val="0"/>
                <w:color w:val="auto"/>
                <w:highlight w:val="none"/>
              </w:rPr>
              <w:t>1</w:t>
            </w:r>
            <w:r>
              <w:rPr>
                <w:rFonts w:hint="eastAsia" w:ascii="Arial" w:hAnsi="Arial"/>
                <w:i w:val="0"/>
                <w:iCs w:val="0"/>
                <w:color w:val="auto"/>
                <w:highlight w:val="none"/>
              </w:rPr>
              <w:t>个得</w:t>
            </w:r>
            <w:r>
              <w:rPr>
                <w:rFonts w:hint="eastAsia" w:ascii="Arial" w:hAnsi="Arial"/>
                <w:i w:val="0"/>
                <w:iCs w:val="0"/>
                <w:color w:val="auto"/>
                <w:highlight w:val="none"/>
                <w:lang w:val="en-US" w:eastAsia="zh-CN"/>
              </w:rPr>
              <w:t>1.5</w:t>
            </w:r>
            <w:r>
              <w:rPr>
                <w:rFonts w:hint="eastAsia" w:ascii="Arial" w:hAnsi="Arial"/>
                <w:i w:val="0"/>
                <w:iCs w:val="0"/>
                <w:color w:val="auto"/>
                <w:highlight w:val="none"/>
              </w:rPr>
              <w:t>分，最高得</w:t>
            </w:r>
            <w:r>
              <w:rPr>
                <w:rFonts w:hint="eastAsia" w:ascii="Arial" w:hAnsi="Arial"/>
                <w:i w:val="0"/>
                <w:iCs w:val="0"/>
                <w:color w:val="auto"/>
                <w:highlight w:val="none"/>
                <w:lang w:val="en-US" w:eastAsia="zh-CN"/>
              </w:rPr>
              <w:t>3</w:t>
            </w:r>
            <w:r>
              <w:rPr>
                <w:rFonts w:hint="eastAsia" w:ascii="Arial" w:hAnsi="Arial"/>
                <w:i w:val="0"/>
                <w:iCs w:val="0"/>
                <w:color w:val="auto"/>
                <w:highlight w:val="none"/>
              </w:rPr>
              <w:t>分。</w:t>
            </w:r>
          </w:p>
          <w:p>
            <w:pPr>
              <w:spacing w:before="60" w:beforeLines="25" w:after="60" w:afterLines="25"/>
              <w:jc w:val="left"/>
              <w:rPr>
                <w:rFonts w:hint="eastAsia" w:ascii="Arial" w:hAnsi="Arial"/>
                <w:i w:val="0"/>
                <w:iCs w:val="0"/>
                <w:color w:val="000000"/>
                <w:highlight w:val="none"/>
                <w:lang w:val="en-US" w:eastAsia="zh-CN"/>
              </w:rPr>
            </w:pPr>
            <w:r>
              <w:rPr>
                <w:rFonts w:hint="eastAsia" w:ascii="Arial" w:hAnsi="Arial"/>
                <w:i w:val="0"/>
                <w:iCs w:val="0"/>
                <w:color w:val="000000"/>
                <w:highlight w:val="none"/>
                <w:lang w:val="en-US" w:eastAsia="zh-CN"/>
              </w:rPr>
              <w:t>仅主持过地铁或轻轨项目轨道工程业绩的，最高得2分。</w:t>
            </w:r>
          </w:p>
          <w:p>
            <w:pPr>
              <w:spacing w:before="60" w:beforeLines="25" w:after="60" w:afterLines="25"/>
              <w:jc w:val="left"/>
              <w:rPr>
                <w:rFonts w:hint="eastAsia" w:ascii="Arial" w:hAnsi="Arial"/>
                <w:color w:val="000000"/>
                <w:highlight w:val="none"/>
                <w:lang w:val="en-US" w:eastAsia="zh-CN"/>
              </w:rPr>
            </w:pPr>
            <w:r>
              <w:rPr>
                <w:rFonts w:hint="eastAsia" w:ascii="Arial" w:hAnsi="Arial"/>
                <w:color w:val="000000"/>
                <w:highlight w:val="none"/>
                <w:lang w:val="en-US" w:eastAsia="zh-CN"/>
              </w:rPr>
              <w:t>2）近8年</w:t>
            </w:r>
            <w:r>
              <w:rPr>
                <w:rFonts w:hint="eastAsia" w:ascii="Arial" w:hAnsi="Arial"/>
                <w:color w:val="000000"/>
                <w:highlight w:val="none"/>
              </w:rPr>
              <w:t>以</w:t>
            </w:r>
            <w:r>
              <w:rPr>
                <w:rFonts w:hint="eastAsia" w:ascii="Arial" w:hAnsi="Arial"/>
                <w:i w:val="0"/>
                <w:iCs w:val="0"/>
                <w:color w:val="auto"/>
                <w:highlight w:val="none"/>
              </w:rPr>
              <w:t>技术负责人或者总工程师身份</w:t>
            </w:r>
            <w:r>
              <w:rPr>
                <w:rFonts w:hint="eastAsia" w:ascii="Arial" w:hAnsi="Arial"/>
                <w:color w:val="000000"/>
                <w:highlight w:val="none"/>
              </w:rPr>
              <w:t>主持过</w:t>
            </w:r>
            <w:r>
              <w:rPr>
                <w:rFonts w:hint="eastAsia"/>
                <w:szCs w:val="21"/>
                <w:highlight w:val="none"/>
                <w:u w:val="single"/>
              </w:rPr>
              <w:t>类似</w:t>
            </w:r>
            <w:r>
              <w:rPr>
                <w:szCs w:val="21"/>
                <w:highlight w:val="none"/>
                <w:u w:val="single"/>
              </w:rPr>
              <w:t>工程</w:t>
            </w:r>
            <w:r>
              <w:rPr>
                <w:rFonts w:hint="eastAsia"/>
                <w:color w:val="000000"/>
                <w:szCs w:val="21"/>
                <w:highlight w:val="none"/>
                <w:u w:val="single"/>
              </w:rPr>
              <w:t>业绩</w:t>
            </w:r>
            <w:r>
              <w:rPr>
                <w:rFonts w:hint="eastAsia"/>
                <w:color w:val="000000"/>
                <w:szCs w:val="21"/>
                <w:highlight w:val="none"/>
                <w:u w:val="single"/>
                <w:lang w:val="en-US" w:eastAsia="zh-CN"/>
              </w:rPr>
              <w:t>中包含</w:t>
            </w:r>
            <w:r>
              <w:rPr>
                <w:rFonts w:hint="eastAsia" w:ascii="Arial" w:hAnsi="Arial"/>
                <w:color w:val="000000"/>
                <w:highlight w:val="none"/>
                <w:lang w:val="en-US" w:eastAsia="zh-CN"/>
              </w:rPr>
              <w:t>基标测设工作的，每个加1分，最多得1分。</w:t>
            </w:r>
          </w:p>
          <w:p>
            <w:pPr>
              <w:spacing w:before="60" w:beforeLines="25" w:after="60" w:afterLines="25"/>
              <w:jc w:val="left"/>
              <w:rPr>
                <w:rFonts w:hint="default" w:ascii="Arial" w:hAnsi="Arial"/>
                <w:color w:val="000000"/>
                <w:highlight w:val="none"/>
                <w:lang w:val="en-US" w:eastAsia="zh-CN"/>
              </w:rPr>
            </w:pPr>
            <w:r>
              <w:rPr>
                <w:rFonts w:hint="eastAsia" w:ascii="Arial" w:hAnsi="Arial"/>
                <w:color w:val="000000"/>
                <w:highlight w:val="none"/>
                <w:lang w:val="en-US" w:eastAsia="zh-CN"/>
              </w:rPr>
              <w:t>本项最高得4分。</w:t>
            </w:r>
          </w:p>
        </w:tc>
        <w:tc>
          <w:tcPr>
            <w:tcW w:w="851"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i w:val="0"/>
                <w:iCs w:val="0"/>
                <w:szCs w:val="21"/>
                <w:highlight w:val="none"/>
              </w:rPr>
            </w:pPr>
            <w:r>
              <w:rPr>
                <w:rFonts w:hint="eastAsia" w:ascii="Arial" w:hAnsi="Arial" w:cs="Arial"/>
                <w:i w:val="0"/>
                <w:iCs w:val="0"/>
                <w:szCs w:val="21"/>
                <w:highlight w:val="none"/>
              </w:rPr>
              <w:t>4</w:t>
            </w:r>
            <w:r>
              <w:rPr>
                <w:rFonts w:hint="eastAsia"/>
                <w:i w:val="0"/>
                <w:iCs w:val="0"/>
                <w:highlight w:val="none"/>
              </w:rPr>
              <w:t>分</w:t>
            </w:r>
          </w:p>
        </w:tc>
        <w:tc>
          <w:tcPr>
            <w:tcW w:w="1003"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50" w:hRule="atLeast"/>
        </w:trPr>
        <w:tc>
          <w:tcPr>
            <w:tcW w:w="720"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3</w:t>
            </w:r>
          </w:p>
        </w:tc>
        <w:tc>
          <w:tcPr>
            <w:tcW w:w="1853" w:type="dxa"/>
            <w:tcBorders>
              <w:top w:val="single" w:color="auto" w:sz="4" w:space="0"/>
              <w:left w:val="single" w:color="auto" w:sz="4" w:space="0"/>
              <w:right w:val="single" w:color="auto" w:sz="4" w:space="0"/>
            </w:tcBorders>
            <w:vAlign w:val="center"/>
          </w:tcPr>
          <w:p>
            <w:pPr>
              <w:spacing w:before="60" w:beforeLines="25" w:after="60" w:afterLines="25"/>
              <w:jc w:val="center"/>
              <w:rPr>
                <w:rFonts w:ascii="Arial" w:hAnsi="Arial"/>
                <w:color w:val="000000"/>
                <w:highlight w:val="none"/>
              </w:rPr>
            </w:pPr>
            <w:r>
              <w:rPr>
                <w:rFonts w:hint="eastAsia" w:ascii="Arial" w:hAnsi="Arial"/>
                <w:color w:val="000000"/>
                <w:highlight w:val="none"/>
              </w:rPr>
              <w:t>项目部组成人员</w:t>
            </w:r>
          </w:p>
        </w:tc>
        <w:tc>
          <w:tcPr>
            <w:tcW w:w="4136" w:type="dxa"/>
            <w:tcBorders>
              <w:top w:val="single" w:color="auto" w:sz="4" w:space="0"/>
              <w:left w:val="single" w:color="auto" w:sz="4" w:space="0"/>
              <w:right w:val="single" w:color="auto" w:sz="4" w:space="0"/>
            </w:tcBorders>
            <w:vAlign w:val="center"/>
          </w:tcPr>
          <w:p>
            <w:pPr>
              <w:spacing w:before="60" w:beforeLines="25" w:after="60" w:afterLines="25"/>
              <w:jc w:val="left"/>
              <w:rPr>
                <w:rFonts w:ascii="Arial" w:hAnsi="Arial"/>
                <w:i w:val="0"/>
                <w:iCs w:val="0"/>
                <w:color w:val="000000"/>
                <w:highlight w:val="none"/>
              </w:rPr>
            </w:pPr>
            <w:r>
              <w:rPr>
                <w:rFonts w:hint="eastAsia" w:ascii="Arial" w:hAnsi="Arial"/>
                <w:i w:val="0"/>
                <w:iCs w:val="0"/>
                <w:color w:val="000000"/>
                <w:highlight w:val="none"/>
              </w:rPr>
              <w:t>项目部的施工员、质检员、安全员、材料员均配备2名及以上，同时均具备相应岗位证书</w:t>
            </w:r>
            <w:r>
              <w:rPr>
                <w:rFonts w:hint="eastAsia" w:ascii="Arial" w:hAnsi="Arial"/>
                <w:i w:val="0"/>
                <w:iCs w:val="0"/>
                <w:color w:val="000000"/>
                <w:highlight w:val="none"/>
                <w:lang w:eastAsia="zh-CN"/>
              </w:rPr>
              <w:t>，</w:t>
            </w:r>
            <w:r>
              <w:rPr>
                <w:rFonts w:hint="eastAsia" w:ascii="Arial" w:hAnsi="Arial"/>
                <w:i w:val="0"/>
                <w:iCs w:val="0"/>
                <w:color w:val="000000"/>
                <w:highlight w:val="none"/>
              </w:rPr>
              <w:t>专业工作年限不少于5年的</w:t>
            </w:r>
            <w:r>
              <w:rPr>
                <w:rFonts w:hint="eastAsia" w:ascii="Arial" w:hAnsi="Arial"/>
                <w:i w:val="0"/>
                <w:iCs w:val="0"/>
                <w:color w:val="000000"/>
                <w:highlight w:val="none"/>
                <w:lang w:eastAsia="zh-CN"/>
              </w:rPr>
              <w:t>，</w:t>
            </w:r>
            <w:r>
              <w:rPr>
                <w:rFonts w:hint="eastAsia" w:ascii="Arial" w:hAnsi="Arial"/>
                <w:i w:val="0"/>
                <w:iCs w:val="0"/>
                <w:color w:val="000000"/>
                <w:highlight w:val="none"/>
              </w:rPr>
              <w:t>得3分，否则得0分。</w:t>
            </w:r>
            <w:r>
              <w:rPr>
                <w:rFonts w:hint="eastAsia" w:ascii="Arial" w:hAnsi="Arial"/>
                <w:i w:val="0"/>
                <w:iCs w:val="0"/>
                <w:color w:val="000000"/>
                <w:highlight w:val="none"/>
                <w:lang w:val="en-US" w:eastAsia="zh-CN"/>
              </w:rPr>
              <w:t>以上人员</w:t>
            </w:r>
            <w:r>
              <w:rPr>
                <w:rFonts w:hint="eastAsia" w:ascii="Arial" w:hAnsi="Arial"/>
                <w:i w:val="0"/>
                <w:iCs w:val="0"/>
                <w:color w:val="000000"/>
                <w:highlight w:val="none"/>
              </w:rPr>
              <w:t>专业工作年限以取得八大员证书时间算起，提供相关证明材料复印件（加盖单位公章）</w:t>
            </w:r>
          </w:p>
        </w:tc>
        <w:tc>
          <w:tcPr>
            <w:tcW w:w="851"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i w:val="0"/>
                <w:iCs w:val="0"/>
                <w:szCs w:val="21"/>
                <w:highlight w:val="none"/>
              </w:rPr>
            </w:pPr>
            <w:r>
              <w:rPr>
                <w:rFonts w:hint="eastAsia" w:ascii="Arial" w:hAnsi="Arial" w:cs="Arial"/>
                <w:i w:val="0"/>
                <w:iCs w:val="0"/>
                <w:szCs w:val="21"/>
                <w:highlight w:val="none"/>
              </w:rPr>
              <w:t>3</w:t>
            </w:r>
            <w:r>
              <w:rPr>
                <w:rFonts w:hint="eastAsia"/>
                <w:i w:val="0"/>
                <w:iCs w:val="0"/>
                <w:highlight w:val="none"/>
              </w:rPr>
              <w:t>分</w:t>
            </w:r>
          </w:p>
        </w:tc>
        <w:tc>
          <w:tcPr>
            <w:tcW w:w="1003"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right w:val="single" w:color="auto" w:sz="4" w:space="0"/>
            </w:tcBorders>
          </w:tcPr>
          <w:p>
            <w:pPr>
              <w:spacing w:before="60" w:beforeLines="25" w:after="60" w:afterLines="25"/>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54" w:hRule="exact"/>
        </w:trPr>
        <w:tc>
          <w:tcPr>
            <w:tcW w:w="7560" w:type="dxa"/>
            <w:gridSpan w:val="4"/>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i/>
                <w:szCs w:val="21"/>
                <w:highlight w:val="none"/>
              </w:rPr>
            </w:pPr>
            <w:r>
              <w:rPr>
                <w:rFonts w:hint="eastAsia"/>
                <w:b/>
                <w:i w:val="0"/>
                <w:iCs/>
                <w:szCs w:val="21"/>
                <w:highlight w:val="none"/>
              </w:rPr>
              <w:t>项目管理机构得分合计</w:t>
            </w:r>
            <w:r>
              <w:rPr>
                <w:rFonts w:hint="eastAsia" w:ascii="Arial" w:hAnsi="Arial" w:cs="Arial"/>
                <w:b/>
                <w:bCs/>
                <w:i w:val="0"/>
                <w:iCs/>
                <w:szCs w:val="20"/>
                <w:highlight w:val="none"/>
              </w:rPr>
              <w:t>B（满分</w:t>
            </w:r>
            <w:r>
              <w:rPr>
                <w:rFonts w:hint="eastAsia" w:ascii="Arial" w:hAnsi="Arial" w:cs="Arial"/>
                <w:b/>
                <w:bCs/>
                <w:i w:val="0"/>
                <w:iCs/>
                <w:szCs w:val="20"/>
                <w:highlight w:val="none"/>
                <w:u w:val="single"/>
              </w:rPr>
              <w:t xml:space="preserve">15 </w:t>
            </w:r>
            <w:r>
              <w:rPr>
                <w:rFonts w:hint="eastAsia" w:ascii="Arial" w:hAnsi="Arial" w:cs="Arial"/>
                <w:b/>
                <w:bCs/>
                <w:i w:val="0"/>
                <w:iCs/>
                <w:szCs w:val="20"/>
                <w:highlight w:val="none"/>
              </w:rPr>
              <w:t>）</w:t>
            </w:r>
          </w:p>
        </w:tc>
        <w:tc>
          <w:tcPr>
            <w:tcW w:w="100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r>
    </w:tbl>
    <w:p>
      <w:pPr>
        <w:tabs>
          <w:tab w:val="left" w:pos="4680"/>
        </w:tabs>
        <w:spacing w:after="120" w:afterLines="50"/>
        <w:rPr>
          <w:rFonts w:hint="eastAsia" w:cs="宋体"/>
          <w:b/>
          <w:bCs/>
          <w:color w:val="auto"/>
          <w:highlight w:val="none"/>
          <w:u w:val="none"/>
          <w:lang w:val="en-US" w:eastAsia="zh-CN"/>
        </w:rPr>
      </w:pPr>
      <w:r>
        <w:rPr>
          <w:rFonts w:hint="eastAsia" w:cs="宋体"/>
          <w:b/>
          <w:bCs/>
          <w:color w:val="auto"/>
          <w:highlight w:val="none"/>
          <w:u w:val="none"/>
          <w:lang w:val="en-US" w:eastAsia="zh-CN"/>
        </w:rPr>
        <w:t>注：一、</w:t>
      </w:r>
      <w:r>
        <w:rPr>
          <w:rFonts w:hint="eastAsia" w:cs="宋体"/>
          <w:b/>
          <w:bCs/>
          <w:color w:val="auto"/>
          <w:highlight w:val="none"/>
          <w:u w:val="single"/>
          <w:lang w:val="en-US" w:eastAsia="zh-CN"/>
        </w:rPr>
        <w:t>近8年指2013年1月至2021年1月</w:t>
      </w:r>
    </w:p>
    <w:p>
      <w:pPr>
        <w:tabs>
          <w:tab w:val="left" w:pos="4680"/>
        </w:tabs>
        <w:spacing w:after="120" w:afterLines="50"/>
        <w:ind w:firstLine="422" w:firstLineChars="200"/>
        <w:rPr>
          <w:rFonts w:hint="eastAsia"/>
          <w:b/>
          <w:bCs/>
          <w:szCs w:val="21"/>
          <w:highlight w:val="none"/>
          <w:u w:val="single"/>
          <w:lang w:eastAsia="zh-CN"/>
        </w:rPr>
      </w:pPr>
      <w:r>
        <w:rPr>
          <w:rFonts w:hint="eastAsia" w:cs="宋体"/>
          <w:b/>
          <w:bCs/>
          <w:color w:val="auto"/>
          <w:highlight w:val="none"/>
          <w:u w:val="none"/>
          <w:lang w:val="en-US" w:eastAsia="zh-CN"/>
        </w:rPr>
        <w:t>二、</w:t>
      </w:r>
      <w:r>
        <w:rPr>
          <w:rFonts w:hint="eastAsia" w:ascii="宋体" w:eastAsia="宋体" w:cs="宋体"/>
          <w:b/>
          <w:bCs/>
          <w:color w:val="auto"/>
          <w:highlight w:val="none"/>
          <w:u w:val="single"/>
        </w:rPr>
        <w:t>类似</w:t>
      </w:r>
      <w:r>
        <w:rPr>
          <w:rFonts w:hint="eastAsia" w:cs="宋体"/>
          <w:b/>
          <w:bCs/>
          <w:color w:val="auto"/>
          <w:highlight w:val="none"/>
          <w:u w:val="single"/>
          <w:lang w:val="en-US" w:eastAsia="zh-CN"/>
        </w:rPr>
        <w:t>工程</w:t>
      </w:r>
      <w:r>
        <w:rPr>
          <w:rFonts w:hint="eastAsia" w:ascii="宋体" w:eastAsia="宋体" w:cs="宋体"/>
          <w:b/>
          <w:bCs/>
          <w:color w:val="auto"/>
          <w:highlight w:val="none"/>
          <w:u w:val="single"/>
        </w:rPr>
        <w:t>业绩是指：现代有轨电车（仅指钢轮钢轨）、地铁、轻轨（不含单轨）项目的轨道工程业绩</w:t>
      </w:r>
      <w:r>
        <w:rPr>
          <w:rFonts w:hint="eastAsia"/>
          <w:b/>
          <w:bCs/>
          <w:szCs w:val="21"/>
          <w:highlight w:val="none"/>
          <w:u w:val="single"/>
          <w:lang w:eastAsia="zh-CN"/>
        </w:rPr>
        <w:t>。</w:t>
      </w:r>
    </w:p>
    <w:p>
      <w:pPr>
        <w:tabs>
          <w:tab w:val="left" w:pos="4680"/>
        </w:tabs>
        <w:spacing w:after="120" w:afterLines="50"/>
        <w:ind w:firstLine="422" w:firstLineChars="200"/>
        <w:rPr>
          <w:rFonts w:hint="eastAsia"/>
          <w:b/>
          <w:bCs/>
          <w:szCs w:val="21"/>
          <w:highlight w:val="none"/>
          <w:u w:val="single"/>
        </w:rPr>
      </w:pPr>
      <w:r>
        <w:rPr>
          <w:rFonts w:hint="eastAsia"/>
          <w:b/>
          <w:bCs/>
          <w:szCs w:val="21"/>
          <w:highlight w:val="none"/>
          <w:u w:val="none"/>
          <w:lang w:val="en-US" w:eastAsia="zh-CN"/>
        </w:rPr>
        <w:t>三、</w:t>
      </w:r>
      <w:r>
        <w:rPr>
          <w:rFonts w:hint="eastAsia"/>
          <w:b/>
          <w:bCs/>
          <w:szCs w:val="21"/>
          <w:highlight w:val="none"/>
          <w:u w:val="single"/>
        </w:rPr>
        <w:t>项目经理</w:t>
      </w:r>
      <w:r>
        <w:rPr>
          <w:rFonts w:hint="eastAsia"/>
          <w:b/>
          <w:bCs/>
          <w:szCs w:val="21"/>
          <w:highlight w:val="none"/>
          <w:u w:val="single"/>
          <w:lang w:eastAsia="zh-CN"/>
        </w:rPr>
        <w:t>、</w:t>
      </w:r>
      <w:r>
        <w:rPr>
          <w:rFonts w:hint="eastAsia"/>
          <w:b/>
          <w:bCs/>
          <w:szCs w:val="21"/>
          <w:highlight w:val="none"/>
          <w:u w:val="single"/>
          <w:lang w:val="en-US" w:eastAsia="zh-CN"/>
        </w:rPr>
        <w:t>技术负责人的</w:t>
      </w:r>
      <w:r>
        <w:rPr>
          <w:rFonts w:hint="eastAsia"/>
          <w:b/>
          <w:bCs/>
          <w:szCs w:val="21"/>
          <w:highlight w:val="none"/>
          <w:u w:val="single"/>
        </w:rPr>
        <w:t>业绩只能是</w:t>
      </w:r>
      <w:r>
        <w:rPr>
          <w:rFonts w:hint="eastAsia"/>
          <w:b/>
          <w:bCs/>
          <w:color w:val="auto"/>
          <w:szCs w:val="21"/>
          <w:highlight w:val="none"/>
          <w:u w:val="single"/>
        </w:rPr>
        <w:t>已</w:t>
      </w:r>
      <w:r>
        <w:rPr>
          <w:rFonts w:hint="eastAsia"/>
          <w:b/>
          <w:bCs/>
          <w:color w:val="auto"/>
          <w:szCs w:val="21"/>
          <w:highlight w:val="none"/>
          <w:u w:val="single"/>
          <w:lang w:eastAsia="zh-CN"/>
        </w:rPr>
        <w:t>通车运营项目</w:t>
      </w:r>
      <w:r>
        <w:rPr>
          <w:rFonts w:hint="eastAsia"/>
          <w:b/>
          <w:bCs/>
          <w:szCs w:val="21"/>
          <w:highlight w:val="none"/>
          <w:u w:val="single"/>
        </w:rPr>
        <w:t>业绩，</w:t>
      </w:r>
      <w:r>
        <w:rPr>
          <w:rFonts w:hint="eastAsia"/>
          <w:b/>
          <w:bCs/>
          <w:szCs w:val="21"/>
          <w:highlight w:val="none"/>
          <w:u w:val="single"/>
          <w:lang w:val="en-US" w:eastAsia="zh-CN"/>
        </w:rPr>
        <w:t>业绩</w:t>
      </w:r>
      <w:r>
        <w:rPr>
          <w:rFonts w:hint="eastAsia"/>
          <w:b/>
          <w:bCs/>
          <w:szCs w:val="21"/>
          <w:highlight w:val="none"/>
          <w:u w:val="single"/>
        </w:rPr>
        <w:t>要求</w:t>
      </w:r>
      <w:r>
        <w:rPr>
          <w:rFonts w:hint="eastAsia"/>
          <w:b/>
          <w:bCs/>
          <w:szCs w:val="21"/>
          <w:highlight w:val="none"/>
          <w:u w:val="single"/>
          <w:lang w:val="en-US" w:eastAsia="zh-CN"/>
        </w:rPr>
        <w:t>提供（1）</w:t>
      </w:r>
      <w:r>
        <w:rPr>
          <w:rFonts w:hint="eastAsia"/>
          <w:b/>
          <w:bCs/>
          <w:szCs w:val="21"/>
          <w:highlight w:val="none"/>
          <w:u w:val="single"/>
        </w:rPr>
        <w:t>中标通知书</w:t>
      </w:r>
      <w:r>
        <w:rPr>
          <w:rFonts w:hint="eastAsia"/>
          <w:b/>
          <w:bCs/>
          <w:szCs w:val="21"/>
          <w:highlight w:val="none"/>
          <w:u w:val="single"/>
          <w:lang w:val="en-US" w:eastAsia="zh-CN"/>
        </w:rPr>
        <w:t>或</w:t>
      </w:r>
      <w:r>
        <w:rPr>
          <w:rFonts w:hint="eastAsia"/>
          <w:b/>
          <w:bCs/>
          <w:szCs w:val="21"/>
          <w:highlight w:val="none"/>
          <w:u w:val="single"/>
        </w:rPr>
        <w:t>合同</w:t>
      </w:r>
      <w:r>
        <w:rPr>
          <w:rFonts w:hint="eastAsia"/>
          <w:b/>
          <w:bCs/>
          <w:szCs w:val="21"/>
          <w:highlight w:val="none"/>
          <w:u w:val="single"/>
          <w:lang w:val="en-US" w:eastAsia="zh-CN"/>
        </w:rPr>
        <w:t>（2）</w:t>
      </w:r>
      <w:r>
        <w:rPr>
          <w:rFonts w:hint="eastAsia"/>
          <w:b/>
          <w:bCs/>
          <w:szCs w:val="21"/>
          <w:highlight w:val="none"/>
          <w:u w:val="single"/>
        </w:rPr>
        <w:t>可供查询</w:t>
      </w:r>
      <w:r>
        <w:rPr>
          <w:rFonts w:hint="eastAsia"/>
          <w:b/>
          <w:bCs/>
          <w:szCs w:val="21"/>
          <w:highlight w:val="none"/>
          <w:u w:val="single"/>
          <w:lang w:val="en-US" w:eastAsia="zh-CN"/>
        </w:rPr>
        <w:t>业绩的</w:t>
      </w:r>
      <w:r>
        <w:rPr>
          <w:rFonts w:hint="eastAsia"/>
          <w:b/>
          <w:bCs/>
          <w:szCs w:val="21"/>
          <w:highlight w:val="none"/>
          <w:u w:val="single"/>
        </w:rPr>
        <w:t>网址</w:t>
      </w:r>
      <w:r>
        <w:rPr>
          <w:rFonts w:hint="eastAsia"/>
          <w:b/>
          <w:bCs/>
          <w:szCs w:val="21"/>
          <w:highlight w:val="none"/>
          <w:u w:val="single"/>
          <w:lang w:val="en-US" w:eastAsia="zh-CN"/>
        </w:rPr>
        <w:t>与</w:t>
      </w:r>
      <w:r>
        <w:rPr>
          <w:rFonts w:hint="eastAsia"/>
          <w:b/>
          <w:bCs/>
          <w:szCs w:val="21"/>
          <w:highlight w:val="none"/>
          <w:u w:val="single"/>
        </w:rPr>
        <w:t>截图</w:t>
      </w:r>
      <w:r>
        <w:rPr>
          <w:rFonts w:hint="eastAsia"/>
          <w:b/>
          <w:bCs/>
          <w:szCs w:val="21"/>
          <w:highlight w:val="none"/>
          <w:u w:val="single"/>
          <w:lang w:eastAsia="zh-CN"/>
        </w:rPr>
        <w:t>（</w:t>
      </w:r>
      <w:r>
        <w:rPr>
          <w:rFonts w:hint="eastAsia"/>
          <w:b/>
          <w:bCs/>
          <w:szCs w:val="21"/>
          <w:highlight w:val="none"/>
          <w:u w:val="single"/>
          <w:lang w:val="en-US" w:eastAsia="zh-CN"/>
        </w:rPr>
        <w:t>3</w:t>
      </w:r>
      <w:r>
        <w:rPr>
          <w:rFonts w:hint="eastAsia"/>
          <w:b/>
          <w:bCs/>
          <w:szCs w:val="21"/>
          <w:highlight w:val="none"/>
          <w:u w:val="single"/>
          <w:lang w:eastAsia="zh-CN"/>
        </w:rPr>
        <w:t>）</w:t>
      </w:r>
      <w:r>
        <w:rPr>
          <w:rFonts w:hint="eastAsia"/>
          <w:b/>
          <w:bCs/>
          <w:szCs w:val="21"/>
          <w:highlight w:val="none"/>
          <w:u w:val="single"/>
        </w:rPr>
        <w:t>竣</w:t>
      </w:r>
      <w:r>
        <w:rPr>
          <w:rFonts w:hint="eastAsia"/>
          <w:b/>
          <w:bCs/>
          <w:szCs w:val="21"/>
          <w:highlight w:val="none"/>
          <w:u w:val="single"/>
          <w:lang w:eastAsia="zh-CN"/>
        </w:rPr>
        <w:t>（</w:t>
      </w:r>
      <w:r>
        <w:rPr>
          <w:rFonts w:hint="eastAsia"/>
          <w:b/>
          <w:bCs/>
          <w:szCs w:val="21"/>
          <w:highlight w:val="none"/>
          <w:u w:val="single"/>
          <w:lang w:val="en-US" w:eastAsia="zh-CN"/>
        </w:rPr>
        <w:t>交</w:t>
      </w:r>
      <w:r>
        <w:rPr>
          <w:rFonts w:hint="eastAsia"/>
          <w:b/>
          <w:bCs/>
          <w:szCs w:val="21"/>
          <w:highlight w:val="none"/>
          <w:u w:val="single"/>
          <w:lang w:eastAsia="zh-CN"/>
        </w:rPr>
        <w:t>）</w:t>
      </w:r>
      <w:r>
        <w:rPr>
          <w:rFonts w:hint="eastAsia"/>
          <w:b/>
          <w:bCs/>
          <w:szCs w:val="21"/>
          <w:highlight w:val="none"/>
          <w:u w:val="single"/>
        </w:rPr>
        <w:t>工验收文件</w:t>
      </w:r>
      <w:r>
        <w:rPr>
          <w:rFonts w:hint="eastAsia"/>
          <w:b/>
          <w:bCs/>
          <w:szCs w:val="21"/>
          <w:highlight w:val="none"/>
          <w:u w:val="single"/>
          <w:lang w:eastAsia="zh-CN"/>
        </w:rPr>
        <w:t>、</w:t>
      </w:r>
      <w:r>
        <w:rPr>
          <w:rFonts w:hint="eastAsia"/>
          <w:b/>
          <w:bCs/>
          <w:color w:val="auto"/>
          <w:szCs w:val="21"/>
          <w:highlight w:val="none"/>
          <w:u w:val="single"/>
          <w:lang w:val="en-US" w:eastAsia="zh-CN"/>
        </w:rPr>
        <w:t>（4）</w:t>
      </w:r>
      <w:r>
        <w:rPr>
          <w:rFonts w:hint="eastAsia"/>
          <w:b/>
          <w:bCs/>
          <w:color w:val="auto"/>
          <w:szCs w:val="21"/>
          <w:highlight w:val="none"/>
          <w:u w:val="single"/>
        </w:rPr>
        <w:t>试运营基本条件评审报告等</w:t>
      </w:r>
      <w:r>
        <w:rPr>
          <w:rFonts w:hint="eastAsia" w:ascii="Arial" w:hAnsi="Arial"/>
          <w:b/>
          <w:bCs/>
          <w:color w:val="000000"/>
          <w:highlight w:val="none"/>
          <w:u w:val="single"/>
          <w:lang w:val="en-US" w:eastAsia="zh-CN"/>
        </w:rPr>
        <w:t>能够</w:t>
      </w:r>
      <w:r>
        <w:rPr>
          <w:rFonts w:hint="eastAsia" w:ascii="Arial" w:hAnsi="Arial"/>
          <w:b/>
          <w:bCs/>
          <w:color w:val="000000"/>
          <w:highlight w:val="none"/>
          <w:u w:val="single"/>
        </w:rPr>
        <w:t>证明项目经理</w:t>
      </w:r>
      <w:r>
        <w:rPr>
          <w:rFonts w:hint="eastAsia" w:ascii="Arial" w:hAnsi="Arial"/>
          <w:b/>
          <w:bCs/>
          <w:color w:val="000000"/>
          <w:highlight w:val="none"/>
          <w:u w:val="single"/>
          <w:lang w:eastAsia="zh-CN"/>
        </w:rPr>
        <w:t>、</w:t>
      </w:r>
      <w:r>
        <w:rPr>
          <w:rFonts w:hint="eastAsia" w:ascii="Arial" w:hAnsi="Arial"/>
          <w:b/>
          <w:bCs/>
          <w:color w:val="000000"/>
          <w:highlight w:val="none"/>
          <w:u w:val="single"/>
          <w:lang w:val="en-US" w:eastAsia="zh-CN"/>
        </w:rPr>
        <w:t>技术负责人</w:t>
      </w:r>
      <w:r>
        <w:rPr>
          <w:rFonts w:hint="eastAsia" w:ascii="Arial" w:hAnsi="Arial"/>
          <w:b/>
          <w:bCs/>
          <w:color w:val="000000"/>
          <w:highlight w:val="none"/>
          <w:u w:val="single"/>
        </w:rPr>
        <w:t>身份</w:t>
      </w:r>
      <w:r>
        <w:rPr>
          <w:rFonts w:hint="eastAsia" w:ascii="Arial" w:hAnsi="Arial"/>
          <w:b/>
          <w:bCs/>
          <w:color w:val="000000"/>
          <w:highlight w:val="none"/>
          <w:u w:val="single"/>
          <w:lang w:val="en-US" w:eastAsia="zh-CN"/>
        </w:rPr>
        <w:t>以及包含基标测设工作</w:t>
      </w:r>
      <w:r>
        <w:rPr>
          <w:rFonts w:hint="eastAsia" w:ascii="Arial" w:hAnsi="Arial"/>
          <w:b/>
          <w:bCs/>
          <w:color w:val="000000"/>
          <w:highlight w:val="none"/>
          <w:u w:val="single"/>
        </w:rPr>
        <w:t>的有效证明文件</w:t>
      </w:r>
      <w:r>
        <w:rPr>
          <w:rFonts w:hint="eastAsia"/>
          <w:b/>
          <w:bCs/>
          <w:szCs w:val="21"/>
          <w:highlight w:val="none"/>
          <w:u w:val="single"/>
        </w:rPr>
        <w:t>。</w:t>
      </w:r>
    </w:p>
    <w:p>
      <w:pPr>
        <w:tabs>
          <w:tab w:val="left" w:pos="4680"/>
        </w:tabs>
        <w:spacing w:after="120" w:afterLines="50"/>
        <w:rPr>
          <w:rFonts w:ascii="Arial" w:hAnsi="Arial" w:eastAsia="黑体" w:cs="Arial"/>
          <w:bCs/>
          <w:sz w:val="24"/>
          <w:highlight w:val="none"/>
        </w:rPr>
      </w:pPr>
      <w:r>
        <w:rPr>
          <w:rFonts w:hint="eastAsia" w:ascii="Arial" w:hAnsi="Arial" w:cs="Arial"/>
          <w:highlight w:val="none"/>
        </w:rPr>
        <w:t>评标委员会成员</w:t>
      </w:r>
      <w:r>
        <w:rPr>
          <w:rFonts w:ascii="Arial" w:hAnsi="Arial" w:cs="Arial"/>
          <w:highlight w:val="none"/>
        </w:rPr>
        <w:t xml:space="preserve">签名：      日期：   年    月   日         </w:t>
      </w:r>
      <w:r>
        <w:rPr>
          <w:rFonts w:ascii="Arial" w:hAnsi="Arial" w:cs="Arial"/>
          <w:b/>
          <w:bCs/>
          <w:szCs w:val="21"/>
          <w:highlight w:val="none"/>
          <w:u w:val="single"/>
        </w:rPr>
        <w:br w:type="page"/>
      </w:r>
      <w:r>
        <w:rPr>
          <w:rFonts w:ascii="Arial" w:hAnsi="Arial" w:eastAsia="黑体" w:cs="Arial"/>
          <w:sz w:val="24"/>
          <w:highlight w:val="none"/>
        </w:rPr>
        <w:t>附表</w:t>
      </w:r>
      <w:r>
        <w:rPr>
          <w:rFonts w:hint="eastAsia" w:ascii="Arial" w:hAnsi="Arial" w:cs="Arial"/>
          <w:b/>
          <w:bCs/>
          <w:sz w:val="24"/>
          <w:highlight w:val="none"/>
        </w:rPr>
        <w:t>A-10</w:t>
      </w:r>
      <w:r>
        <w:rPr>
          <w:rFonts w:ascii="Arial" w:hAnsi="Arial" w:cs="Arial"/>
          <w:sz w:val="24"/>
          <w:highlight w:val="none"/>
        </w:rPr>
        <w:t>：</w:t>
      </w:r>
      <w:r>
        <w:rPr>
          <w:rFonts w:hint="eastAsia" w:ascii="Arial" w:hAnsi="Arial" w:eastAsia="黑体" w:cs="Arial"/>
          <w:bCs/>
          <w:sz w:val="24"/>
          <w:highlight w:val="none"/>
        </w:rPr>
        <w:t>投标报价评分记录</w:t>
      </w:r>
      <w:r>
        <w:rPr>
          <w:rFonts w:ascii="Arial" w:hAnsi="Arial" w:eastAsia="黑体" w:cs="Arial"/>
          <w:bCs/>
          <w:sz w:val="24"/>
          <w:highlight w:val="none"/>
        </w:rPr>
        <w:t>表</w:t>
      </w:r>
    </w:p>
    <w:p>
      <w:pPr>
        <w:spacing w:after="120" w:afterLines="50"/>
        <w:jc w:val="center"/>
        <w:rPr>
          <w:rFonts w:ascii="Arial" w:hAnsi="Arial" w:eastAsia="黑体" w:cs="Arial"/>
          <w:bCs/>
          <w:sz w:val="28"/>
          <w:szCs w:val="28"/>
          <w:highlight w:val="none"/>
        </w:rPr>
      </w:pPr>
      <w:r>
        <w:rPr>
          <w:rFonts w:hint="eastAsia" w:ascii="Arial" w:hAnsi="Arial" w:eastAsia="黑体" w:cs="Arial"/>
          <w:bCs/>
          <w:sz w:val="28"/>
          <w:szCs w:val="28"/>
          <w:highlight w:val="none"/>
        </w:rPr>
        <w:t>投标报价评分记录</w:t>
      </w:r>
      <w:r>
        <w:rPr>
          <w:rFonts w:ascii="Arial" w:hAnsi="Arial" w:eastAsia="黑体" w:cs="Arial"/>
          <w:bCs/>
          <w:sz w:val="28"/>
          <w:szCs w:val="28"/>
          <w:highlight w:val="none"/>
        </w:rPr>
        <w:t>表</w:t>
      </w:r>
    </w:p>
    <w:p>
      <w:pPr>
        <w:pStyle w:val="29"/>
        <w:tabs>
          <w:tab w:val="left" w:pos="4680"/>
        </w:tabs>
        <w:spacing w:line="0" w:lineRule="atLeast"/>
        <w:jc w:val="left"/>
        <w:rPr>
          <w:rFonts w:ascii="Arial" w:hAnsi="Arial" w:cs="Arial"/>
          <w:b/>
          <w:sz w:val="21"/>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r>
        <w:rPr>
          <w:rFonts w:hint="eastAsia" w:ascii="Arial" w:hAnsi="Arial" w:cs="Arial"/>
          <w:b/>
          <w:szCs w:val="21"/>
          <w:highlight w:val="none"/>
        </w:rPr>
        <w:t xml:space="preserve">                                           </w:t>
      </w:r>
    </w:p>
    <w:tbl>
      <w:tblPr>
        <w:tblStyle w:val="50"/>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240"/>
        <w:gridCol w:w="784"/>
        <w:gridCol w:w="784"/>
        <w:gridCol w:w="784"/>
        <w:gridCol w:w="785"/>
        <w:gridCol w:w="784"/>
        <w:gridCol w:w="784"/>
        <w:gridCol w:w="785"/>
        <w:gridCol w:w="784"/>
        <w:gridCol w:w="784"/>
        <w:gridCol w:w="784"/>
        <w:gridCol w:w="785"/>
        <w:gridCol w:w="784"/>
        <w:gridCol w:w="784"/>
        <w:gridCol w:w="78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3240" w:type="dxa"/>
            <w:vMerge w:val="restart"/>
            <w:vAlign w:val="center"/>
          </w:tcPr>
          <w:p>
            <w:pPr>
              <w:spacing w:line="360" w:lineRule="auto"/>
              <w:jc w:val="center"/>
              <w:rPr>
                <w:rFonts w:ascii="Arial" w:hAnsi="Arial" w:cs="Arial"/>
                <w:bCs/>
                <w:szCs w:val="21"/>
                <w:highlight w:val="none"/>
              </w:rPr>
            </w:pPr>
            <w:r>
              <w:rPr>
                <w:rFonts w:ascii="Arial" w:hAnsi="Arial" w:cs="Arial"/>
                <w:bCs/>
                <w:szCs w:val="21"/>
                <w:highlight w:val="none"/>
              </w:rPr>
              <w:t>评分标准</w:t>
            </w:r>
          </w:p>
        </w:tc>
        <w:tc>
          <w:tcPr>
            <w:tcW w:w="10980" w:type="dxa"/>
            <w:gridSpan w:val="14"/>
            <w:vAlign w:val="center"/>
          </w:tcPr>
          <w:p>
            <w:pPr>
              <w:spacing w:line="360" w:lineRule="auto"/>
              <w:jc w:val="center"/>
              <w:rPr>
                <w:rFonts w:ascii="Arial" w:hAnsi="Arial" w:cs="Arial"/>
                <w:bCs/>
                <w:szCs w:val="21"/>
                <w:highlight w:val="none"/>
              </w:rPr>
            </w:pPr>
            <w:r>
              <w:rPr>
                <w:rFonts w:hint="eastAsia" w:ascii="Arial" w:hAnsi="Arial" w:cs="Arial"/>
                <w:szCs w:val="21"/>
                <w:highlight w:val="none"/>
              </w:rPr>
              <w:t>投标人名称及评审得分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3240" w:type="dxa"/>
            <w:vMerge w:val="continue"/>
          </w:tcPr>
          <w:p>
            <w:pPr>
              <w:spacing w:line="360" w:lineRule="auto"/>
              <w:jc w:val="center"/>
              <w:rPr>
                <w:rFonts w:ascii="Arial" w:hAnsi="Arial" w:cs="Arial"/>
                <w:bCs/>
                <w:szCs w:val="21"/>
                <w:highlight w:val="none"/>
              </w:rPr>
            </w:pPr>
          </w:p>
        </w:tc>
        <w:tc>
          <w:tcPr>
            <w:tcW w:w="1568" w:type="dxa"/>
            <w:gridSpan w:val="2"/>
            <w:vAlign w:val="center"/>
          </w:tcPr>
          <w:p>
            <w:pPr>
              <w:spacing w:line="360" w:lineRule="auto"/>
              <w:jc w:val="center"/>
              <w:rPr>
                <w:rFonts w:ascii="Arial" w:hAnsi="Arial" w:cs="Arial"/>
                <w:szCs w:val="21"/>
                <w:highlight w:val="none"/>
              </w:rPr>
            </w:pPr>
          </w:p>
        </w:tc>
        <w:tc>
          <w:tcPr>
            <w:tcW w:w="1569" w:type="dxa"/>
            <w:gridSpan w:val="2"/>
            <w:vAlign w:val="center"/>
          </w:tcPr>
          <w:p>
            <w:pPr>
              <w:spacing w:line="360" w:lineRule="auto"/>
              <w:jc w:val="center"/>
              <w:rPr>
                <w:rFonts w:ascii="Arial" w:hAnsi="Arial" w:cs="Arial"/>
                <w:szCs w:val="21"/>
                <w:highlight w:val="none"/>
              </w:rPr>
            </w:pPr>
          </w:p>
        </w:tc>
        <w:tc>
          <w:tcPr>
            <w:tcW w:w="1568" w:type="dxa"/>
            <w:gridSpan w:val="2"/>
            <w:vAlign w:val="center"/>
          </w:tcPr>
          <w:p>
            <w:pPr>
              <w:spacing w:line="360" w:lineRule="auto"/>
              <w:jc w:val="center"/>
              <w:rPr>
                <w:rFonts w:ascii="Arial" w:hAnsi="Arial" w:cs="Arial"/>
                <w:szCs w:val="21"/>
                <w:highlight w:val="none"/>
              </w:rPr>
            </w:pPr>
          </w:p>
        </w:tc>
        <w:tc>
          <w:tcPr>
            <w:tcW w:w="1569" w:type="dxa"/>
            <w:gridSpan w:val="2"/>
            <w:vAlign w:val="center"/>
          </w:tcPr>
          <w:p>
            <w:pPr>
              <w:spacing w:line="360" w:lineRule="auto"/>
              <w:jc w:val="center"/>
              <w:rPr>
                <w:rFonts w:ascii="Arial" w:hAnsi="Arial" w:cs="Arial"/>
                <w:szCs w:val="21"/>
                <w:highlight w:val="none"/>
              </w:rPr>
            </w:pPr>
          </w:p>
        </w:tc>
        <w:tc>
          <w:tcPr>
            <w:tcW w:w="1568" w:type="dxa"/>
            <w:gridSpan w:val="2"/>
            <w:vAlign w:val="center"/>
          </w:tcPr>
          <w:p>
            <w:pPr>
              <w:spacing w:line="360" w:lineRule="auto"/>
              <w:jc w:val="center"/>
              <w:rPr>
                <w:rFonts w:ascii="Arial" w:hAnsi="Arial" w:cs="Arial"/>
                <w:szCs w:val="21"/>
                <w:highlight w:val="none"/>
              </w:rPr>
            </w:pPr>
          </w:p>
        </w:tc>
        <w:tc>
          <w:tcPr>
            <w:tcW w:w="1569" w:type="dxa"/>
            <w:gridSpan w:val="2"/>
            <w:vAlign w:val="center"/>
          </w:tcPr>
          <w:p>
            <w:pPr>
              <w:spacing w:line="360" w:lineRule="auto"/>
              <w:jc w:val="center"/>
              <w:rPr>
                <w:rFonts w:ascii="Arial" w:hAnsi="Arial" w:cs="Arial"/>
                <w:szCs w:val="21"/>
                <w:highlight w:val="none"/>
              </w:rPr>
            </w:pPr>
          </w:p>
        </w:tc>
        <w:tc>
          <w:tcPr>
            <w:tcW w:w="1569" w:type="dxa"/>
            <w:gridSpan w:val="2"/>
            <w:vAlign w:val="center"/>
          </w:tcPr>
          <w:p>
            <w:pPr>
              <w:spacing w:line="360" w:lineRule="auto"/>
              <w:jc w:val="center"/>
              <w:rPr>
                <w:rFonts w:ascii="Arial" w:hAnsi="Arial" w:cs="Arial"/>
                <w:bCs/>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64" w:hRule="atLeast"/>
        </w:trPr>
        <w:tc>
          <w:tcPr>
            <w:tcW w:w="3240" w:type="dxa"/>
            <w:vMerge w:val="restart"/>
          </w:tcPr>
          <w:p>
            <w:pPr>
              <w:spacing w:line="360" w:lineRule="auto"/>
              <w:rPr>
                <w:rFonts w:ascii="Arial" w:hAnsi="Arial" w:cs="Arial"/>
                <w:bCs/>
                <w:szCs w:val="21"/>
                <w:highlight w:val="none"/>
              </w:rPr>
            </w:pPr>
            <w:r>
              <w:rPr>
                <w:rFonts w:hint="eastAsia"/>
                <w:bCs/>
                <w:highlight w:val="none"/>
              </w:rPr>
              <w:t>与评标基准价相比，每上浮1%，在标准分45分基础上扣1分，每下浮1%，在标准分45分基础上扣0.</w:t>
            </w:r>
            <w:r>
              <w:rPr>
                <w:rFonts w:hint="eastAsia"/>
                <w:bCs/>
                <w:highlight w:val="none"/>
                <w:lang w:val="en-US" w:eastAsia="zh-CN"/>
              </w:rPr>
              <w:t>3</w:t>
            </w:r>
            <w:r>
              <w:rPr>
                <w:rFonts w:hint="eastAsia"/>
                <w:bCs/>
                <w:highlight w:val="none"/>
              </w:rPr>
              <w:t>分。中间值采用插入法。</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5"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5"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5"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c>
          <w:tcPr>
            <w:tcW w:w="784" w:type="dxa"/>
          </w:tcPr>
          <w:p>
            <w:pPr>
              <w:widowControl/>
              <w:spacing w:line="360" w:lineRule="auto"/>
              <w:jc w:val="center"/>
              <w:rPr>
                <w:rFonts w:ascii="Arial" w:hAnsi="Arial" w:cs="Arial"/>
                <w:bCs/>
                <w:szCs w:val="21"/>
                <w:highlight w:val="none"/>
              </w:rPr>
            </w:pPr>
            <w:r>
              <w:rPr>
                <w:rFonts w:ascii="Arial" w:hAnsi="Arial" w:cs="Arial"/>
                <w:bCs/>
                <w:szCs w:val="21"/>
                <w:highlight w:val="none"/>
              </w:rPr>
              <w:t>β</w:t>
            </w:r>
          </w:p>
        </w:tc>
        <w:tc>
          <w:tcPr>
            <w:tcW w:w="785" w:type="dxa"/>
          </w:tcPr>
          <w:p>
            <w:pPr>
              <w:widowControl/>
              <w:spacing w:line="360" w:lineRule="auto"/>
              <w:jc w:val="center"/>
              <w:rPr>
                <w:rFonts w:ascii="Arial" w:hAnsi="Arial" w:cs="Arial"/>
                <w:bCs/>
                <w:szCs w:val="21"/>
                <w:highlight w:val="none"/>
              </w:rPr>
            </w:pPr>
            <w:r>
              <w:rPr>
                <w:rFonts w:ascii="Arial" w:hAnsi="Arial" w:cs="Arial"/>
                <w:bCs/>
                <w:szCs w:val="21"/>
                <w:highlight w:val="none"/>
              </w:rPr>
              <w:t>得分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43" w:hRule="exact"/>
        </w:trPr>
        <w:tc>
          <w:tcPr>
            <w:tcW w:w="3240" w:type="dxa"/>
            <w:vMerge w:val="continue"/>
          </w:tcPr>
          <w:p>
            <w:pPr>
              <w:spacing w:line="360" w:lineRule="auto"/>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5"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5"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5"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4" w:type="dxa"/>
          </w:tcPr>
          <w:p>
            <w:pPr>
              <w:spacing w:line="360" w:lineRule="auto"/>
              <w:jc w:val="center"/>
              <w:rPr>
                <w:rFonts w:ascii="Arial" w:hAnsi="Arial" w:cs="Arial"/>
                <w:bCs/>
                <w:szCs w:val="21"/>
                <w:highlight w:val="none"/>
              </w:rPr>
            </w:pPr>
          </w:p>
        </w:tc>
        <w:tc>
          <w:tcPr>
            <w:tcW w:w="785" w:type="dxa"/>
          </w:tcPr>
          <w:p>
            <w:pPr>
              <w:jc w:val="left"/>
              <w:rPr>
                <w:rFonts w:ascii="Arial" w:hAnsi="Arial" w:cs="Arial"/>
                <w:bCs/>
                <w:szCs w:val="21"/>
                <w:highlight w:val="none"/>
              </w:rPr>
            </w:pPr>
          </w:p>
        </w:tc>
      </w:tr>
    </w:tbl>
    <w:p>
      <w:pPr>
        <w:tabs>
          <w:tab w:val="left" w:pos="4680"/>
        </w:tabs>
        <w:spacing w:after="120" w:afterLines="50"/>
        <w:rPr>
          <w:rFonts w:ascii="Arial" w:hAnsi="Arial" w:cs="Arial"/>
          <w:highlight w:val="none"/>
        </w:rPr>
      </w:pPr>
      <w:r>
        <w:rPr>
          <w:rFonts w:hint="eastAsia" w:ascii="Arial" w:hAnsi="Arial" w:cs="Arial"/>
          <w:highlight w:val="none"/>
        </w:rPr>
        <w:t>评标委员会成员</w:t>
      </w:r>
      <w:r>
        <w:rPr>
          <w:rFonts w:ascii="Arial" w:hAnsi="Arial" w:cs="Arial"/>
          <w:highlight w:val="none"/>
        </w:rPr>
        <w:t xml:space="preserve">签名：                                                                      </w:t>
      </w:r>
      <w:r>
        <w:rPr>
          <w:rFonts w:hint="eastAsia" w:ascii="Arial" w:hAnsi="Arial" w:cs="Arial"/>
          <w:highlight w:val="none"/>
        </w:rPr>
        <w:t xml:space="preserve">                </w:t>
      </w:r>
      <w:r>
        <w:rPr>
          <w:rFonts w:ascii="Arial" w:hAnsi="Arial" w:cs="Arial"/>
          <w:highlight w:val="none"/>
        </w:rPr>
        <w:t>日期：   年    月   日</w:t>
      </w:r>
    </w:p>
    <w:p>
      <w:pPr>
        <w:spacing w:line="360" w:lineRule="auto"/>
        <w:rPr>
          <w:bCs/>
          <w:szCs w:val="21"/>
          <w:highlight w:val="none"/>
        </w:rPr>
      </w:pPr>
      <w:r>
        <w:rPr>
          <w:rFonts w:hint="eastAsia" w:ascii="Arial" w:hAnsi="Arial" w:cs="Arial"/>
          <w:highlight w:val="none"/>
        </w:rPr>
        <w:t>备注：</w:t>
      </w:r>
      <w:r>
        <w:rPr>
          <w:rFonts w:hint="eastAsia"/>
          <w:bCs/>
          <w:szCs w:val="21"/>
          <w:highlight w:val="none"/>
        </w:rPr>
        <w:t>仅按投标总报价进行评分：评标价格=各有效</w:t>
      </w:r>
      <w:r>
        <w:rPr>
          <w:bCs/>
          <w:szCs w:val="21"/>
          <w:highlight w:val="none"/>
        </w:rPr>
        <w:t>投标的</w:t>
      </w:r>
      <w:r>
        <w:rPr>
          <w:rFonts w:hint="eastAsia"/>
          <w:bCs/>
          <w:szCs w:val="21"/>
          <w:highlight w:val="none"/>
        </w:rPr>
        <w:t>投标总报价</w:t>
      </w:r>
    </w:p>
    <w:p>
      <w:pPr>
        <w:spacing w:line="440" w:lineRule="exact"/>
        <w:ind w:firstLine="420" w:firstLineChars="200"/>
        <w:rPr>
          <w:szCs w:val="21"/>
          <w:highlight w:val="none"/>
        </w:rPr>
      </w:pPr>
      <w:r>
        <w:rPr>
          <w:rFonts w:hint="eastAsia"/>
          <w:bCs/>
          <w:szCs w:val="21"/>
          <w:highlight w:val="none"/>
        </w:rPr>
        <w:t>评标基准价=</w:t>
      </w:r>
      <w:r>
        <w:rPr>
          <w:rFonts w:hint="eastAsia"/>
          <w:szCs w:val="21"/>
          <w:highlight w:val="none"/>
        </w:rPr>
        <w:t>各有效投标报价去掉最高和最低各N家后的评标价格的算术平均值。</w:t>
      </w:r>
    </w:p>
    <w:p>
      <w:pPr>
        <w:spacing w:line="440" w:lineRule="exact"/>
        <w:ind w:firstLine="420" w:firstLineChars="200"/>
        <w:rPr>
          <w:bCs/>
          <w:szCs w:val="21"/>
          <w:highlight w:val="none"/>
        </w:rPr>
      </w:pPr>
      <w:r>
        <w:rPr>
          <w:rFonts w:hint="eastAsia"/>
          <w:bCs/>
          <w:szCs w:val="21"/>
          <w:highlight w:val="none"/>
        </w:rPr>
        <w:t>注：当有效投标家数X≧</w:t>
      </w:r>
      <w:r>
        <w:rPr>
          <w:rFonts w:hint="eastAsia"/>
          <w:bCs/>
          <w:szCs w:val="21"/>
          <w:highlight w:val="none"/>
          <w:u w:val="single"/>
        </w:rPr>
        <w:t xml:space="preserve"> 7  </w:t>
      </w:r>
      <w:r>
        <w:rPr>
          <w:rFonts w:hint="eastAsia"/>
          <w:bCs/>
          <w:szCs w:val="21"/>
          <w:highlight w:val="none"/>
        </w:rPr>
        <w:t>时，N=</w:t>
      </w:r>
      <w:r>
        <w:rPr>
          <w:rFonts w:hint="eastAsia"/>
          <w:bCs/>
          <w:szCs w:val="21"/>
          <w:highlight w:val="none"/>
          <w:u w:val="single"/>
        </w:rPr>
        <w:t xml:space="preserve">   1  </w:t>
      </w:r>
      <w:r>
        <w:rPr>
          <w:rFonts w:hint="eastAsia"/>
          <w:bCs/>
          <w:szCs w:val="21"/>
          <w:highlight w:val="none"/>
        </w:rPr>
        <w:t>；当有效投标家数X﹤</w:t>
      </w:r>
      <w:r>
        <w:rPr>
          <w:rFonts w:hint="eastAsia"/>
          <w:bCs/>
          <w:szCs w:val="21"/>
          <w:highlight w:val="none"/>
          <w:u w:val="single"/>
        </w:rPr>
        <w:t xml:space="preserve"> 7  </w:t>
      </w:r>
      <w:r>
        <w:rPr>
          <w:rFonts w:hint="eastAsia"/>
          <w:bCs/>
          <w:szCs w:val="21"/>
          <w:highlight w:val="none"/>
        </w:rPr>
        <w:t xml:space="preserve">时，N= </w:t>
      </w:r>
      <w:r>
        <w:rPr>
          <w:rFonts w:hint="eastAsia"/>
          <w:bCs/>
          <w:szCs w:val="21"/>
          <w:highlight w:val="none"/>
          <w:u w:val="single"/>
        </w:rPr>
        <w:t xml:space="preserve">  0  </w:t>
      </w:r>
      <w:r>
        <w:rPr>
          <w:rFonts w:hint="eastAsia"/>
          <w:bCs/>
          <w:szCs w:val="21"/>
          <w:highlight w:val="none"/>
        </w:rPr>
        <w:t>。</w:t>
      </w:r>
    </w:p>
    <w:p>
      <w:pPr>
        <w:spacing w:after="120" w:afterLines="50"/>
        <w:rPr>
          <w:b/>
          <w:sz w:val="24"/>
          <w:highlight w:val="none"/>
        </w:rPr>
      </w:pPr>
      <w:r>
        <w:rPr>
          <w:highlight w:val="none"/>
        </w:rPr>
        <w:br w:type="page"/>
      </w:r>
      <w:r>
        <w:rPr>
          <w:b/>
          <w:sz w:val="24"/>
          <w:highlight w:val="none"/>
        </w:rPr>
        <w:t>附表</w:t>
      </w:r>
      <w:r>
        <w:rPr>
          <w:rFonts w:hint="eastAsia" w:ascii="Arial" w:hAnsi="Arial" w:cs="Arial"/>
          <w:b/>
          <w:bCs/>
          <w:sz w:val="24"/>
          <w:highlight w:val="none"/>
        </w:rPr>
        <w:t>A-11</w:t>
      </w:r>
      <w:r>
        <w:rPr>
          <w:rFonts w:hint="eastAsia"/>
          <w:sz w:val="24"/>
          <w:highlight w:val="none"/>
        </w:rPr>
        <w:t xml:space="preserve"> </w:t>
      </w:r>
      <w:r>
        <w:rPr>
          <w:sz w:val="24"/>
          <w:highlight w:val="none"/>
        </w:rPr>
        <w:t>：</w:t>
      </w:r>
      <w:r>
        <w:rPr>
          <w:rFonts w:hint="eastAsia" w:eastAsia="黑体"/>
          <w:sz w:val="24"/>
          <w:highlight w:val="none"/>
        </w:rPr>
        <w:t>其他因素</w:t>
      </w:r>
      <w:r>
        <w:rPr>
          <w:rFonts w:eastAsia="黑体"/>
          <w:sz w:val="24"/>
          <w:highlight w:val="none"/>
        </w:rPr>
        <w:t>评审记录表</w:t>
      </w:r>
    </w:p>
    <w:p>
      <w:pPr>
        <w:jc w:val="center"/>
        <w:rPr>
          <w:rFonts w:ascii="Arial" w:hAnsi="Arial" w:eastAsia="黑体" w:cs="Arial"/>
          <w:bCs/>
          <w:sz w:val="28"/>
          <w:szCs w:val="28"/>
          <w:highlight w:val="none"/>
        </w:rPr>
      </w:pPr>
      <w:r>
        <w:rPr>
          <w:rFonts w:hint="eastAsia" w:ascii="Arial" w:hAnsi="Arial" w:eastAsia="黑体" w:cs="Arial"/>
          <w:bCs/>
          <w:sz w:val="28"/>
          <w:szCs w:val="28"/>
          <w:highlight w:val="none"/>
        </w:rPr>
        <w:t>其他因素</w:t>
      </w:r>
      <w:r>
        <w:rPr>
          <w:rFonts w:ascii="Arial" w:hAnsi="Arial" w:eastAsia="黑体" w:cs="Arial"/>
          <w:bCs/>
          <w:sz w:val="28"/>
          <w:szCs w:val="28"/>
          <w:highlight w:val="none"/>
        </w:rPr>
        <w:t>评审记录表</w:t>
      </w:r>
    </w:p>
    <w:p>
      <w:pPr>
        <w:rPr>
          <w:rFonts w:ascii="Arial" w:hAnsi="Arial" w:cs="Arial"/>
          <w:bCs/>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14587" w:type="dxa"/>
        <w:tblInd w:w="108"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67"/>
        <w:gridCol w:w="1276"/>
        <w:gridCol w:w="4820"/>
        <w:gridCol w:w="897"/>
        <w:gridCol w:w="1003"/>
        <w:gridCol w:w="1004"/>
        <w:gridCol w:w="1004"/>
        <w:gridCol w:w="1004"/>
        <w:gridCol w:w="1004"/>
        <w:gridCol w:w="1004"/>
        <w:gridCol w:w="100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8" w:hRule="atLeast"/>
        </w:trPr>
        <w:tc>
          <w:tcPr>
            <w:tcW w:w="567"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序号</w:t>
            </w:r>
          </w:p>
        </w:tc>
        <w:tc>
          <w:tcPr>
            <w:tcW w:w="1276" w:type="dxa"/>
            <w:vMerge w:val="restart"/>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ascii="Arial" w:hAnsi="Arial" w:cs="Arial"/>
                <w:szCs w:val="21"/>
                <w:highlight w:val="none"/>
              </w:rPr>
              <w:t>评</w:t>
            </w:r>
            <w:r>
              <w:rPr>
                <w:rFonts w:hint="eastAsia" w:ascii="Arial" w:hAnsi="Arial" w:cs="Arial"/>
                <w:szCs w:val="21"/>
                <w:highlight w:val="none"/>
              </w:rPr>
              <w:t>分项目</w:t>
            </w:r>
          </w:p>
        </w:tc>
        <w:tc>
          <w:tcPr>
            <w:tcW w:w="4820" w:type="dxa"/>
            <w:vMerge w:val="restart"/>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hint="eastAsia" w:ascii="Arial" w:hAnsi="Arial" w:cs="Arial"/>
                <w:szCs w:val="21"/>
                <w:highlight w:val="none"/>
              </w:rPr>
              <w:t>评分标准</w:t>
            </w:r>
          </w:p>
        </w:tc>
        <w:tc>
          <w:tcPr>
            <w:tcW w:w="897" w:type="dxa"/>
            <w:vMerge w:val="restart"/>
            <w:tcBorders>
              <w:top w:val="single" w:color="auto" w:sz="4" w:space="0"/>
              <w:left w:val="single" w:color="auto" w:sz="4" w:space="0"/>
              <w:bottom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标准分</w:t>
            </w:r>
          </w:p>
        </w:tc>
        <w:tc>
          <w:tcPr>
            <w:tcW w:w="7027" w:type="dxa"/>
            <w:gridSpan w:val="7"/>
            <w:tcBorders>
              <w:top w:val="single" w:color="auto" w:sz="4" w:space="0"/>
              <w:left w:val="single" w:color="auto" w:sz="4" w:space="0"/>
              <w:bottom w:val="single" w:color="auto" w:sz="4" w:space="0"/>
            </w:tcBorders>
            <w:vAlign w:val="center"/>
          </w:tcPr>
          <w:p>
            <w:pPr>
              <w:widowControl/>
              <w:jc w:val="center"/>
              <w:rPr>
                <w:rFonts w:ascii="Arial" w:hAnsi="Arial" w:cs="Arial"/>
                <w:szCs w:val="21"/>
                <w:highlight w:val="none"/>
              </w:rPr>
            </w:pPr>
            <w:r>
              <w:rPr>
                <w:rFonts w:ascii="Arial" w:hAnsi="Arial" w:cs="Arial"/>
                <w:szCs w:val="20"/>
                <w:highlight w:val="none"/>
              </w:rPr>
              <w:t>投标人名称</w:t>
            </w:r>
            <w:r>
              <w:rPr>
                <w:rFonts w:hint="eastAsia" w:ascii="Arial" w:hAnsi="Arial" w:cs="Arial"/>
                <w:szCs w:val="21"/>
                <w:highlight w:val="none"/>
              </w:rPr>
              <w:t>及评审得分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1" w:hRule="atLeast"/>
        </w:trPr>
        <w:tc>
          <w:tcPr>
            <w:tcW w:w="567"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1276"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4820" w:type="dxa"/>
            <w:vMerge w:val="continue"/>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897" w:type="dxa"/>
            <w:vMerge w:val="continue"/>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693" w:hRule="exact"/>
        </w:trPr>
        <w:tc>
          <w:tcPr>
            <w:tcW w:w="567"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ascii="Arial" w:hAnsi="Arial" w:cs="Arial"/>
                <w:szCs w:val="21"/>
                <w:highlight w:val="none"/>
              </w:rPr>
              <w:t>1</w:t>
            </w:r>
          </w:p>
        </w:tc>
        <w:tc>
          <w:tcPr>
            <w:tcW w:w="1276"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r>
              <w:rPr>
                <w:rFonts w:hint="eastAsia"/>
                <w:szCs w:val="21"/>
                <w:highlight w:val="none"/>
              </w:rPr>
              <w:t>投标人业绩</w:t>
            </w:r>
          </w:p>
        </w:tc>
        <w:tc>
          <w:tcPr>
            <w:tcW w:w="4820"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left"/>
              <w:rPr>
                <w:rFonts w:hint="eastAsia"/>
                <w:highlight w:val="none"/>
                <w:u w:val="none"/>
              </w:rPr>
            </w:pPr>
            <w:r>
              <w:rPr>
                <w:rFonts w:hint="eastAsia"/>
                <w:color w:val="000000"/>
                <w:highlight w:val="none"/>
                <w:u w:val="none"/>
                <w:lang w:val="en-US" w:eastAsia="zh-CN"/>
              </w:rPr>
              <w:t>资格</w:t>
            </w:r>
            <w:r>
              <w:rPr>
                <w:rFonts w:hint="eastAsia"/>
                <w:color w:val="000000"/>
                <w:highlight w:val="none"/>
                <w:u w:val="none"/>
              </w:rPr>
              <w:t>条件：近</w:t>
            </w:r>
            <w:r>
              <w:rPr>
                <w:szCs w:val="21"/>
                <w:highlight w:val="none"/>
                <w:u w:val="none"/>
              </w:rPr>
              <w:t>8年</w:t>
            </w:r>
            <w:r>
              <w:rPr>
                <w:rFonts w:hint="eastAsia" w:cs="MingLiU"/>
                <w:snapToGrid w:val="0"/>
                <w:szCs w:val="21"/>
                <w:highlight w:val="none"/>
                <w:u w:val="none"/>
              </w:rPr>
              <w:t>完成过1项类似</w:t>
            </w:r>
            <w:r>
              <w:rPr>
                <w:szCs w:val="21"/>
                <w:highlight w:val="none"/>
                <w:u w:val="none"/>
              </w:rPr>
              <w:t>工程</w:t>
            </w:r>
            <w:r>
              <w:rPr>
                <w:rFonts w:hint="eastAsia"/>
                <w:color w:val="000000"/>
                <w:szCs w:val="21"/>
                <w:highlight w:val="none"/>
                <w:u w:val="none"/>
              </w:rPr>
              <w:t>业绩</w:t>
            </w:r>
            <w:r>
              <w:rPr>
                <w:rFonts w:hint="eastAsia"/>
                <w:highlight w:val="none"/>
                <w:u w:val="none"/>
                <w:lang w:val="en-US" w:eastAsia="zh-CN"/>
              </w:rPr>
              <w:t>的，得基础分8分。</w:t>
            </w:r>
          </w:p>
          <w:p>
            <w:pPr>
              <w:numPr>
                <w:ilvl w:val="0"/>
                <w:numId w:val="20"/>
              </w:numPr>
              <w:spacing w:before="60" w:beforeLines="25" w:after="60" w:afterLines="25"/>
              <w:jc w:val="left"/>
              <w:rPr>
                <w:highlight w:val="none"/>
                <w:u w:val="none"/>
              </w:rPr>
            </w:pPr>
            <w:r>
              <w:rPr>
                <w:rFonts w:hint="eastAsia"/>
                <w:highlight w:val="none"/>
                <w:u w:val="none"/>
              </w:rPr>
              <w:t>在此基础上，近8年每承担过一个</w:t>
            </w:r>
            <w:r>
              <w:rPr>
                <w:rFonts w:hint="eastAsia"/>
                <w:szCs w:val="21"/>
                <w:highlight w:val="none"/>
                <w:u w:val="none"/>
              </w:rPr>
              <w:t>现代有轨电车项目轨道工程</w:t>
            </w:r>
            <w:r>
              <w:rPr>
                <w:rFonts w:hint="eastAsia"/>
                <w:color w:val="000000"/>
                <w:szCs w:val="21"/>
                <w:highlight w:val="none"/>
                <w:u w:val="none"/>
              </w:rPr>
              <w:t>业绩</w:t>
            </w:r>
            <w:r>
              <w:rPr>
                <w:rFonts w:hint="eastAsia"/>
                <w:color w:val="000000"/>
                <w:szCs w:val="21"/>
                <w:highlight w:val="none"/>
                <w:u w:val="none"/>
                <w:lang w:val="en-US" w:eastAsia="zh-CN"/>
              </w:rPr>
              <w:t>:</w:t>
            </w:r>
            <w:r>
              <w:rPr>
                <w:rFonts w:hint="eastAsia"/>
                <w:color w:val="000000"/>
                <w:szCs w:val="21"/>
                <w:highlight w:val="none"/>
                <w:u w:val="single"/>
                <w:lang w:val="en-US" w:eastAsia="zh-CN"/>
              </w:rPr>
              <w:t>为在建项目的，</w:t>
            </w:r>
            <w:r>
              <w:rPr>
                <w:rFonts w:hint="eastAsia"/>
                <w:highlight w:val="none"/>
                <w:u w:val="single"/>
              </w:rPr>
              <w:t>得</w:t>
            </w:r>
            <w:r>
              <w:rPr>
                <w:rFonts w:hint="eastAsia"/>
                <w:highlight w:val="none"/>
                <w:u w:val="single"/>
                <w:lang w:val="en-US" w:eastAsia="zh-CN"/>
              </w:rPr>
              <w:t>6</w:t>
            </w:r>
            <w:r>
              <w:rPr>
                <w:rFonts w:hint="eastAsia"/>
                <w:highlight w:val="none"/>
                <w:u w:val="single"/>
              </w:rPr>
              <w:t>分</w:t>
            </w:r>
            <w:r>
              <w:rPr>
                <w:rFonts w:hint="eastAsia"/>
                <w:highlight w:val="none"/>
                <w:u w:val="none"/>
                <w:lang w:eastAsia="zh-CN"/>
              </w:rPr>
              <w:t>；</w:t>
            </w:r>
            <w:r>
              <w:rPr>
                <w:rFonts w:hint="eastAsia"/>
                <w:highlight w:val="none"/>
                <w:u w:val="single"/>
                <w:lang w:val="en-US" w:eastAsia="zh-CN"/>
              </w:rPr>
              <w:t>为</w:t>
            </w:r>
            <w:r>
              <w:rPr>
                <w:rFonts w:hint="eastAsia"/>
                <w:szCs w:val="21"/>
                <w:highlight w:val="none"/>
                <w:u w:val="single"/>
              </w:rPr>
              <w:t>已通车运营</w:t>
            </w:r>
            <w:r>
              <w:rPr>
                <w:rFonts w:hint="eastAsia"/>
                <w:szCs w:val="21"/>
                <w:highlight w:val="none"/>
                <w:u w:val="single"/>
                <w:lang w:val="en-US" w:eastAsia="zh-CN"/>
              </w:rPr>
              <w:t>项目的</w:t>
            </w:r>
            <w:r>
              <w:rPr>
                <w:rFonts w:hint="eastAsia"/>
                <w:szCs w:val="21"/>
                <w:highlight w:val="none"/>
                <w:u w:val="single"/>
                <w:lang w:eastAsia="zh-CN"/>
              </w:rPr>
              <w:t>，</w:t>
            </w:r>
            <w:r>
              <w:rPr>
                <w:rFonts w:hint="eastAsia"/>
                <w:szCs w:val="21"/>
                <w:highlight w:val="none"/>
                <w:u w:val="single"/>
              </w:rPr>
              <w:t>得</w:t>
            </w:r>
            <w:r>
              <w:rPr>
                <w:rFonts w:hint="eastAsia"/>
                <w:szCs w:val="21"/>
                <w:highlight w:val="none"/>
                <w:u w:val="single"/>
                <w:lang w:val="en-US" w:eastAsia="zh-CN"/>
              </w:rPr>
              <w:t>8</w:t>
            </w:r>
            <w:r>
              <w:rPr>
                <w:rFonts w:hint="eastAsia"/>
                <w:szCs w:val="21"/>
                <w:highlight w:val="none"/>
                <w:u w:val="single"/>
              </w:rPr>
              <w:t>分</w:t>
            </w:r>
            <w:r>
              <w:rPr>
                <w:rFonts w:hint="eastAsia"/>
                <w:szCs w:val="21"/>
                <w:highlight w:val="none"/>
                <w:u w:val="none"/>
                <w:lang w:eastAsia="zh-CN"/>
              </w:rPr>
              <w:t>（</w:t>
            </w:r>
            <w:r>
              <w:rPr>
                <w:rFonts w:hint="eastAsia"/>
                <w:szCs w:val="21"/>
                <w:highlight w:val="none"/>
                <w:u w:val="none"/>
                <w:lang w:val="en-US" w:eastAsia="zh-CN"/>
              </w:rPr>
              <w:t>每项业绩仅得1个分数</w:t>
            </w:r>
            <w:r>
              <w:rPr>
                <w:rFonts w:hint="eastAsia"/>
                <w:szCs w:val="21"/>
                <w:highlight w:val="none"/>
                <w:u w:val="none"/>
                <w:lang w:eastAsia="zh-CN"/>
              </w:rPr>
              <w:t>）</w:t>
            </w:r>
            <w:r>
              <w:rPr>
                <w:rFonts w:hint="eastAsia"/>
                <w:highlight w:val="none"/>
                <w:u w:val="none"/>
              </w:rPr>
              <w:t>本项最多得30分</w:t>
            </w:r>
            <w:r>
              <w:rPr>
                <w:rFonts w:hint="eastAsia"/>
                <w:highlight w:val="none"/>
                <w:u w:val="none"/>
                <w:lang w:eastAsia="zh-CN"/>
              </w:rPr>
              <w:t>（</w:t>
            </w:r>
            <w:r>
              <w:rPr>
                <w:rFonts w:hint="eastAsia"/>
                <w:highlight w:val="none"/>
                <w:u w:val="none"/>
                <w:lang w:val="en-US" w:eastAsia="zh-CN"/>
              </w:rPr>
              <w:t>包含基础分</w:t>
            </w:r>
            <w:r>
              <w:rPr>
                <w:rFonts w:hint="eastAsia"/>
                <w:highlight w:val="none"/>
                <w:u w:val="none"/>
                <w:lang w:eastAsia="zh-CN"/>
              </w:rPr>
              <w:t>）</w:t>
            </w:r>
            <w:r>
              <w:rPr>
                <w:rFonts w:hint="eastAsia"/>
                <w:highlight w:val="none"/>
                <w:u w:val="none"/>
              </w:rPr>
              <w:t>；</w:t>
            </w:r>
            <w:r>
              <w:rPr>
                <w:rFonts w:hint="eastAsia"/>
                <w:highlight w:val="none"/>
                <w:u w:val="none"/>
                <w:lang w:val="en-US" w:eastAsia="zh-CN"/>
              </w:rPr>
              <w:t xml:space="preserve"> </w:t>
            </w:r>
          </w:p>
          <w:p>
            <w:pPr>
              <w:tabs>
                <w:tab w:val="left" w:pos="4680"/>
              </w:tabs>
              <w:spacing w:after="120" w:afterLines="50"/>
              <w:rPr>
                <w:rFonts w:hint="eastAsia" w:ascii="Arial" w:hAnsi="Arial"/>
                <w:color w:val="000000"/>
                <w:highlight w:val="none"/>
                <w:lang w:eastAsia="zh-CN"/>
              </w:rPr>
            </w:pPr>
            <w:r>
              <w:rPr>
                <w:rFonts w:hint="eastAsia"/>
                <w:highlight w:val="none"/>
                <w:u w:val="none"/>
                <w:lang w:val="en-US" w:eastAsia="zh-CN"/>
              </w:rPr>
              <w:t>2、</w:t>
            </w:r>
            <w:r>
              <w:rPr>
                <w:rFonts w:hint="eastAsia"/>
                <w:highlight w:val="none"/>
                <w:u w:val="none"/>
              </w:rPr>
              <w:t>在此基础上，近8年每承担过一个</w:t>
            </w:r>
            <w:r>
              <w:rPr>
                <w:rFonts w:hint="eastAsia"/>
                <w:szCs w:val="21"/>
                <w:highlight w:val="none"/>
                <w:u w:val="none"/>
              </w:rPr>
              <w:t>地铁或轻轨项目轨道</w:t>
            </w:r>
            <w:r>
              <w:rPr>
                <w:szCs w:val="21"/>
                <w:highlight w:val="none"/>
                <w:u w:val="none"/>
              </w:rPr>
              <w:t>工程</w:t>
            </w:r>
            <w:r>
              <w:rPr>
                <w:rFonts w:hint="eastAsia"/>
                <w:color w:val="000000"/>
                <w:szCs w:val="21"/>
                <w:highlight w:val="none"/>
                <w:u w:val="none"/>
              </w:rPr>
              <w:t>业绩</w:t>
            </w:r>
            <w:r>
              <w:rPr>
                <w:rFonts w:hint="eastAsia"/>
                <w:color w:val="000000"/>
                <w:szCs w:val="21"/>
                <w:highlight w:val="none"/>
                <w:u w:val="none"/>
                <w:lang w:val="en-US" w:eastAsia="zh-CN"/>
              </w:rPr>
              <w:t>:</w:t>
            </w:r>
            <w:r>
              <w:rPr>
                <w:rFonts w:hint="eastAsia"/>
                <w:color w:val="000000"/>
                <w:szCs w:val="21"/>
                <w:highlight w:val="none"/>
                <w:u w:val="single"/>
                <w:lang w:val="en-US" w:eastAsia="zh-CN"/>
              </w:rPr>
              <w:t>为在建项目的，</w:t>
            </w:r>
            <w:r>
              <w:rPr>
                <w:rFonts w:hint="eastAsia"/>
                <w:highlight w:val="none"/>
                <w:u w:val="single"/>
              </w:rPr>
              <w:t>得</w:t>
            </w:r>
            <w:r>
              <w:rPr>
                <w:rFonts w:hint="eastAsia"/>
                <w:highlight w:val="none"/>
                <w:u w:val="single"/>
                <w:lang w:val="en-US" w:eastAsia="zh-CN"/>
              </w:rPr>
              <w:t>4</w:t>
            </w:r>
            <w:r>
              <w:rPr>
                <w:rFonts w:hint="eastAsia"/>
                <w:highlight w:val="none"/>
                <w:u w:val="single"/>
              </w:rPr>
              <w:t>分</w:t>
            </w:r>
            <w:r>
              <w:rPr>
                <w:rFonts w:hint="eastAsia"/>
                <w:highlight w:val="none"/>
                <w:u w:val="none"/>
                <w:lang w:eastAsia="zh-CN"/>
              </w:rPr>
              <w:t>；</w:t>
            </w:r>
            <w:r>
              <w:rPr>
                <w:rFonts w:hint="eastAsia"/>
                <w:highlight w:val="none"/>
                <w:u w:val="single"/>
                <w:lang w:val="en-US" w:eastAsia="zh-CN"/>
              </w:rPr>
              <w:t>为</w:t>
            </w:r>
            <w:r>
              <w:rPr>
                <w:rFonts w:hint="eastAsia"/>
                <w:szCs w:val="21"/>
                <w:highlight w:val="none"/>
                <w:u w:val="single"/>
              </w:rPr>
              <w:t>已通车运营</w:t>
            </w:r>
            <w:r>
              <w:rPr>
                <w:rFonts w:hint="eastAsia"/>
                <w:szCs w:val="21"/>
                <w:highlight w:val="none"/>
                <w:u w:val="single"/>
                <w:lang w:val="en-US" w:eastAsia="zh-CN"/>
              </w:rPr>
              <w:t>项目的</w:t>
            </w:r>
            <w:r>
              <w:rPr>
                <w:rFonts w:hint="eastAsia"/>
                <w:szCs w:val="21"/>
                <w:highlight w:val="none"/>
                <w:u w:val="single"/>
                <w:lang w:eastAsia="zh-CN"/>
              </w:rPr>
              <w:t>，</w:t>
            </w:r>
            <w:r>
              <w:rPr>
                <w:rFonts w:hint="eastAsia"/>
                <w:szCs w:val="21"/>
                <w:highlight w:val="none"/>
                <w:u w:val="single"/>
              </w:rPr>
              <w:t>得</w:t>
            </w:r>
            <w:r>
              <w:rPr>
                <w:rFonts w:hint="eastAsia"/>
                <w:szCs w:val="21"/>
                <w:highlight w:val="none"/>
                <w:u w:val="single"/>
                <w:lang w:val="en-US" w:eastAsia="zh-CN"/>
              </w:rPr>
              <w:t>6</w:t>
            </w:r>
            <w:r>
              <w:rPr>
                <w:rFonts w:hint="eastAsia"/>
                <w:szCs w:val="21"/>
                <w:highlight w:val="none"/>
                <w:u w:val="single"/>
              </w:rPr>
              <w:t>分</w:t>
            </w:r>
            <w:r>
              <w:rPr>
                <w:rFonts w:hint="eastAsia"/>
                <w:szCs w:val="21"/>
                <w:highlight w:val="none"/>
                <w:u w:val="none"/>
                <w:lang w:eastAsia="zh-CN"/>
              </w:rPr>
              <w:t>（</w:t>
            </w:r>
            <w:r>
              <w:rPr>
                <w:rFonts w:hint="eastAsia"/>
                <w:szCs w:val="21"/>
                <w:highlight w:val="none"/>
                <w:u w:val="none"/>
                <w:lang w:val="en-US" w:eastAsia="zh-CN"/>
              </w:rPr>
              <w:t>每项业绩仅得1个分数</w:t>
            </w:r>
            <w:r>
              <w:rPr>
                <w:rFonts w:hint="eastAsia"/>
                <w:szCs w:val="21"/>
                <w:highlight w:val="none"/>
                <w:u w:val="none"/>
                <w:lang w:eastAsia="zh-CN"/>
              </w:rPr>
              <w:t>）</w:t>
            </w:r>
            <w:r>
              <w:rPr>
                <w:rFonts w:hint="eastAsia"/>
                <w:highlight w:val="none"/>
                <w:u w:val="none"/>
                <w:lang w:eastAsia="zh-CN"/>
              </w:rPr>
              <w:t>本项</w:t>
            </w:r>
            <w:r>
              <w:rPr>
                <w:rFonts w:hint="eastAsia"/>
                <w:highlight w:val="none"/>
                <w:u w:val="none"/>
              </w:rPr>
              <w:t>最多得2</w:t>
            </w:r>
            <w:r>
              <w:rPr>
                <w:rFonts w:hint="eastAsia"/>
                <w:highlight w:val="none"/>
                <w:u w:val="none"/>
                <w:lang w:val="en-US" w:eastAsia="zh-CN"/>
              </w:rPr>
              <w:t>4</w:t>
            </w:r>
            <w:r>
              <w:rPr>
                <w:rFonts w:hint="eastAsia"/>
                <w:highlight w:val="none"/>
                <w:u w:val="none"/>
              </w:rPr>
              <w:t>分</w:t>
            </w:r>
            <w:r>
              <w:rPr>
                <w:rFonts w:hint="eastAsia"/>
                <w:highlight w:val="none"/>
                <w:u w:val="none"/>
                <w:lang w:eastAsia="zh-CN"/>
              </w:rPr>
              <w:t>（</w:t>
            </w:r>
            <w:r>
              <w:rPr>
                <w:rFonts w:hint="eastAsia"/>
                <w:highlight w:val="none"/>
                <w:u w:val="none"/>
                <w:lang w:val="en-US" w:eastAsia="zh-CN"/>
              </w:rPr>
              <w:t>包含基础分</w:t>
            </w:r>
            <w:r>
              <w:rPr>
                <w:rFonts w:hint="eastAsia"/>
                <w:highlight w:val="none"/>
                <w:u w:val="none"/>
                <w:lang w:eastAsia="zh-CN"/>
              </w:rPr>
              <w:t>）</w:t>
            </w:r>
            <w:r>
              <w:rPr>
                <w:rFonts w:hint="eastAsia"/>
                <w:highlight w:val="none"/>
                <w:u w:val="none"/>
              </w:rPr>
              <w:t>。</w:t>
            </w:r>
          </w:p>
        </w:tc>
        <w:tc>
          <w:tcPr>
            <w:tcW w:w="897" w:type="dxa"/>
            <w:tcBorders>
              <w:top w:val="single" w:color="auto" w:sz="4" w:space="0"/>
              <w:left w:val="single" w:color="auto" w:sz="4" w:space="0"/>
              <w:bottom w:val="single" w:color="auto" w:sz="4" w:space="0"/>
              <w:right w:val="single" w:color="auto" w:sz="4" w:space="0"/>
            </w:tcBorders>
          </w:tcPr>
          <w:p>
            <w:pPr>
              <w:rPr>
                <w:highlight w:val="none"/>
              </w:rPr>
            </w:pPr>
          </w:p>
          <w:p>
            <w:pPr>
              <w:rPr>
                <w:highlight w:val="none"/>
              </w:rPr>
            </w:pPr>
          </w:p>
          <w:p>
            <w:pPr>
              <w:rPr>
                <w:highlight w:val="none"/>
              </w:rPr>
            </w:pPr>
          </w:p>
          <w:p>
            <w:pPr>
              <w:rPr>
                <w:highlight w:val="none"/>
              </w:rPr>
            </w:pPr>
            <w:r>
              <w:rPr>
                <w:rFonts w:hint="eastAsia"/>
                <w:highlight w:val="none"/>
              </w:rPr>
              <w:t>30分</w:t>
            </w:r>
          </w:p>
        </w:tc>
        <w:tc>
          <w:tcPr>
            <w:tcW w:w="100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46" w:hRule="exact"/>
        </w:trPr>
        <w:tc>
          <w:tcPr>
            <w:tcW w:w="6663" w:type="dxa"/>
            <w:gridSpan w:val="3"/>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ind w:firstLine="2520" w:firstLineChars="1200"/>
              <w:jc w:val="left"/>
              <w:rPr>
                <w:szCs w:val="21"/>
                <w:highlight w:val="none"/>
              </w:rPr>
            </w:pPr>
            <w:r>
              <w:rPr>
                <w:rFonts w:hint="eastAsia" w:ascii="Arial" w:hAnsi="Arial" w:cs="Arial"/>
                <w:szCs w:val="21"/>
                <w:highlight w:val="none"/>
              </w:rPr>
              <w:t>得分小计（D）</w:t>
            </w:r>
          </w:p>
        </w:tc>
        <w:tc>
          <w:tcPr>
            <w:tcW w:w="897" w:type="dxa"/>
            <w:tcBorders>
              <w:top w:val="single" w:color="auto" w:sz="4" w:space="0"/>
              <w:left w:val="single" w:color="auto" w:sz="4" w:space="0"/>
              <w:bottom w:val="single" w:color="auto" w:sz="4" w:space="0"/>
              <w:right w:val="single" w:color="auto" w:sz="4" w:space="0"/>
            </w:tcBorders>
          </w:tcPr>
          <w:p>
            <w:pPr>
              <w:rPr>
                <w:highlight w:val="none"/>
              </w:rPr>
            </w:pPr>
            <w:r>
              <w:rPr>
                <w:rFonts w:hint="eastAsia"/>
                <w:highlight w:val="none"/>
              </w:rPr>
              <w:t>30分</w:t>
            </w:r>
          </w:p>
        </w:tc>
        <w:tc>
          <w:tcPr>
            <w:tcW w:w="1003"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54" w:hRule="exact"/>
        </w:trPr>
        <w:tc>
          <w:tcPr>
            <w:tcW w:w="7560" w:type="dxa"/>
            <w:gridSpan w:val="4"/>
            <w:tcBorders>
              <w:top w:val="single" w:color="auto" w:sz="4" w:space="0"/>
              <w:left w:val="single" w:color="auto" w:sz="4" w:space="0"/>
              <w:bottom w:val="single" w:color="auto" w:sz="4" w:space="0"/>
              <w:right w:val="single" w:color="auto" w:sz="4" w:space="0"/>
            </w:tcBorders>
            <w:vAlign w:val="center"/>
          </w:tcPr>
          <w:p>
            <w:pPr>
              <w:spacing w:before="60" w:beforeLines="25" w:after="60" w:afterLines="25"/>
              <w:jc w:val="center"/>
              <w:rPr>
                <w:rFonts w:ascii="Arial" w:hAnsi="Arial" w:cs="Arial"/>
                <w:szCs w:val="21"/>
                <w:highlight w:val="none"/>
              </w:rPr>
            </w:pPr>
            <w:r>
              <w:rPr>
                <w:rFonts w:hint="eastAsia"/>
                <w:b/>
                <w:szCs w:val="21"/>
                <w:highlight w:val="none"/>
              </w:rPr>
              <w:t>其他因素得分合计D</w:t>
            </w:r>
            <w:r>
              <w:rPr>
                <w:rFonts w:hint="eastAsia" w:ascii="Arial" w:hAnsi="Arial" w:cs="Arial"/>
                <w:b/>
                <w:szCs w:val="21"/>
                <w:highlight w:val="none"/>
              </w:rPr>
              <w:t>（满分</w:t>
            </w:r>
            <w:r>
              <w:rPr>
                <w:rFonts w:hint="eastAsia" w:ascii="Arial" w:hAnsi="Arial" w:cs="Arial"/>
                <w:b/>
                <w:szCs w:val="21"/>
                <w:highlight w:val="none"/>
                <w:u w:val="single"/>
              </w:rPr>
              <w:t xml:space="preserve">30 </w:t>
            </w:r>
            <w:r>
              <w:rPr>
                <w:rFonts w:hint="eastAsia" w:ascii="Arial" w:hAnsi="Arial" w:cs="Arial"/>
                <w:b/>
                <w:szCs w:val="21"/>
                <w:highlight w:val="none"/>
              </w:rPr>
              <w:t>）=D</w:t>
            </w:r>
          </w:p>
        </w:tc>
        <w:tc>
          <w:tcPr>
            <w:tcW w:w="1003" w:type="dxa"/>
            <w:tcBorders>
              <w:top w:val="single" w:color="auto" w:sz="4" w:space="0"/>
              <w:left w:val="single" w:color="auto" w:sz="4" w:space="0"/>
              <w:bottom w:val="single" w:color="auto" w:sz="4" w:space="0"/>
              <w:right w:val="single" w:color="auto" w:sz="4" w:space="0"/>
            </w:tcBorders>
          </w:tcPr>
          <w:p>
            <w:pPr>
              <w:spacing w:before="60" w:beforeLines="25" w:after="60" w:afterLines="25"/>
              <w:jc w:val="center"/>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c>
          <w:tcPr>
            <w:tcW w:w="1004" w:type="dxa"/>
            <w:tcBorders>
              <w:top w:val="single" w:color="auto" w:sz="4" w:space="0"/>
              <w:left w:val="single" w:color="auto" w:sz="4" w:space="0"/>
              <w:bottom w:val="single" w:color="auto" w:sz="4" w:space="0"/>
              <w:right w:val="single" w:color="auto" w:sz="4" w:space="0"/>
            </w:tcBorders>
          </w:tcPr>
          <w:p>
            <w:pPr>
              <w:spacing w:before="60" w:beforeLines="25" w:after="60" w:afterLines="25"/>
              <w:rPr>
                <w:rFonts w:ascii="Arial" w:hAnsi="Arial" w:cs="Arial"/>
                <w:szCs w:val="21"/>
                <w:highlight w:val="none"/>
              </w:rPr>
            </w:pPr>
          </w:p>
        </w:tc>
      </w:tr>
    </w:tbl>
    <w:p>
      <w:pPr>
        <w:spacing w:before="60" w:beforeLines="25" w:after="60" w:afterLines="25"/>
        <w:jc w:val="left"/>
        <w:rPr>
          <w:rFonts w:hint="eastAsia" w:cs="宋体"/>
          <w:b/>
          <w:bCs/>
          <w:color w:val="auto"/>
          <w:highlight w:val="none"/>
          <w:u w:val="single"/>
          <w:lang w:val="en-US" w:eastAsia="zh-CN"/>
        </w:rPr>
      </w:pPr>
      <w:r>
        <w:rPr>
          <w:rFonts w:hint="eastAsia" w:cs="宋体"/>
          <w:b/>
          <w:bCs/>
          <w:color w:val="auto"/>
          <w:highlight w:val="none"/>
          <w:u w:val="none"/>
          <w:lang w:val="en-US" w:eastAsia="zh-CN"/>
        </w:rPr>
        <w:t>注：一、</w:t>
      </w:r>
      <w:r>
        <w:rPr>
          <w:rFonts w:hint="eastAsia" w:cs="宋体"/>
          <w:b/>
          <w:bCs/>
          <w:color w:val="auto"/>
          <w:highlight w:val="none"/>
          <w:u w:val="single"/>
          <w:lang w:val="en-US" w:eastAsia="zh-CN"/>
        </w:rPr>
        <w:t>近8年指2013年1月至2021年1月，</w:t>
      </w:r>
      <w:r>
        <w:rPr>
          <w:rFonts w:hint="eastAsia" w:ascii="Arial" w:hAnsi="Arial"/>
          <w:b/>
          <w:bCs/>
          <w:color w:val="000000"/>
          <w:highlight w:val="none"/>
          <w:u w:val="single"/>
          <w:lang w:val="en-US" w:eastAsia="zh-CN"/>
        </w:rPr>
        <w:t>业绩时间以合同签订时间为准。</w:t>
      </w:r>
    </w:p>
    <w:p>
      <w:pPr>
        <w:numPr>
          <w:ilvl w:val="0"/>
          <w:numId w:val="21"/>
        </w:numPr>
        <w:spacing w:before="60" w:beforeLines="25" w:after="60" w:afterLines="25"/>
        <w:ind w:firstLine="422" w:firstLineChars="200"/>
        <w:jc w:val="left"/>
        <w:rPr>
          <w:rFonts w:hint="eastAsia"/>
          <w:b/>
          <w:bCs/>
          <w:szCs w:val="21"/>
          <w:highlight w:val="none"/>
          <w:u w:val="single"/>
        </w:rPr>
      </w:pPr>
      <w:r>
        <w:rPr>
          <w:rFonts w:hint="eastAsia" w:ascii="宋体" w:eastAsia="宋体" w:cs="宋体"/>
          <w:b/>
          <w:bCs/>
          <w:color w:val="auto"/>
          <w:highlight w:val="none"/>
          <w:u w:val="single"/>
        </w:rPr>
        <w:t>类似</w:t>
      </w:r>
      <w:r>
        <w:rPr>
          <w:rFonts w:hint="eastAsia" w:cs="宋体"/>
          <w:b/>
          <w:bCs/>
          <w:color w:val="auto"/>
          <w:highlight w:val="none"/>
          <w:u w:val="single"/>
          <w:lang w:val="en-US" w:eastAsia="zh-CN"/>
        </w:rPr>
        <w:t>工程</w:t>
      </w:r>
      <w:r>
        <w:rPr>
          <w:rFonts w:hint="eastAsia" w:ascii="宋体" w:eastAsia="宋体" w:cs="宋体"/>
          <w:b/>
          <w:bCs/>
          <w:color w:val="auto"/>
          <w:highlight w:val="none"/>
          <w:u w:val="single"/>
        </w:rPr>
        <w:t>业绩是指：现代有轨电车（仅指钢轮钢轨）、地铁、轻轨（不含单轨）项目的轨道工程业绩</w:t>
      </w:r>
      <w:r>
        <w:rPr>
          <w:rFonts w:hint="eastAsia"/>
          <w:b/>
          <w:bCs/>
          <w:szCs w:val="21"/>
          <w:highlight w:val="none"/>
          <w:u w:val="single"/>
        </w:rPr>
        <w:t>。</w:t>
      </w:r>
    </w:p>
    <w:p>
      <w:pPr>
        <w:numPr>
          <w:ilvl w:val="0"/>
          <w:numId w:val="21"/>
        </w:numPr>
        <w:spacing w:before="60" w:beforeLines="25" w:after="60" w:afterLines="25"/>
        <w:ind w:firstLine="422" w:firstLineChars="200"/>
        <w:jc w:val="left"/>
        <w:rPr>
          <w:rFonts w:ascii="Arial" w:hAnsi="Arial" w:cs="Arial"/>
          <w:b/>
          <w:bCs/>
          <w:highlight w:val="none"/>
        </w:rPr>
      </w:pPr>
      <w:r>
        <w:rPr>
          <w:rFonts w:hint="eastAsia"/>
          <w:b/>
          <w:bCs/>
          <w:szCs w:val="21"/>
          <w:highlight w:val="none"/>
          <w:u w:val="single"/>
        </w:rPr>
        <w:t>业绩</w:t>
      </w:r>
      <w:r>
        <w:rPr>
          <w:rFonts w:hint="eastAsia"/>
          <w:b/>
          <w:bCs/>
          <w:szCs w:val="21"/>
          <w:highlight w:val="none"/>
          <w:u w:val="single"/>
          <w:lang w:val="en-US" w:eastAsia="zh-CN"/>
        </w:rPr>
        <w:t>为在建</w:t>
      </w:r>
      <w:r>
        <w:rPr>
          <w:rFonts w:hint="eastAsia"/>
          <w:b/>
          <w:bCs/>
          <w:color w:val="000000"/>
          <w:szCs w:val="21"/>
          <w:highlight w:val="none"/>
          <w:u w:val="single"/>
          <w:lang w:val="en-US" w:eastAsia="zh-CN"/>
        </w:rPr>
        <w:t>项目的</w:t>
      </w:r>
      <w:r>
        <w:rPr>
          <w:rFonts w:hint="eastAsia"/>
          <w:b/>
          <w:bCs/>
          <w:szCs w:val="21"/>
          <w:highlight w:val="none"/>
          <w:u w:val="single"/>
        </w:rPr>
        <w:t>，要求</w:t>
      </w:r>
      <w:r>
        <w:rPr>
          <w:rFonts w:hint="eastAsia"/>
          <w:b/>
          <w:bCs/>
          <w:szCs w:val="21"/>
          <w:highlight w:val="none"/>
          <w:u w:val="single"/>
          <w:lang w:val="en-US" w:eastAsia="zh-CN"/>
        </w:rPr>
        <w:t>提供（1）</w:t>
      </w:r>
      <w:r>
        <w:rPr>
          <w:rFonts w:hint="eastAsia"/>
          <w:b/>
          <w:bCs/>
          <w:szCs w:val="21"/>
          <w:highlight w:val="none"/>
          <w:u w:val="single"/>
        </w:rPr>
        <w:t>中标通知书</w:t>
      </w:r>
      <w:r>
        <w:rPr>
          <w:rFonts w:hint="eastAsia"/>
          <w:b/>
          <w:bCs/>
          <w:szCs w:val="21"/>
          <w:highlight w:val="none"/>
          <w:u w:val="single"/>
          <w:lang w:val="en-US" w:eastAsia="zh-CN"/>
        </w:rPr>
        <w:t>或</w:t>
      </w:r>
      <w:r>
        <w:rPr>
          <w:rFonts w:hint="eastAsia"/>
          <w:b/>
          <w:bCs/>
          <w:szCs w:val="21"/>
          <w:highlight w:val="none"/>
          <w:u w:val="single"/>
        </w:rPr>
        <w:t>合同</w:t>
      </w:r>
      <w:r>
        <w:rPr>
          <w:rFonts w:hint="eastAsia"/>
          <w:b/>
          <w:bCs/>
          <w:szCs w:val="21"/>
          <w:highlight w:val="none"/>
          <w:u w:val="single"/>
          <w:lang w:val="en-US" w:eastAsia="zh-CN"/>
        </w:rPr>
        <w:t>（2）</w:t>
      </w:r>
      <w:r>
        <w:rPr>
          <w:rFonts w:hint="eastAsia"/>
          <w:b/>
          <w:bCs/>
          <w:szCs w:val="21"/>
          <w:highlight w:val="none"/>
          <w:u w:val="single"/>
        </w:rPr>
        <w:t>可供查询</w:t>
      </w:r>
      <w:r>
        <w:rPr>
          <w:rFonts w:hint="eastAsia"/>
          <w:b/>
          <w:bCs/>
          <w:szCs w:val="21"/>
          <w:highlight w:val="none"/>
          <w:u w:val="single"/>
          <w:lang w:val="en-US" w:eastAsia="zh-CN"/>
        </w:rPr>
        <w:t>业绩的</w:t>
      </w:r>
      <w:r>
        <w:rPr>
          <w:rFonts w:hint="eastAsia"/>
          <w:b/>
          <w:bCs/>
          <w:szCs w:val="21"/>
          <w:highlight w:val="none"/>
          <w:u w:val="single"/>
        </w:rPr>
        <w:t>网址</w:t>
      </w:r>
      <w:r>
        <w:rPr>
          <w:rFonts w:hint="eastAsia"/>
          <w:b/>
          <w:bCs/>
          <w:szCs w:val="21"/>
          <w:highlight w:val="none"/>
          <w:u w:val="single"/>
          <w:lang w:val="en-US" w:eastAsia="zh-CN"/>
        </w:rPr>
        <w:t>与</w:t>
      </w:r>
      <w:r>
        <w:rPr>
          <w:rFonts w:hint="eastAsia"/>
          <w:b/>
          <w:bCs/>
          <w:szCs w:val="21"/>
          <w:highlight w:val="none"/>
          <w:u w:val="single"/>
        </w:rPr>
        <w:t>截图；业绩</w:t>
      </w:r>
      <w:r>
        <w:rPr>
          <w:rFonts w:hint="eastAsia"/>
          <w:b/>
          <w:bCs/>
          <w:szCs w:val="21"/>
          <w:highlight w:val="none"/>
          <w:u w:val="single"/>
          <w:lang w:val="en-US" w:eastAsia="zh-CN"/>
        </w:rPr>
        <w:t>为</w:t>
      </w:r>
      <w:r>
        <w:rPr>
          <w:rFonts w:hint="eastAsia" w:ascii="Arial" w:hAnsi="Arial"/>
          <w:b/>
          <w:bCs/>
          <w:color w:val="000000"/>
          <w:highlight w:val="none"/>
          <w:u w:val="single"/>
          <w:lang w:val="en-US" w:eastAsia="zh-CN"/>
        </w:rPr>
        <w:t>已</w:t>
      </w:r>
      <w:r>
        <w:rPr>
          <w:rFonts w:hint="eastAsia"/>
          <w:b/>
          <w:bCs/>
          <w:szCs w:val="21"/>
          <w:highlight w:val="none"/>
          <w:u w:val="single"/>
        </w:rPr>
        <w:t>通车</w:t>
      </w:r>
      <w:r>
        <w:rPr>
          <w:rFonts w:hint="eastAsia" w:ascii="Arial" w:hAnsi="Arial"/>
          <w:b/>
          <w:bCs/>
          <w:color w:val="000000"/>
          <w:highlight w:val="none"/>
          <w:u w:val="single"/>
          <w:lang w:val="en-US" w:eastAsia="zh-CN"/>
        </w:rPr>
        <w:t>运营项目的，</w:t>
      </w:r>
      <w:r>
        <w:rPr>
          <w:rFonts w:hint="eastAsia"/>
          <w:b/>
          <w:bCs/>
          <w:szCs w:val="21"/>
          <w:highlight w:val="none"/>
          <w:u w:val="single"/>
        </w:rPr>
        <w:t>要求</w:t>
      </w:r>
      <w:r>
        <w:rPr>
          <w:rFonts w:hint="eastAsia"/>
          <w:b/>
          <w:bCs/>
          <w:szCs w:val="21"/>
          <w:highlight w:val="none"/>
          <w:u w:val="single"/>
          <w:lang w:val="en-US" w:eastAsia="zh-CN"/>
        </w:rPr>
        <w:t>提供（1）</w:t>
      </w:r>
      <w:r>
        <w:rPr>
          <w:rFonts w:hint="eastAsia"/>
          <w:b/>
          <w:bCs/>
          <w:szCs w:val="21"/>
          <w:highlight w:val="none"/>
          <w:u w:val="single"/>
        </w:rPr>
        <w:t>中标通知书</w:t>
      </w:r>
      <w:r>
        <w:rPr>
          <w:rFonts w:hint="eastAsia"/>
          <w:b/>
          <w:bCs/>
          <w:szCs w:val="21"/>
          <w:highlight w:val="none"/>
          <w:u w:val="single"/>
          <w:lang w:val="en-US" w:eastAsia="zh-CN"/>
        </w:rPr>
        <w:t>或</w:t>
      </w:r>
      <w:r>
        <w:rPr>
          <w:rFonts w:hint="eastAsia"/>
          <w:b/>
          <w:bCs/>
          <w:szCs w:val="21"/>
          <w:highlight w:val="none"/>
          <w:u w:val="single"/>
        </w:rPr>
        <w:t>合同</w:t>
      </w:r>
      <w:r>
        <w:rPr>
          <w:rFonts w:hint="eastAsia"/>
          <w:b/>
          <w:bCs/>
          <w:szCs w:val="21"/>
          <w:highlight w:val="none"/>
          <w:u w:val="single"/>
          <w:lang w:val="en-US" w:eastAsia="zh-CN"/>
        </w:rPr>
        <w:t>（2）</w:t>
      </w:r>
      <w:r>
        <w:rPr>
          <w:rFonts w:hint="eastAsia"/>
          <w:b/>
          <w:bCs/>
          <w:szCs w:val="21"/>
          <w:highlight w:val="none"/>
          <w:u w:val="single"/>
        </w:rPr>
        <w:t>可供查询</w:t>
      </w:r>
      <w:r>
        <w:rPr>
          <w:rFonts w:hint="eastAsia"/>
          <w:b/>
          <w:bCs/>
          <w:szCs w:val="21"/>
          <w:highlight w:val="none"/>
          <w:u w:val="single"/>
          <w:lang w:val="en-US" w:eastAsia="zh-CN"/>
        </w:rPr>
        <w:t>业绩的</w:t>
      </w:r>
      <w:r>
        <w:rPr>
          <w:rFonts w:hint="eastAsia"/>
          <w:b/>
          <w:bCs/>
          <w:szCs w:val="21"/>
          <w:highlight w:val="none"/>
          <w:u w:val="single"/>
        </w:rPr>
        <w:t>网址</w:t>
      </w:r>
      <w:r>
        <w:rPr>
          <w:rFonts w:hint="eastAsia"/>
          <w:b/>
          <w:bCs/>
          <w:szCs w:val="21"/>
          <w:highlight w:val="none"/>
          <w:u w:val="single"/>
          <w:lang w:val="en-US" w:eastAsia="zh-CN"/>
        </w:rPr>
        <w:t>与</w:t>
      </w:r>
      <w:r>
        <w:rPr>
          <w:rFonts w:hint="eastAsia"/>
          <w:b/>
          <w:bCs/>
          <w:szCs w:val="21"/>
          <w:highlight w:val="none"/>
          <w:u w:val="single"/>
        </w:rPr>
        <w:t>截图</w:t>
      </w:r>
      <w:r>
        <w:rPr>
          <w:rFonts w:hint="eastAsia"/>
          <w:b/>
          <w:bCs/>
          <w:szCs w:val="21"/>
          <w:highlight w:val="none"/>
          <w:u w:val="single"/>
          <w:lang w:eastAsia="zh-CN"/>
        </w:rPr>
        <w:t>（</w:t>
      </w:r>
      <w:r>
        <w:rPr>
          <w:rFonts w:hint="eastAsia"/>
          <w:b/>
          <w:bCs/>
          <w:szCs w:val="21"/>
          <w:highlight w:val="none"/>
          <w:u w:val="single"/>
          <w:lang w:val="en-US" w:eastAsia="zh-CN"/>
        </w:rPr>
        <w:t>3</w:t>
      </w:r>
      <w:r>
        <w:rPr>
          <w:rFonts w:hint="eastAsia"/>
          <w:b/>
          <w:bCs/>
          <w:szCs w:val="21"/>
          <w:highlight w:val="none"/>
          <w:u w:val="single"/>
          <w:lang w:eastAsia="zh-CN"/>
        </w:rPr>
        <w:t>）</w:t>
      </w:r>
      <w:r>
        <w:rPr>
          <w:rFonts w:hint="eastAsia"/>
          <w:b/>
          <w:bCs/>
          <w:szCs w:val="21"/>
          <w:highlight w:val="none"/>
          <w:u w:val="single"/>
        </w:rPr>
        <w:t>竣</w:t>
      </w:r>
      <w:r>
        <w:rPr>
          <w:rFonts w:hint="eastAsia"/>
          <w:b/>
          <w:bCs/>
          <w:szCs w:val="21"/>
          <w:highlight w:val="none"/>
          <w:u w:val="single"/>
          <w:lang w:eastAsia="zh-CN"/>
        </w:rPr>
        <w:t>（</w:t>
      </w:r>
      <w:r>
        <w:rPr>
          <w:rFonts w:hint="eastAsia"/>
          <w:b/>
          <w:bCs/>
          <w:szCs w:val="21"/>
          <w:highlight w:val="none"/>
          <w:u w:val="single"/>
          <w:lang w:val="en-US" w:eastAsia="zh-CN"/>
        </w:rPr>
        <w:t>交</w:t>
      </w:r>
      <w:r>
        <w:rPr>
          <w:rFonts w:hint="eastAsia"/>
          <w:b/>
          <w:bCs/>
          <w:szCs w:val="21"/>
          <w:highlight w:val="none"/>
          <w:u w:val="single"/>
          <w:lang w:eastAsia="zh-CN"/>
        </w:rPr>
        <w:t>）</w:t>
      </w:r>
      <w:r>
        <w:rPr>
          <w:rFonts w:hint="eastAsia"/>
          <w:b/>
          <w:bCs/>
          <w:szCs w:val="21"/>
          <w:highlight w:val="none"/>
          <w:u w:val="single"/>
        </w:rPr>
        <w:t>工验收文件</w:t>
      </w:r>
      <w:r>
        <w:rPr>
          <w:rFonts w:hint="eastAsia"/>
          <w:b/>
          <w:bCs/>
          <w:szCs w:val="21"/>
          <w:highlight w:val="none"/>
          <w:u w:val="single"/>
          <w:lang w:val="en-US" w:eastAsia="zh-CN"/>
        </w:rPr>
        <w:t>（4）</w:t>
      </w:r>
      <w:r>
        <w:rPr>
          <w:rFonts w:hint="eastAsia"/>
          <w:b/>
          <w:bCs/>
          <w:highlight w:val="none"/>
          <w:u w:val="single"/>
        </w:rPr>
        <w:t>试运营基本条件评审报告</w:t>
      </w:r>
      <w:r>
        <w:rPr>
          <w:rFonts w:hint="eastAsia" w:ascii="Arial" w:hAnsi="Arial"/>
          <w:b/>
          <w:bCs/>
          <w:color w:val="000000"/>
          <w:highlight w:val="none"/>
          <w:lang w:eastAsia="zh-CN"/>
        </w:rPr>
        <w:t>。</w:t>
      </w:r>
      <w:r>
        <w:rPr>
          <w:rFonts w:hint="eastAsia" w:ascii="Arial" w:hAnsi="Arial"/>
          <w:b/>
          <w:bCs/>
          <w:color w:val="000000"/>
          <w:highlight w:val="none"/>
          <w:lang w:val="en-US" w:eastAsia="zh-CN"/>
        </w:rPr>
        <w:t>（业绩提供的资料需在复印件上</w:t>
      </w:r>
      <w:r>
        <w:rPr>
          <w:rFonts w:hint="eastAsia" w:ascii="Arial" w:hAnsi="Arial"/>
          <w:b/>
          <w:bCs/>
          <w:color w:val="000000"/>
          <w:highlight w:val="none"/>
        </w:rPr>
        <w:t>加盖单位公章）</w:t>
      </w:r>
      <w:r>
        <w:rPr>
          <w:rFonts w:hint="eastAsia" w:ascii="Arial" w:hAnsi="Arial"/>
          <w:b/>
          <w:bCs/>
          <w:color w:val="000000"/>
          <w:highlight w:val="none"/>
          <w:lang w:val="en-US" w:eastAsia="zh-CN"/>
        </w:rPr>
        <w:t>。</w:t>
      </w:r>
    </w:p>
    <w:p>
      <w:pPr>
        <w:tabs>
          <w:tab w:val="left" w:pos="4680"/>
        </w:tabs>
        <w:spacing w:after="120" w:afterLines="50"/>
        <w:rPr>
          <w:rFonts w:ascii="Arial" w:hAnsi="Arial" w:eastAsia="黑体" w:cs="Arial"/>
          <w:sz w:val="24"/>
          <w:highlight w:val="none"/>
        </w:rPr>
      </w:pPr>
      <w:r>
        <w:rPr>
          <w:rFonts w:hint="eastAsia" w:ascii="Arial" w:hAnsi="Arial" w:cs="Arial"/>
          <w:highlight w:val="none"/>
        </w:rPr>
        <w:t>评标委员会成员</w:t>
      </w:r>
      <w:r>
        <w:rPr>
          <w:rFonts w:ascii="Arial" w:hAnsi="Arial" w:cs="Arial"/>
          <w:highlight w:val="none"/>
        </w:rPr>
        <w:t>签名：                                                                                   日期：   年    月   日</w:t>
      </w:r>
      <w:r>
        <w:rPr>
          <w:rFonts w:ascii="Arial" w:hAnsi="Arial" w:eastAsia="黑体" w:cs="Arial"/>
          <w:sz w:val="24"/>
          <w:highlight w:val="none"/>
        </w:rPr>
        <w:br w:type="page"/>
      </w:r>
      <w:r>
        <w:rPr>
          <w:rFonts w:ascii="Arial" w:hAnsi="Arial" w:eastAsia="黑体" w:cs="Arial"/>
          <w:sz w:val="24"/>
          <w:highlight w:val="none"/>
        </w:rPr>
        <w:t>附表</w:t>
      </w:r>
      <w:r>
        <w:rPr>
          <w:rFonts w:hint="eastAsia" w:ascii="Arial" w:hAnsi="Arial" w:cs="Arial"/>
          <w:b/>
          <w:bCs/>
          <w:sz w:val="24"/>
          <w:highlight w:val="none"/>
        </w:rPr>
        <w:t>A-12</w:t>
      </w:r>
      <w:r>
        <w:rPr>
          <w:rFonts w:ascii="Arial" w:hAnsi="Arial" w:cs="Arial"/>
          <w:b/>
          <w:bCs/>
          <w:sz w:val="24"/>
          <w:highlight w:val="none"/>
        </w:rPr>
        <w:t>：</w:t>
      </w:r>
      <w:r>
        <w:rPr>
          <w:rFonts w:hint="eastAsia" w:ascii="Arial" w:hAnsi="Arial" w:eastAsia="黑体" w:cs="Arial"/>
          <w:sz w:val="24"/>
          <w:highlight w:val="none"/>
        </w:rPr>
        <w:t>详细评审</w:t>
      </w:r>
      <w:r>
        <w:rPr>
          <w:rFonts w:ascii="Arial" w:hAnsi="Arial" w:eastAsia="黑体" w:cs="Arial"/>
          <w:sz w:val="24"/>
          <w:highlight w:val="none"/>
        </w:rPr>
        <w:t>评分汇总表</w:t>
      </w:r>
    </w:p>
    <w:p>
      <w:pPr>
        <w:spacing w:after="240" w:afterLines="100"/>
        <w:jc w:val="center"/>
        <w:rPr>
          <w:rFonts w:ascii="Arial" w:hAnsi="Arial" w:eastAsia="黑体" w:cs="Arial"/>
          <w:sz w:val="28"/>
          <w:szCs w:val="21"/>
          <w:highlight w:val="none"/>
        </w:rPr>
      </w:pPr>
      <w:r>
        <w:rPr>
          <w:rFonts w:hint="eastAsia" w:ascii="Arial" w:hAnsi="Arial" w:eastAsia="黑体" w:cs="Arial"/>
          <w:sz w:val="28"/>
          <w:szCs w:val="21"/>
          <w:highlight w:val="none"/>
        </w:rPr>
        <w:t>详细评审</w:t>
      </w:r>
      <w:r>
        <w:rPr>
          <w:rFonts w:ascii="Arial" w:hAnsi="Arial" w:eastAsia="黑体" w:cs="Arial"/>
          <w:sz w:val="28"/>
          <w:szCs w:val="21"/>
          <w:highlight w:val="none"/>
        </w:rPr>
        <w:t>评分汇总表</w:t>
      </w:r>
    </w:p>
    <w:p>
      <w:pPr>
        <w:spacing w:after="240" w:afterLines="100"/>
        <w:rPr>
          <w:rFonts w:cs="Arial"/>
          <w:szCs w:val="21"/>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3061"/>
        <w:gridCol w:w="1260"/>
        <w:gridCol w:w="1234"/>
        <w:gridCol w:w="1234"/>
        <w:gridCol w:w="1234"/>
        <w:gridCol w:w="1235"/>
        <w:gridCol w:w="1234"/>
        <w:gridCol w:w="1234"/>
        <w:gridCol w:w="1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 w:hRule="atLeast"/>
        </w:trPr>
        <w:tc>
          <w:tcPr>
            <w:tcW w:w="719" w:type="dxa"/>
            <w:vMerge w:val="restart"/>
            <w:vAlign w:val="center"/>
          </w:tcPr>
          <w:p>
            <w:pPr>
              <w:spacing w:before="60" w:beforeLines="25" w:after="60" w:afterLines="25"/>
              <w:jc w:val="center"/>
              <w:rPr>
                <w:rFonts w:ascii="Arial" w:hAnsi="Arial" w:cs="Arial"/>
                <w:highlight w:val="none"/>
              </w:rPr>
            </w:pPr>
            <w:r>
              <w:rPr>
                <w:rFonts w:ascii="Arial" w:hAnsi="Arial" w:cs="Arial"/>
                <w:highlight w:val="none"/>
              </w:rPr>
              <w:t>序号</w:t>
            </w:r>
          </w:p>
        </w:tc>
        <w:tc>
          <w:tcPr>
            <w:tcW w:w="3061" w:type="dxa"/>
            <w:vMerge w:val="restart"/>
            <w:vAlign w:val="center"/>
          </w:tcPr>
          <w:p>
            <w:pPr>
              <w:spacing w:before="60" w:beforeLines="25" w:after="60" w:afterLines="25"/>
              <w:jc w:val="center"/>
              <w:rPr>
                <w:rFonts w:ascii="Arial" w:hAnsi="Arial" w:cs="Arial"/>
                <w:highlight w:val="none"/>
              </w:rPr>
            </w:pPr>
            <w:r>
              <w:rPr>
                <w:rFonts w:ascii="Arial" w:hAnsi="Arial" w:cs="Arial"/>
                <w:highlight w:val="none"/>
              </w:rPr>
              <w:t>评分项目</w:t>
            </w:r>
          </w:p>
        </w:tc>
        <w:tc>
          <w:tcPr>
            <w:tcW w:w="1260" w:type="dxa"/>
            <w:vMerge w:val="restart"/>
            <w:vAlign w:val="center"/>
          </w:tcPr>
          <w:p>
            <w:pPr>
              <w:spacing w:before="60" w:beforeLines="25" w:after="60" w:afterLines="25"/>
              <w:jc w:val="center"/>
              <w:rPr>
                <w:rFonts w:ascii="Arial" w:hAnsi="Arial" w:cs="Arial"/>
                <w:highlight w:val="none"/>
              </w:rPr>
            </w:pPr>
            <w:r>
              <w:rPr>
                <w:rFonts w:ascii="Arial" w:hAnsi="Arial" w:cs="Arial"/>
                <w:highlight w:val="none"/>
              </w:rPr>
              <w:t>分</w:t>
            </w:r>
            <w:r>
              <w:rPr>
                <w:rFonts w:hint="eastAsia" w:ascii="Arial" w:hAnsi="Arial" w:cs="Arial"/>
                <w:highlight w:val="none"/>
              </w:rPr>
              <w:t>值代码</w:t>
            </w:r>
          </w:p>
        </w:tc>
        <w:tc>
          <w:tcPr>
            <w:tcW w:w="8640" w:type="dxa"/>
            <w:gridSpan w:val="7"/>
            <w:vAlign w:val="center"/>
          </w:tcPr>
          <w:p>
            <w:pPr>
              <w:spacing w:before="60" w:beforeLines="25" w:after="60" w:afterLines="25"/>
              <w:jc w:val="center"/>
              <w:rPr>
                <w:rFonts w:ascii="Arial" w:hAnsi="Arial" w:cs="Arial"/>
                <w:szCs w:val="20"/>
                <w:highlight w:val="none"/>
              </w:rPr>
            </w:pPr>
            <w:r>
              <w:rPr>
                <w:rFonts w:ascii="Arial" w:hAnsi="Arial" w:cs="Arial"/>
                <w:szCs w:val="20"/>
                <w:highlight w:val="none"/>
              </w:rPr>
              <w:t>投标人名称代码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9" w:type="dxa"/>
            <w:vMerge w:val="continue"/>
            <w:vAlign w:val="center"/>
          </w:tcPr>
          <w:p>
            <w:pPr>
              <w:spacing w:before="60" w:beforeLines="25" w:after="60" w:afterLines="25"/>
              <w:jc w:val="center"/>
              <w:rPr>
                <w:rFonts w:ascii="Arial" w:hAnsi="Arial" w:cs="Arial"/>
                <w:szCs w:val="20"/>
                <w:highlight w:val="none"/>
              </w:rPr>
            </w:pPr>
          </w:p>
        </w:tc>
        <w:tc>
          <w:tcPr>
            <w:tcW w:w="3061" w:type="dxa"/>
            <w:vMerge w:val="continue"/>
            <w:vAlign w:val="center"/>
          </w:tcPr>
          <w:p>
            <w:pPr>
              <w:spacing w:before="60" w:beforeLines="25" w:after="60" w:afterLines="25"/>
              <w:jc w:val="center"/>
              <w:rPr>
                <w:rFonts w:ascii="Arial" w:hAnsi="Arial" w:cs="Arial"/>
                <w:szCs w:val="20"/>
                <w:highlight w:val="none"/>
              </w:rPr>
            </w:pPr>
          </w:p>
        </w:tc>
        <w:tc>
          <w:tcPr>
            <w:tcW w:w="1260" w:type="dxa"/>
            <w:vMerge w:val="continue"/>
            <w:vAlign w:val="center"/>
          </w:tcPr>
          <w:p>
            <w:pPr>
              <w:spacing w:before="60" w:beforeLines="25" w:after="60" w:afterLines="25"/>
              <w:jc w:val="center"/>
              <w:rPr>
                <w:rFonts w:ascii="Arial" w:hAnsi="Arial" w:cs="Arial"/>
                <w:highlight w:val="none"/>
              </w:rPr>
            </w:pPr>
          </w:p>
        </w:tc>
        <w:tc>
          <w:tcPr>
            <w:tcW w:w="1234" w:type="dxa"/>
            <w:vAlign w:val="center"/>
          </w:tcPr>
          <w:p>
            <w:pPr>
              <w:spacing w:before="60" w:beforeLines="25" w:after="60" w:afterLines="25"/>
              <w:jc w:val="center"/>
              <w:rPr>
                <w:rFonts w:ascii="Arial" w:hAnsi="Arial" w:cs="Arial"/>
                <w:szCs w:val="20"/>
                <w:highlight w:val="none"/>
              </w:rPr>
            </w:pPr>
          </w:p>
        </w:tc>
        <w:tc>
          <w:tcPr>
            <w:tcW w:w="1234" w:type="dxa"/>
            <w:vAlign w:val="center"/>
          </w:tcPr>
          <w:p>
            <w:pPr>
              <w:spacing w:before="60" w:beforeLines="25" w:after="60" w:afterLines="25"/>
              <w:jc w:val="center"/>
              <w:rPr>
                <w:rFonts w:ascii="Arial" w:hAnsi="Arial" w:cs="Arial"/>
                <w:szCs w:val="20"/>
                <w:highlight w:val="none"/>
              </w:rPr>
            </w:pPr>
          </w:p>
        </w:tc>
        <w:tc>
          <w:tcPr>
            <w:tcW w:w="1234" w:type="dxa"/>
            <w:vAlign w:val="center"/>
          </w:tcPr>
          <w:p>
            <w:pPr>
              <w:spacing w:before="60" w:beforeLines="25" w:after="60" w:afterLines="25"/>
              <w:jc w:val="center"/>
              <w:rPr>
                <w:rFonts w:ascii="Arial" w:hAnsi="Arial" w:cs="Arial"/>
                <w:szCs w:val="20"/>
                <w:highlight w:val="none"/>
              </w:rPr>
            </w:pPr>
          </w:p>
        </w:tc>
        <w:tc>
          <w:tcPr>
            <w:tcW w:w="1235" w:type="dxa"/>
            <w:vAlign w:val="center"/>
          </w:tcPr>
          <w:p>
            <w:pPr>
              <w:spacing w:before="60" w:beforeLines="25" w:after="60" w:afterLines="25"/>
              <w:jc w:val="center"/>
              <w:rPr>
                <w:rFonts w:ascii="Arial" w:hAnsi="Arial" w:cs="Arial"/>
                <w:szCs w:val="20"/>
                <w:highlight w:val="none"/>
              </w:rPr>
            </w:pPr>
          </w:p>
        </w:tc>
        <w:tc>
          <w:tcPr>
            <w:tcW w:w="1234" w:type="dxa"/>
            <w:vAlign w:val="center"/>
          </w:tcPr>
          <w:p>
            <w:pPr>
              <w:spacing w:before="60" w:beforeLines="25" w:after="60" w:afterLines="25"/>
              <w:jc w:val="center"/>
              <w:rPr>
                <w:rFonts w:ascii="Arial" w:hAnsi="Arial" w:cs="Arial"/>
                <w:szCs w:val="20"/>
                <w:highlight w:val="none"/>
              </w:rPr>
            </w:pPr>
          </w:p>
        </w:tc>
        <w:tc>
          <w:tcPr>
            <w:tcW w:w="1234" w:type="dxa"/>
            <w:vAlign w:val="center"/>
          </w:tcPr>
          <w:p>
            <w:pPr>
              <w:spacing w:before="60" w:beforeLines="25" w:after="60" w:afterLines="25"/>
              <w:jc w:val="center"/>
              <w:rPr>
                <w:rFonts w:ascii="Arial" w:hAnsi="Arial" w:cs="Arial"/>
                <w:szCs w:val="20"/>
                <w:highlight w:val="none"/>
              </w:rPr>
            </w:pPr>
          </w:p>
        </w:tc>
        <w:tc>
          <w:tcPr>
            <w:tcW w:w="1235" w:type="dxa"/>
            <w:vAlign w:val="center"/>
          </w:tcPr>
          <w:p>
            <w:pPr>
              <w:spacing w:before="60" w:beforeLines="25" w:after="60" w:afterLines="25"/>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719" w:type="dxa"/>
            <w:vAlign w:val="center"/>
          </w:tcPr>
          <w:p>
            <w:pPr>
              <w:jc w:val="center"/>
              <w:rPr>
                <w:rFonts w:ascii="Arial" w:hAnsi="Arial" w:cs="Arial"/>
                <w:highlight w:val="none"/>
              </w:rPr>
            </w:pPr>
            <w:r>
              <w:rPr>
                <w:rFonts w:hint="eastAsia" w:ascii="Arial" w:hAnsi="Arial" w:cs="Arial"/>
                <w:highlight w:val="none"/>
              </w:rPr>
              <w:t>1</w:t>
            </w:r>
          </w:p>
        </w:tc>
        <w:tc>
          <w:tcPr>
            <w:tcW w:w="3061" w:type="dxa"/>
          </w:tcPr>
          <w:p>
            <w:pPr>
              <w:spacing w:line="440" w:lineRule="exact"/>
              <w:jc w:val="left"/>
              <w:rPr>
                <w:szCs w:val="21"/>
                <w:highlight w:val="none"/>
              </w:rPr>
            </w:pPr>
            <w:r>
              <w:rPr>
                <w:rFonts w:hint="eastAsia"/>
                <w:szCs w:val="21"/>
                <w:highlight w:val="none"/>
              </w:rPr>
              <w:t>施工组织设计</w:t>
            </w:r>
          </w:p>
        </w:tc>
        <w:tc>
          <w:tcPr>
            <w:tcW w:w="1260" w:type="dxa"/>
            <w:vAlign w:val="center"/>
          </w:tcPr>
          <w:p>
            <w:pPr>
              <w:jc w:val="center"/>
              <w:rPr>
                <w:rFonts w:ascii="Arial" w:hAnsi="Arial" w:cs="Arial"/>
                <w:szCs w:val="20"/>
                <w:highlight w:val="none"/>
              </w:rPr>
            </w:pPr>
            <w:r>
              <w:rPr>
                <w:rFonts w:hint="eastAsia" w:ascii="Arial" w:hAnsi="Arial" w:cs="Arial"/>
                <w:szCs w:val="20"/>
                <w:highlight w:val="none"/>
              </w:rPr>
              <w:t>A</w:t>
            </w: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719" w:type="dxa"/>
            <w:vAlign w:val="center"/>
          </w:tcPr>
          <w:p>
            <w:pPr>
              <w:jc w:val="center"/>
              <w:rPr>
                <w:rFonts w:ascii="Arial" w:hAnsi="Arial" w:cs="Arial"/>
                <w:highlight w:val="none"/>
              </w:rPr>
            </w:pPr>
            <w:r>
              <w:rPr>
                <w:rFonts w:hint="eastAsia" w:ascii="Arial" w:hAnsi="Arial" w:cs="Arial"/>
                <w:highlight w:val="none"/>
              </w:rPr>
              <w:t>2</w:t>
            </w:r>
          </w:p>
        </w:tc>
        <w:tc>
          <w:tcPr>
            <w:tcW w:w="3061" w:type="dxa"/>
            <w:vAlign w:val="center"/>
          </w:tcPr>
          <w:p>
            <w:pPr>
              <w:spacing w:line="440" w:lineRule="exact"/>
              <w:jc w:val="left"/>
              <w:rPr>
                <w:szCs w:val="21"/>
                <w:highlight w:val="none"/>
              </w:rPr>
            </w:pPr>
            <w:r>
              <w:rPr>
                <w:rFonts w:hint="eastAsia"/>
                <w:szCs w:val="21"/>
                <w:highlight w:val="none"/>
              </w:rPr>
              <w:t>项目管理机构</w:t>
            </w:r>
          </w:p>
        </w:tc>
        <w:tc>
          <w:tcPr>
            <w:tcW w:w="1260" w:type="dxa"/>
            <w:vAlign w:val="center"/>
          </w:tcPr>
          <w:p>
            <w:pPr>
              <w:jc w:val="center"/>
              <w:rPr>
                <w:rFonts w:ascii="Arial" w:hAnsi="Arial" w:cs="Arial"/>
                <w:szCs w:val="20"/>
                <w:highlight w:val="none"/>
              </w:rPr>
            </w:pPr>
            <w:r>
              <w:rPr>
                <w:rFonts w:hint="eastAsia" w:ascii="Arial" w:hAnsi="Arial" w:cs="Arial"/>
                <w:szCs w:val="20"/>
                <w:highlight w:val="none"/>
              </w:rPr>
              <w:t>B</w:t>
            </w: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719" w:type="dxa"/>
            <w:vAlign w:val="center"/>
          </w:tcPr>
          <w:p>
            <w:pPr>
              <w:jc w:val="center"/>
              <w:rPr>
                <w:rFonts w:ascii="Arial" w:hAnsi="Arial" w:cs="Arial"/>
                <w:highlight w:val="none"/>
              </w:rPr>
            </w:pPr>
            <w:r>
              <w:rPr>
                <w:rFonts w:hint="eastAsia" w:ascii="Arial" w:hAnsi="Arial" w:cs="Arial"/>
                <w:highlight w:val="none"/>
              </w:rPr>
              <w:t>3</w:t>
            </w:r>
          </w:p>
        </w:tc>
        <w:tc>
          <w:tcPr>
            <w:tcW w:w="3061" w:type="dxa"/>
          </w:tcPr>
          <w:p>
            <w:pPr>
              <w:spacing w:line="440" w:lineRule="exact"/>
              <w:jc w:val="left"/>
              <w:rPr>
                <w:szCs w:val="21"/>
                <w:highlight w:val="none"/>
              </w:rPr>
            </w:pPr>
            <w:r>
              <w:rPr>
                <w:rFonts w:hint="eastAsia"/>
                <w:szCs w:val="21"/>
                <w:highlight w:val="none"/>
              </w:rPr>
              <w:t>投标报价</w:t>
            </w:r>
          </w:p>
        </w:tc>
        <w:tc>
          <w:tcPr>
            <w:tcW w:w="1260" w:type="dxa"/>
            <w:vAlign w:val="center"/>
          </w:tcPr>
          <w:p>
            <w:pPr>
              <w:jc w:val="center"/>
              <w:rPr>
                <w:rFonts w:ascii="Arial" w:hAnsi="Arial" w:cs="Arial"/>
                <w:szCs w:val="20"/>
                <w:highlight w:val="none"/>
              </w:rPr>
            </w:pPr>
            <w:r>
              <w:rPr>
                <w:rFonts w:hint="eastAsia" w:ascii="Arial" w:hAnsi="Arial" w:cs="Arial"/>
                <w:szCs w:val="20"/>
                <w:highlight w:val="none"/>
              </w:rPr>
              <w:t>C</w:t>
            </w: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719" w:type="dxa"/>
            <w:vAlign w:val="center"/>
          </w:tcPr>
          <w:p>
            <w:pPr>
              <w:jc w:val="center"/>
              <w:rPr>
                <w:rFonts w:ascii="Arial" w:hAnsi="Arial" w:cs="Arial"/>
                <w:highlight w:val="none"/>
              </w:rPr>
            </w:pPr>
            <w:r>
              <w:rPr>
                <w:rFonts w:hint="eastAsia" w:ascii="Arial" w:hAnsi="Arial" w:cs="Arial"/>
                <w:highlight w:val="none"/>
              </w:rPr>
              <w:t>4</w:t>
            </w:r>
          </w:p>
        </w:tc>
        <w:tc>
          <w:tcPr>
            <w:tcW w:w="3061" w:type="dxa"/>
            <w:vAlign w:val="center"/>
          </w:tcPr>
          <w:p>
            <w:pPr>
              <w:spacing w:line="440" w:lineRule="exact"/>
              <w:jc w:val="left"/>
              <w:rPr>
                <w:szCs w:val="21"/>
                <w:highlight w:val="none"/>
              </w:rPr>
            </w:pPr>
            <w:r>
              <w:rPr>
                <w:rFonts w:hint="eastAsia"/>
                <w:szCs w:val="21"/>
                <w:highlight w:val="none"/>
              </w:rPr>
              <w:t>其他因素（其他评审因素）</w:t>
            </w:r>
          </w:p>
        </w:tc>
        <w:tc>
          <w:tcPr>
            <w:tcW w:w="1260" w:type="dxa"/>
            <w:vAlign w:val="center"/>
          </w:tcPr>
          <w:p>
            <w:pPr>
              <w:jc w:val="center"/>
              <w:rPr>
                <w:rFonts w:ascii="Arial" w:hAnsi="Arial" w:cs="Arial"/>
                <w:szCs w:val="20"/>
                <w:highlight w:val="none"/>
              </w:rPr>
            </w:pPr>
            <w:r>
              <w:rPr>
                <w:rFonts w:hint="eastAsia" w:ascii="Arial" w:hAnsi="Arial" w:cs="Arial"/>
                <w:szCs w:val="20"/>
                <w:highlight w:val="none"/>
              </w:rPr>
              <w:t>D</w:t>
            </w: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4" w:type="dxa"/>
            <w:vAlign w:val="center"/>
          </w:tcPr>
          <w:p>
            <w:pPr>
              <w:rPr>
                <w:rFonts w:ascii="Arial" w:hAnsi="Arial" w:cs="Arial"/>
                <w:szCs w:val="20"/>
                <w:highlight w:val="none"/>
              </w:rPr>
            </w:pPr>
          </w:p>
        </w:tc>
        <w:tc>
          <w:tcPr>
            <w:tcW w:w="1235" w:type="dxa"/>
            <w:vAlign w:val="center"/>
          </w:tcPr>
          <w:p>
            <w:pP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5040" w:type="dxa"/>
            <w:gridSpan w:val="3"/>
            <w:vAlign w:val="center"/>
          </w:tcPr>
          <w:p>
            <w:pPr>
              <w:spacing w:line="360" w:lineRule="auto"/>
              <w:jc w:val="center"/>
              <w:rPr>
                <w:rFonts w:ascii="Arial" w:hAnsi="Arial" w:cs="Arial"/>
                <w:szCs w:val="20"/>
                <w:highlight w:val="none"/>
              </w:rPr>
            </w:pPr>
            <w:r>
              <w:rPr>
                <w:rFonts w:hint="eastAsia"/>
                <w:b/>
                <w:szCs w:val="21"/>
                <w:highlight w:val="none"/>
              </w:rPr>
              <w:t>详细评审得分合计</w:t>
            </w:r>
            <w:r>
              <w:rPr>
                <w:rFonts w:hint="eastAsia"/>
                <w:szCs w:val="21"/>
                <w:highlight w:val="none"/>
              </w:rPr>
              <w:t>E=A+B+C+D</w:t>
            </w:r>
          </w:p>
        </w:tc>
        <w:tc>
          <w:tcPr>
            <w:tcW w:w="1234" w:type="dxa"/>
            <w:vAlign w:val="center"/>
          </w:tcPr>
          <w:p>
            <w:pPr>
              <w:spacing w:line="360" w:lineRule="auto"/>
              <w:rPr>
                <w:rFonts w:ascii="Arial" w:hAnsi="Arial" w:cs="Arial"/>
                <w:szCs w:val="20"/>
                <w:highlight w:val="none"/>
              </w:rPr>
            </w:pPr>
          </w:p>
        </w:tc>
        <w:tc>
          <w:tcPr>
            <w:tcW w:w="1234" w:type="dxa"/>
            <w:vAlign w:val="center"/>
          </w:tcPr>
          <w:p>
            <w:pPr>
              <w:spacing w:line="360" w:lineRule="auto"/>
              <w:rPr>
                <w:rFonts w:ascii="Arial" w:hAnsi="Arial" w:cs="Arial"/>
                <w:szCs w:val="20"/>
                <w:highlight w:val="none"/>
              </w:rPr>
            </w:pPr>
          </w:p>
        </w:tc>
        <w:tc>
          <w:tcPr>
            <w:tcW w:w="1234" w:type="dxa"/>
            <w:vAlign w:val="center"/>
          </w:tcPr>
          <w:p>
            <w:pPr>
              <w:spacing w:line="360" w:lineRule="auto"/>
              <w:rPr>
                <w:rFonts w:ascii="Arial" w:hAnsi="Arial" w:cs="Arial"/>
                <w:szCs w:val="20"/>
                <w:highlight w:val="none"/>
              </w:rPr>
            </w:pPr>
          </w:p>
        </w:tc>
        <w:tc>
          <w:tcPr>
            <w:tcW w:w="1235" w:type="dxa"/>
            <w:vAlign w:val="center"/>
          </w:tcPr>
          <w:p>
            <w:pPr>
              <w:spacing w:line="360" w:lineRule="auto"/>
              <w:rPr>
                <w:rFonts w:ascii="Arial" w:hAnsi="Arial" w:cs="Arial"/>
                <w:szCs w:val="20"/>
                <w:highlight w:val="none"/>
              </w:rPr>
            </w:pPr>
          </w:p>
        </w:tc>
        <w:tc>
          <w:tcPr>
            <w:tcW w:w="1234" w:type="dxa"/>
            <w:vAlign w:val="center"/>
          </w:tcPr>
          <w:p>
            <w:pPr>
              <w:spacing w:line="360" w:lineRule="auto"/>
              <w:rPr>
                <w:rFonts w:ascii="Arial" w:hAnsi="Arial" w:cs="Arial"/>
                <w:szCs w:val="20"/>
                <w:highlight w:val="none"/>
              </w:rPr>
            </w:pPr>
          </w:p>
        </w:tc>
        <w:tc>
          <w:tcPr>
            <w:tcW w:w="1234" w:type="dxa"/>
            <w:vAlign w:val="center"/>
          </w:tcPr>
          <w:p>
            <w:pPr>
              <w:spacing w:line="360" w:lineRule="auto"/>
              <w:rPr>
                <w:rFonts w:ascii="Arial" w:hAnsi="Arial" w:cs="Arial"/>
                <w:szCs w:val="20"/>
                <w:highlight w:val="none"/>
              </w:rPr>
            </w:pPr>
          </w:p>
        </w:tc>
        <w:tc>
          <w:tcPr>
            <w:tcW w:w="1235" w:type="dxa"/>
            <w:vAlign w:val="center"/>
          </w:tcPr>
          <w:p>
            <w:pPr>
              <w:spacing w:line="360" w:lineRule="auto"/>
              <w:rPr>
                <w:rFonts w:ascii="Arial" w:hAnsi="Arial" w:cs="Arial"/>
                <w:szCs w:val="20"/>
                <w:highlight w:val="none"/>
              </w:rPr>
            </w:pPr>
          </w:p>
        </w:tc>
      </w:tr>
    </w:tbl>
    <w:p>
      <w:pPr>
        <w:spacing w:after="240" w:afterLines="100"/>
        <w:rPr>
          <w:rFonts w:ascii="Arial" w:hAnsi="Arial" w:cs="Arial"/>
          <w:bCs/>
          <w:szCs w:val="21"/>
          <w:highlight w:val="none"/>
        </w:rPr>
      </w:pPr>
    </w:p>
    <w:p>
      <w:pPr>
        <w:spacing w:after="120" w:afterLines="50" w:line="300" w:lineRule="auto"/>
        <w:rPr>
          <w:highlight w:val="none"/>
        </w:rPr>
      </w:pPr>
      <w:r>
        <w:rPr>
          <w:rFonts w:hint="eastAsia" w:ascii="Arial" w:hAnsi="Arial" w:cs="Arial"/>
          <w:highlight w:val="none"/>
        </w:rPr>
        <w:t>评标委员会成员</w:t>
      </w:r>
      <w:r>
        <w:rPr>
          <w:rFonts w:ascii="Arial" w:hAnsi="Arial" w:cs="Arial"/>
          <w:highlight w:val="none"/>
        </w:rPr>
        <w:t>签名：</w:t>
      </w:r>
      <w:r>
        <w:rPr>
          <w:rFonts w:ascii="Arial" w:hAnsi="Arial" w:cs="Arial"/>
          <w:szCs w:val="21"/>
          <w:highlight w:val="none"/>
        </w:rPr>
        <w:t xml:space="preserve">                                                                                 日期：      年  月</w:t>
      </w:r>
      <w:r>
        <w:rPr>
          <w:rFonts w:hint="eastAsia" w:ascii="Arial" w:hAnsi="Arial" w:cs="Arial"/>
          <w:szCs w:val="21"/>
          <w:highlight w:val="none"/>
        </w:rPr>
        <w:t xml:space="preserve">   日</w:t>
      </w:r>
    </w:p>
    <w:p>
      <w:pPr>
        <w:spacing w:after="240" w:afterLines="100"/>
        <w:rPr>
          <w:rFonts w:ascii="Arial" w:hAnsi="Arial" w:cs="Arial"/>
          <w:bCs/>
          <w:szCs w:val="21"/>
          <w:highlight w:val="none"/>
        </w:rPr>
      </w:pPr>
    </w:p>
    <w:p>
      <w:pPr>
        <w:spacing w:after="240" w:afterLines="100"/>
        <w:rPr>
          <w:rFonts w:ascii="Arial" w:hAnsi="Arial" w:eastAsia="黑体" w:cs="Arial"/>
          <w:sz w:val="24"/>
          <w:highlight w:val="none"/>
        </w:rPr>
      </w:pPr>
      <w:r>
        <w:rPr>
          <w:rFonts w:ascii="Arial" w:hAnsi="Arial" w:cs="Arial"/>
          <w:b/>
          <w:bCs/>
          <w:szCs w:val="21"/>
          <w:highlight w:val="none"/>
          <w:u w:val="single"/>
        </w:rPr>
        <w:br w:type="page"/>
      </w:r>
      <w:r>
        <w:rPr>
          <w:rFonts w:ascii="Arial" w:hAnsi="Arial" w:eastAsia="黑体" w:cs="Arial"/>
          <w:sz w:val="24"/>
          <w:highlight w:val="none"/>
        </w:rPr>
        <w:t>附表</w:t>
      </w:r>
      <w:r>
        <w:rPr>
          <w:rFonts w:hint="eastAsia" w:ascii="Arial" w:hAnsi="Arial" w:cs="Arial"/>
          <w:b/>
          <w:bCs/>
          <w:sz w:val="24"/>
          <w:highlight w:val="none"/>
        </w:rPr>
        <w:t>A-13</w:t>
      </w:r>
      <w:r>
        <w:rPr>
          <w:rFonts w:ascii="Arial" w:hAnsi="Arial" w:cs="Arial"/>
          <w:b/>
          <w:bCs/>
          <w:sz w:val="24"/>
          <w:highlight w:val="none"/>
        </w:rPr>
        <w:t>：</w:t>
      </w:r>
      <w:r>
        <w:rPr>
          <w:rFonts w:ascii="Arial" w:hAnsi="Arial" w:eastAsia="黑体" w:cs="Arial"/>
          <w:sz w:val="24"/>
          <w:highlight w:val="none"/>
        </w:rPr>
        <w:t>评标结果汇总表</w:t>
      </w:r>
    </w:p>
    <w:p>
      <w:pPr>
        <w:spacing w:after="240" w:afterLines="100"/>
        <w:jc w:val="center"/>
        <w:rPr>
          <w:rFonts w:ascii="Arial" w:hAnsi="Arial" w:eastAsia="黑体" w:cs="Arial"/>
          <w:sz w:val="28"/>
          <w:szCs w:val="21"/>
          <w:highlight w:val="none"/>
        </w:rPr>
      </w:pPr>
      <w:r>
        <w:rPr>
          <w:rFonts w:ascii="Arial" w:hAnsi="Arial" w:eastAsia="黑体" w:cs="Arial"/>
          <w:sz w:val="28"/>
          <w:szCs w:val="21"/>
          <w:highlight w:val="none"/>
        </w:rPr>
        <w:t>评标结果汇总表</w:t>
      </w:r>
    </w:p>
    <w:p>
      <w:pPr>
        <w:spacing w:after="240" w:afterLines="100"/>
        <w:rPr>
          <w:rFonts w:cs="Arial"/>
          <w:sz w:val="24"/>
          <w:highlight w:val="none"/>
        </w:rPr>
      </w:pPr>
      <w:r>
        <w:rPr>
          <w:rFonts w:hint="eastAsia" w:ascii="Arial" w:hAnsi="Arial" w:cs="Arial"/>
          <w:bCs/>
          <w:szCs w:val="21"/>
          <w:highlight w:val="none"/>
        </w:rPr>
        <w:t>工程</w:t>
      </w:r>
      <w:r>
        <w:rPr>
          <w:rFonts w:ascii="Arial" w:hAnsi="Arial" w:cs="Arial"/>
          <w:bCs/>
          <w:szCs w:val="21"/>
          <w:highlight w:val="none"/>
        </w:rPr>
        <w:t>名称：</w:t>
      </w:r>
      <w:r>
        <w:rPr>
          <w:rFonts w:hint="eastAsia" w:ascii="Arial" w:hAnsi="Arial" w:cs="Arial"/>
          <w:bCs/>
          <w:szCs w:val="21"/>
          <w:highlight w:val="none"/>
          <w:u w:val="single"/>
        </w:rPr>
        <w:t xml:space="preserve">                                  </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75"/>
        <w:gridCol w:w="1444"/>
        <w:gridCol w:w="1657"/>
        <w:gridCol w:w="1657"/>
        <w:gridCol w:w="1656"/>
        <w:gridCol w:w="1657"/>
        <w:gridCol w:w="1657"/>
        <w:gridCol w:w="1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 w:hRule="atLeast"/>
        </w:trPr>
        <w:tc>
          <w:tcPr>
            <w:tcW w:w="2552" w:type="dxa"/>
            <w:gridSpan w:val="2"/>
            <w:vMerge w:val="restart"/>
            <w:vAlign w:val="center"/>
          </w:tcPr>
          <w:p>
            <w:pPr>
              <w:jc w:val="center"/>
              <w:rPr>
                <w:rFonts w:ascii="Arial" w:hAnsi="Arial" w:cs="Arial"/>
                <w:szCs w:val="21"/>
                <w:highlight w:val="none"/>
              </w:rPr>
            </w:pPr>
          </w:p>
          <w:p>
            <w:pPr>
              <w:jc w:val="center"/>
              <w:rPr>
                <w:rFonts w:ascii="Arial" w:hAnsi="Arial" w:cs="Arial"/>
                <w:szCs w:val="21"/>
                <w:highlight w:val="none"/>
              </w:rPr>
            </w:pPr>
            <w:r>
              <w:rPr>
                <w:rFonts w:ascii="Arial" w:hAnsi="Arial" w:cs="Arial"/>
                <w:szCs w:val="21"/>
                <w:highlight w:val="none"/>
              </w:rPr>
              <w:t>评委序号和姓名</w:t>
            </w:r>
          </w:p>
        </w:tc>
        <w:tc>
          <w:tcPr>
            <w:tcW w:w="11385" w:type="dxa"/>
            <w:gridSpan w:val="7"/>
            <w:vAlign w:val="center"/>
          </w:tcPr>
          <w:p>
            <w:pPr>
              <w:jc w:val="center"/>
              <w:rPr>
                <w:rFonts w:ascii="Arial" w:hAnsi="Arial" w:cs="Arial"/>
                <w:szCs w:val="21"/>
                <w:highlight w:val="none"/>
              </w:rPr>
            </w:pPr>
            <w:r>
              <w:rPr>
                <w:rFonts w:ascii="Arial" w:hAnsi="Arial" w:cs="Arial"/>
                <w:szCs w:val="21"/>
                <w:highlight w:val="none"/>
              </w:rPr>
              <w:t>投标人名称及其得分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 w:hRule="atLeast"/>
        </w:trPr>
        <w:tc>
          <w:tcPr>
            <w:tcW w:w="2552" w:type="dxa"/>
            <w:gridSpan w:val="2"/>
            <w:vMerge w:val="continue"/>
            <w:vAlign w:val="center"/>
          </w:tcPr>
          <w:p>
            <w:pPr>
              <w:jc w:val="center"/>
              <w:rPr>
                <w:rFonts w:ascii="Arial" w:hAnsi="Arial" w:cs="Arial"/>
                <w:szCs w:val="21"/>
                <w:highlight w:val="none"/>
              </w:rPr>
            </w:pPr>
          </w:p>
        </w:tc>
        <w:tc>
          <w:tcPr>
            <w:tcW w:w="1444" w:type="dxa"/>
            <w:vAlign w:val="center"/>
          </w:tcPr>
          <w:p>
            <w:pPr>
              <w:rPr>
                <w:rFonts w:ascii="Arial" w:hAnsi="Arial" w:cs="Arial"/>
                <w:szCs w:val="21"/>
                <w:highlight w:val="none"/>
              </w:rPr>
            </w:pPr>
          </w:p>
        </w:tc>
        <w:tc>
          <w:tcPr>
            <w:tcW w:w="1657" w:type="dxa"/>
            <w:vAlign w:val="center"/>
          </w:tcPr>
          <w:p>
            <w:pPr>
              <w:rPr>
                <w:rFonts w:ascii="Arial" w:hAnsi="Arial" w:cs="Arial"/>
                <w:szCs w:val="21"/>
                <w:highlight w:val="none"/>
              </w:rPr>
            </w:pPr>
          </w:p>
        </w:tc>
        <w:tc>
          <w:tcPr>
            <w:tcW w:w="1657" w:type="dxa"/>
            <w:vAlign w:val="center"/>
          </w:tcPr>
          <w:p>
            <w:pPr>
              <w:rPr>
                <w:rFonts w:ascii="Arial" w:hAnsi="Arial" w:cs="Arial"/>
                <w:szCs w:val="21"/>
                <w:highlight w:val="none"/>
              </w:rPr>
            </w:pPr>
          </w:p>
        </w:tc>
        <w:tc>
          <w:tcPr>
            <w:tcW w:w="1656" w:type="dxa"/>
            <w:vAlign w:val="center"/>
          </w:tcPr>
          <w:p>
            <w:pPr>
              <w:rPr>
                <w:rFonts w:ascii="Arial" w:hAnsi="Arial" w:cs="Arial"/>
                <w:szCs w:val="21"/>
                <w:highlight w:val="none"/>
              </w:rPr>
            </w:pPr>
          </w:p>
        </w:tc>
        <w:tc>
          <w:tcPr>
            <w:tcW w:w="1657" w:type="dxa"/>
            <w:vAlign w:val="center"/>
          </w:tcPr>
          <w:p>
            <w:pPr>
              <w:rPr>
                <w:rFonts w:ascii="Arial" w:hAnsi="Arial" w:cs="Arial"/>
                <w:szCs w:val="21"/>
                <w:highlight w:val="none"/>
              </w:rPr>
            </w:pPr>
          </w:p>
        </w:tc>
        <w:tc>
          <w:tcPr>
            <w:tcW w:w="1657" w:type="dxa"/>
            <w:vAlign w:val="center"/>
          </w:tcPr>
          <w:p>
            <w:pPr>
              <w:rPr>
                <w:rFonts w:ascii="Arial" w:hAnsi="Arial" w:cs="Arial"/>
                <w:szCs w:val="21"/>
                <w:highlight w:val="none"/>
              </w:rPr>
            </w:pPr>
          </w:p>
        </w:tc>
        <w:tc>
          <w:tcPr>
            <w:tcW w:w="1657" w:type="dxa"/>
            <w:vAlign w:val="center"/>
          </w:tcPr>
          <w:p>
            <w:pP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777" w:type="dxa"/>
            <w:vMerge w:val="restart"/>
            <w:vAlign w:val="center"/>
          </w:tcPr>
          <w:p>
            <w:pPr>
              <w:rPr>
                <w:rFonts w:ascii="Arial" w:hAnsi="Arial" w:cs="Arial"/>
                <w:szCs w:val="21"/>
                <w:highlight w:val="none"/>
              </w:rPr>
            </w:pPr>
          </w:p>
          <w:p>
            <w:pPr>
              <w:jc w:val="center"/>
              <w:rPr>
                <w:rFonts w:ascii="Arial" w:hAnsi="Arial" w:cs="Arial"/>
                <w:szCs w:val="21"/>
                <w:highlight w:val="none"/>
              </w:rPr>
            </w:pPr>
            <w:r>
              <w:rPr>
                <w:rFonts w:ascii="Arial" w:hAnsi="Arial" w:cs="Arial"/>
                <w:szCs w:val="21"/>
                <w:highlight w:val="none"/>
              </w:rPr>
              <w:t>得分</w:t>
            </w:r>
          </w:p>
          <w:p>
            <w:pPr>
              <w:jc w:val="center"/>
              <w:rPr>
                <w:rFonts w:ascii="Arial" w:hAnsi="Arial" w:cs="Arial"/>
                <w:szCs w:val="21"/>
                <w:highlight w:val="none"/>
              </w:rPr>
            </w:pPr>
            <w:r>
              <w:rPr>
                <w:rFonts w:hint="eastAsia" w:ascii="Arial" w:hAnsi="Arial" w:cs="Arial"/>
                <w:szCs w:val="21"/>
                <w:highlight w:val="none"/>
              </w:rPr>
              <w:t>（E）</w:t>
            </w:r>
          </w:p>
          <w:p>
            <w:pPr>
              <w:rPr>
                <w:rFonts w:ascii="Arial" w:hAnsi="Arial" w:cs="Arial"/>
                <w:szCs w:val="21"/>
                <w:highlight w:val="none"/>
              </w:rPr>
            </w:pPr>
          </w:p>
        </w:tc>
        <w:tc>
          <w:tcPr>
            <w:tcW w:w="1775" w:type="dxa"/>
            <w:vAlign w:val="center"/>
          </w:tcPr>
          <w:p>
            <w:pPr>
              <w:rPr>
                <w:rFonts w:ascii="Arial" w:hAnsi="Arial" w:cs="Arial"/>
                <w:szCs w:val="21"/>
                <w:highlight w:val="none"/>
              </w:rPr>
            </w:pPr>
            <w:r>
              <w:rPr>
                <w:rFonts w:ascii="Arial" w:hAnsi="Arial" w:cs="Arial"/>
                <w:szCs w:val="21"/>
                <w:highlight w:val="none"/>
              </w:rPr>
              <w:t>1：</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9"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ascii="Arial" w:hAnsi="Arial" w:cs="Arial"/>
                <w:szCs w:val="21"/>
                <w:highlight w:val="none"/>
              </w:rPr>
              <w:t>2：</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ascii="Arial" w:hAnsi="Arial" w:cs="Arial"/>
                <w:szCs w:val="21"/>
                <w:highlight w:val="none"/>
              </w:rPr>
              <w:t>3：</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ascii="Arial" w:hAnsi="Arial" w:cs="Arial"/>
                <w:szCs w:val="21"/>
                <w:highlight w:val="none"/>
              </w:rPr>
              <w:t>4：</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ascii="Arial" w:hAnsi="Arial" w:cs="Arial"/>
                <w:szCs w:val="21"/>
                <w:highlight w:val="none"/>
              </w:rPr>
              <w:t>5：</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hint="eastAsia" w:ascii="Arial" w:hAnsi="Arial" w:cs="Arial"/>
                <w:szCs w:val="21"/>
                <w:highlight w:val="none"/>
              </w:rPr>
              <w:t>6：</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trPr>
        <w:tc>
          <w:tcPr>
            <w:tcW w:w="777" w:type="dxa"/>
            <w:vMerge w:val="continue"/>
            <w:vAlign w:val="center"/>
          </w:tcPr>
          <w:p>
            <w:pPr>
              <w:rPr>
                <w:rFonts w:ascii="Arial" w:hAnsi="Arial" w:cs="Arial"/>
                <w:szCs w:val="21"/>
                <w:highlight w:val="none"/>
              </w:rPr>
            </w:pPr>
          </w:p>
        </w:tc>
        <w:tc>
          <w:tcPr>
            <w:tcW w:w="1775" w:type="dxa"/>
            <w:vAlign w:val="center"/>
          </w:tcPr>
          <w:p>
            <w:pPr>
              <w:rPr>
                <w:rFonts w:ascii="Arial" w:hAnsi="Arial" w:cs="Arial"/>
                <w:szCs w:val="21"/>
                <w:highlight w:val="none"/>
              </w:rPr>
            </w:pPr>
            <w:r>
              <w:rPr>
                <w:rFonts w:hint="eastAsia" w:ascii="Arial" w:hAnsi="Arial" w:cs="Arial"/>
                <w:szCs w:val="21"/>
                <w:highlight w:val="none"/>
              </w:rPr>
              <w:t>7：</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trPr>
        <w:tc>
          <w:tcPr>
            <w:tcW w:w="2552" w:type="dxa"/>
            <w:gridSpan w:val="2"/>
            <w:vAlign w:val="center"/>
          </w:tcPr>
          <w:p>
            <w:pPr>
              <w:rPr>
                <w:rFonts w:ascii="Arial" w:hAnsi="Arial" w:cs="Arial"/>
                <w:szCs w:val="21"/>
                <w:highlight w:val="none"/>
              </w:rPr>
            </w:pPr>
            <w:r>
              <w:rPr>
                <w:rFonts w:ascii="Arial" w:hAnsi="Arial" w:cs="Arial"/>
                <w:szCs w:val="21"/>
                <w:highlight w:val="none"/>
              </w:rPr>
              <w:t>各评委</w:t>
            </w:r>
            <w:r>
              <w:rPr>
                <w:rFonts w:hint="eastAsia" w:ascii="Arial" w:hAnsi="Arial" w:cs="Arial"/>
                <w:szCs w:val="21"/>
                <w:highlight w:val="none"/>
              </w:rPr>
              <w:t>得</w:t>
            </w:r>
            <w:r>
              <w:rPr>
                <w:rFonts w:ascii="Arial" w:hAnsi="Arial" w:cs="Arial"/>
                <w:szCs w:val="21"/>
                <w:highlight w:val="none"/>
              </w:rPr>
              <w:t>分</w:t>
            </w:r>
            <w:r>
              <w:rPr>
                <w:rFonts w:hint="eastAsia" w:ascii="Arial" w:hAnsi="Arial" w:cs="Arial"/>
                <w:szCs w:val="21"/>
                <w:highlight w:val="none"/>
              </w:rPr>
              <w:t>（E）</w:t>
            </w:r>
            <w:r>
              <w:rPr>
                <w:rFonts w:ascii="Arial" w:hAnsi="Arial" w:cs="Arial"/>
                <w:szCs w:val="21"/>
                <w:highlight w:val="none"/>
              </w:rPr>
              <w:t>平均值</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59" w:hRule="atLeast"/>
        </w:trPr>
        <w:tc>
          <w:tcPr>
            <w:tcW w:w="2552" w:type="dxa"/>
            <w:gridSpan w:val="2"/>
            <w:vAlign w:val="center"/>
          </w:tcPr>
          <w:p>
            <w:pPr>
              <w:rPr>
                <w:rFonts w:ascii="Arial" w:hAnsi="Arial" w:cs="Arial"/>
                <w:szCs w:val="21"/>
                <w:highlight w:val="none"/>
              </w:rPr>
            </w:pPr>
            <w:r>
              <w:rPr>
                <w:rFonts w:ascii="Arial" w:hAnsi="Arial" w:cs="Arial"/>
                <w:szCs w:val="21"/>
                <w:highlight w:val="none"/>
              </w:rPr>
              <w:t>投标人最终排名次序</w:t>
            </w:r>
          </w:p>
        </w:tc>
        <w:tc>
          <w:tcPr>
            <w:tcW w:w="1444"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6"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c>
          <w:tcPr>
            <w:tcW w:w="1657" w:type="dxa"/>
            <w:vAlign w:val="center"/>
          </w:tcPr>
          <w:p>
            <w:pPr>
              <w:jc w:val="center"/>
              <w:rPr>
                <w:rFonts w:ascii="Arial" w:hAnsi="Arial" w:cs="Arial"/>
                <w:szCs w:val="21"/>
                <w:highlight w:val="none"/>
              </w:rPr>
            </w:pPr>
          </w:p>
        </w:tc>
      </w:tr>
    </w:tbl>
    <w:p>
      <w:pPr>
        <w:spacing w:after="120" w:afterLines="50" w:line="300" w:lineRule="auto"/>
        <w:rPr>
          <w:highlight w:val="none"/>
        </w:rPr>
      </w:pPr>
      <w:r>
        <w:rPr>
          <w:rFonts w:hint="eastAsia" w:ascii="Arial" w:hAnsi="Arial" w:cs="Arial"/>
          <w:highlight w:val="none"/>
        </w:rPr>
        <w:t>评标委员会</w:t>
      </w:r>
      <w:r>
        <w:rPr>
          <w:rFonts w:ascii="Arial" w:hAnsi="Arial" w:cs="Arial"/>
          <w:szCs w:val="21"/>
          <w:highlight w:val="none"/>
        </w:rPr>
        <w:t>全体</w:t>
      </w:r>
      <w:r>
        <w:rPr>
          <w:rFonts w:hint="eastAsia" w:ascii="Arial" w:hAnsi="Arial" w:cs="Arial"/>
          <w:highlight w:val="none"/>
        </w:rPr>
        <w:t>成员</w:t>
      </w:r>
      <w:r>
        <w:rPr>
          <w:rFonts w:ascii="Arial" w:hAnsi="Arial" w:cs="Arial"/>
          <w:highlight w:val="none"/>
        </w:rPr>
        <w:t>签名：</w:t>
      </w:r>
      <w:r>
        <w:rPr>
          <w:rFonts w:ascii="Arial" w:hAnsi="Arial" w:cs="Arial"/>
          <w:szCs w:val="21"/>
          <w:highlight w:val="none"/>
        </w:rPr>
        <w:t xml:space="preserve">                                                                             日期：      年  月</w:t>
      </w:r>
      <w:r>
        <w:rPr>
          <w:rFonts w:hint="eastAsia" w:ascii="Arial" w:hAnsi="Arial" w:cs="Arial"/>
          <w:szCs w:val="21"/>
          <w:highlight w:val="none"/>
        </w:rPr>
        <w:t xml:space="preserve">   日</w:t>
      </w:r>
    </w:p>
    <w:p>
      <w:pPr>
        <w:rPr>
          <w:highlight w:val="none"/>
        </w:rPr>
      </w:pPr>
      <w:r>
        <w:rPr>
          <w:rFonts w:hint="eastAsia"/>
          <w:highlight w:val="none"/>
        </w:rPr>
        <w:t>备注：各评委得分(E)平均值=（各评委得分E之和—M位评委最高得分E—M位评委最低得分E）/ （ 评委人数—2M ）</w:t>
      </w:r>
    </w:p>
    <w:p>
      <w:pPr>
        <w:outlineLvl w:val="0"/>
        <w:rPr>
          <w:highlight w:val="none"/>
        </w:rPr>
        <w:sectPr>
          <w:headerReference r:id="rId7" w:type="default"/>
          <w:pgSz w:w="16838" w:h="11906" w:orient="landscape"/>
          <w:pgMar w:top="1560" w:right="1245" w:bottom="1418" w:left="1440" w:header="851" w:footer="992" w:gutter="0"/>
          <w:pgBorders>
            <w:top w:val="none" w:sz="0" w:space="0"/>
            <w:left w:val="none" w:sz="0" w:space="0"/>
            <w:bottom w:val="none" w:sz="0" w:space="0"/>
            <w:right w:val="none" w:sz="0" w:space="0"/>
          </w:pgBorders>
          <w:cols w:space="720" w:num="1"/>
          <w:docGrid w:linePitch="312" w:charSpace="0"/>
        </w:sectPr>
      </w:pPr>
      <w:r>
        <w:rPr>
          <w:rFonts w:hint="eastAsia"/>
          <w:highlight w:val="none"/>
        </w:rPr>
        <w:t xml:space="preserve">      </w:t>
      </w:r>
      <w:bookmarkStart w:id="366" w:name="_Toc395686619"/>
      <w:bookmarkStart w:id="367" w:name="_Toc434331173"/>
      <w:bookmarkStart w:id="368" w:name="_Toc4007"/>
      <w:r>
        <w:rPr>
          <w:rFonts w:hint="eastAsia"/>
          <w:highlight w:val="none"/>
        </w:rPr>
        <w:t>M=</w:t>
      </w:r>
      <w:bookmarkEnd w:id="366"/>
      <w:r>
        <w:rPr>
          <w:rFonts w:hint="eastAsia"/>
          <w:highlight w:val="none"/>
          <w:u w:val="single"/>
        </w:rPr>
        <w:t xml:space="preserve"> 1</w:t>
      </w:r>
      <w:bookmarkEnd w:id="367"/>
      <w:r>
        <w:rPr>
          <w:rFonts w:hint="eastAsia"/>
          <w:highlight w:val="none"/>
          <w:u w:val="single"/>
        </w:rPr>
        <w:t xml:space="preserve">  </w:t>
      </w:r>
      <w:r>
        <w:rPr>
          <w:rFonts w:hint="eastAsia"/>
          <w:highlight w:val="none"/>
        </w:rPr>
        <w:t xml:space="preserve">   </w:t>
      </w:r>
      <w:bookmarkEnd w:id="368"/>
    </w:p>
    <w:p>
      <w:pPr>
        <w:spacing w:line="360" w:lineRule="auto"/>
        <w:rPr>
          <w:rFonts w:ascii="Arial" w:hAnsi="Arial" w:eastAsia="黑体" w:cs="Arial"/>
          <w:sz w:val="24"/>
          <w:highlight w:val="none"/>
        </w:rPr>
      </w:pPr>
      <w:r>
        <w:rPr>
          <w:rFonts w:ascii="Arial" w:hAnsi="Arial" w:eastAsia="黑体" w:cs="Arial"/>
          <w:sz w:val="24"/>
          <w:highlight w:val="none"/>
        </w:rPr>
        <w:t>附表</w:t>
      </w:r>
      <w:r>
        <w:rPr>
          <w:rFonts w:hint="eastAsia" w:ascii="Arial" w:hAnsi="Arial" w:eastAsia="黑体" w:cs="Arial"/>
          <w:b/>
          <w:sz w:val="24"/>
          <w:highlight w:val="none"/>
        </w:rPr>
        <w:t>A-14</w:t>
      </w:r>
      <w:r>
        <w:rPr>
          <w:rFonts w:ascii="Arial" w:hAnsi="Arial" w:eastAsia="黑体" w:cs="Arial"/>
          <w:sz w:val="24"/>
          <w:highlight w:val="none"/>
        </w:rPr>
        <w:t>：</w:t>
      </w:r>
      <w:r>
        <w:rPr>
          <w:rFonts w:hint="eastAsia" w:ascii="Arial" w:hAnsi="Arial" w:eastAsia="黑体" w:cs="Arial"/>
          <w:sz w:val="24"/>
          <w:highlight w:val="none"/>
        </w:rPr>
        <w:t>评审意见表</w:t>
      </w:r>
    </w:p>
    <w:p>
      <w:pPr>
        <w:spacing w:line="360" w:lineRule="auto"/>
        <w:jc w:val="center"/>
        <w:rPr>
          <w:rFonts w:ascii="Arial" w:hAnsi="Arial"/>
          <w:b/>
          <w:bCs/>
          <w:sz w:val="28"/>
          <w:szCs w:val="28"/>
          <w:highlight w:val="none"/>
        </w:rPr>
      </w:pPr>
      <w:r>
        <w:rPr>
          <w:rFonts w:hint="eastAsia" w:ascii="Arial" w:hAnsi="Arial"/>
          <w:b/>
          <w:bCs/>
          <w:sz w:val="28"/>
          <w:szCs w:val="28"/>
          <w:highlight w:val="none"/>
        </w:rPr>
        <w:t>评审意见表</w:t>
      </w:r>
    </w:p>
    <w:tbl>
      <w:tblPr>
        <w:tblStyle w:val="50"/>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52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0882" w:hRule="atLeast"/>
        </w:trPr>
        <w:tc>
          <w:tcPr>
            <w:tcW w:w="8528" w:type="dxa"/>
            <w:tcBorders>
              <w:bottom w:val="single" w:color="auto" w:sz="4" w:space="0"/>
            </w:tcBorders>
          </w:tcPr>
          <w:p>
            <w:pPr>
              <w:spacing w:line="360" w:lineRule="auto"/>
              <w:rPr>
                <w:rFonts w:ascii="Arial" w:hAnsi="Arial"/>
                <w:sz w:val="2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234" w:hRule="atLeast"/>
        </w:trPr>
        <w:tc>
          <w:tcPr>
            <w:tcW w:w="8528" w:type="dxa"/>
            <w:tcBorders>
              <w:top w:val="single" w:color="auto" w:sz="4" w:space="0"/>
            </w:tcBorders>
          </w:tcPr>
          <w:p>
            <w:pPr>
              <w:spacing w:line="360" w:lineRule="auto"/>
              <w:rPr>
                <w:rFonts w:ascii="Arial" w:hAnsi="Arial"/>
                <w:szCs w:val="21"/>
                <w:highlight w:val="none"/>
              </w:rPr>
            </w:pPr>
            <w:r>
              <w:rPr>
                <w:rFonts w:hint="eastAsia" w:ascii="Arial" w:hAnsi="Arial"/>
                <w:szCs w:val="21"/>
                <w:highlight w:val="none"/>
              </w:rPr>
              <w:t>评标委员会成员签名：</w:t>
            </w:r>
          </w:p>
        </w:tc>
      </w:tr>
    </w:tbl>
    <w:p>
      <w:pPr>
        <w:ind w:left="-181" w:firstLine="155" w:firstLineChars="74"/>
        <w:rPr>
          <w:highlight w:val="none"/>
        </w:rPr>
      </w:pPr>
      <w:r>
        <w:rPr>
          <w:rFonts w:hint="eastAsia"/>
          <w:highlight w:val="none"/>
        </w:rPr>
        <w:t>备注：招投标情况书面报告备案表（续1）、评标委员会成员评标打分复核意见书（续2）均为本表组成部分。</w:t>
      </w:r>
    </w:p>
    <w:p>
      <w:pPr>
        <w:ind w:left="-840" w:leftChars="-400" w:firstLine="210" w:firstLineChars="100"/>
        <w:rPr>
          <w:rFonts w:ascii="Arial" w:hAnsi="Arial" w:eastAsia="黑体" w:cs="Arial"/>
          <w:bCs/>
          <w:sz w:val="24"/>
          <w:highlight w:val="none"/>
        </w:rPr>
      </w:pPr>
      <w:r>
        <w:rPr>
          <w:highlight w:val="none"/>
        </w:rPr>
        <w:br w:type="page"/>
      </w:r>
      <w:r>
        <w:rPr>
          <w:rFonts w:ascii="Arial" w:hAnsi="Arial" w:eastAsia="黑体" w:cs="Arial"/>
          <w:sz w:val="24"/>
          <w:highlight w:val="none"/>
        </w:rPr>
        <w:t>附表</w:t>
      </w:r>
      <w:r>
        <w:rPr>
          <w:rFonts w:hint="eastAsia" w:ascii="Arial" w:hAnsi="Arial" w:cs="Arial"/>
          <w:bCs/>
          <w:sz w:val="24"/>
          <w:highlight w:val="none"/>
        </w:rPr>
        <w:t>C-1</w:t>
      </w:r>
      <w:r>
        <w:rPr>
          <w:rFonts w:ascii="Arial" w:hAnsi="Arial" w:cs="Arial"/>
          <w:bCs/>
          <w:sz w:val="24"/>
          <w:highlight w:val="none"/>
        </w:rPr>
        <w:t>：</w:t>
      </w:r>
      <w:r>
        <w:rPr>
          <w:rFonts w:ascii="Arial" w:hAnsi="Arial" w:eastAsia="黑体" w:cs="Arial"/>
          <w:bCs/>
          <w:sz w:val="24"/>
          <w:highlight w:val="none"/>
        </w:rPr>
        <w:t>算术错误分析及修正记录表</w:t>
      </w:r>
    </w:p>
    <w:p>
      <w:pPr>
        <w:ind w:left="-181" w:firstLine="177" w:firstLineChars="74"/>
        <w:rPr>
          <w:rFonts w:ascii="Arial" w:hAnsi="Arial" w:eastAsia="黑体" w:cs="Arial"/>
          <w:bCs/>
          <w:sz w:val="24"/>
          <w:highlight w:val="none"/>
        </w:rPr>
      </w:pPr>
    </w:p>
    <w:p>
      <w:pPr>
        <w:ind w:left="-181" w:firstLine="207" w:firstLineChars="74"/>
        <w:jc w:val="center"/>
        <w:rPr>
          <w:rFonts w:ascii="Arial" w:hAnsi="Arial" w:eastAsia="黑体" w:cs="Arial"/>
          <w:bCs/>
          <w:sz w:val="28"/>
          <w:szCs w:val="20"/>
          <w:highlight w:val="none"/>
        </w:rPr>
      </w:pPr>
      <w:r>
        <w:rPr>
          <w:rFonts w:ascii="Arial" w:hAnsi="Arial" w:eastAsia="黑体" w:cs="Arial"/>
          <w:bCs/>
          <w:sz w:val="28"/>
          <w:szCs w:val="20"/>
          <w:highlight w:val="none"/>
        </w:rPr>
        <w:t>算术错误分析及修正记录表</w:t>
      </w:r>
    </w:p>
    <w:p>
      <w:pPr>
        <w:ind w:left="-181" w:firstLine="157" w:firstLineChars="75"/>
        <w:rPr>
          <w:rFonts w:ascii="Arial" w:hAnsi="Arial" w:cs="Arial"/>
          <w:szCs w:val="20"/>
          <w:highlight w:val="none"/>
        </w:rPr>
      </w:pPr>
      <w:r>
        <w:rPr>
          <w:rFonts w:ascii="Arial" w:hAnsi="Arial" w:cs="Arial"/>
          <w:szCs w:val="20"/>
          <w:highlight w:val="none"/>
        </w:rPr>
        <w:t>投标人名称：</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570"/>
        <w:gridCol w:w="1602"/>
        <w:gridCol w:w="1424"/>
        <w:gridCol w:w="1206"/>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58"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序号</w:t>
            </w:r>
          </w:p>
        </w:tc>
        <w:tc>
          <w:tcPr>
            <w:tcW w:w="1570" w:type="dxa"/>
            <w:vAlign w:val="center"/>
          </w:tcPr>
          <w:p>
            <w:pPr>
              <w:spacing w:before="120" w:beforeLines="50" w:after="120" w:afterLines="50"/>
              <w:jc w:val="center"/>
              <w:rPr>
                <w:rFonts w:ascii="Arial" w:hAnsi="Arial" w:cs="Arial"/>
                <w:szCs w:val="20"/>
                <w:highlight w:val="none"/>
              </w:rPr>
            </w:pPr>
            <w:r>
              <w:rPr>
                <w:rFonts w:hint="eastAsia" w:cs="Arial"/>
                <w:szCs w:val="21"/>
                <w:highlight w:val="none"/>
              </w:rPr>
              <w:t>子目</w:t>
            </w:r>
            <w:r>
              <w:rPr>
                <w:rFonts w:ascii="Arial" w:hAnsi="Arial" w:cs="Arial"/>
                <w:szCs w:val="20"/>
                <w:highlight w:val="none"/>
              </w:rPr>
              <w:t>名称</w:t>
            </w:r>
          </w:p>
        </w:tc>
        <w:tc>
          <w:tcPr>
            <w:tcW w:w="1602"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投标价格</w:t>
            </w:r>
          </w:p>
        </w:tc>
        <w:tc>
          <w:tcPr>
            <w:tcW w:w="1424"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算术正确投标价</w:t>
            </w:r>
          </w:p>
        </w:tc>
        <w:tc>
          <w:tcPr>
            <w:tcW w:w="1206"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差额</w:t>
            </w:r>
          </w:p>
          <w:p>
            <w:pPr>
              <w:spacing w:before="120" w:beforeLines="50" w:after="120" w:afterLines="50"/>
              <w:jc w:val="center"/>
              <w:rPr>
                <w:rFonts w:ascii="Arial" w:hAnsi="Arial" w:cs="Arial"/>
                <w:szCs w:val="20"/>
                <w:highlight w:val="none"/>
              </w:rPr>
            </w:pPr>
            <w:r>
              <w:rPr>
                <w:rFonts w:ascii="Arial" w:hAnsi="Arial" w:cs="Arial"/>
                <w:szCs w:val="20"/>
                <w:highlight w:val="none"/>
              </w:rPr>
              <w:t>（代数值）</w:t>
            </w:r>
          </w:p>
        </w:tc>
        <w:tc>
          <w:tcPr>
            <w:tcW w:w="1620"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有关事项备注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54" w:type="dxa"/>
            <w:gridSpan w:val="4"/>
            <w:vAlign w:val="center"/>
          </w:tcPr>
          <w:p>
            <w:pPr>
              <w:spacing w:before="120" w:beforeLines="50" w:after="120" w:afterLines="50"/>
              <w:jc w:val="right"/>
              <w:rPr>
                <w:rFonts w:ascii="Arial" w:hAnsi="Arial" w:cs="Arial"/>
                <w:szCs w:val="20"/>
                <w:highlight w:val="none"/>
              </w:rPr>
            </w:pPr>
            <w:r>
              <w:rPr>
                <w:rFonts w:ascii="Arial" w:hAnsi="Arial" w:cs="Arial"/>
                <w:szCs w:val="20"/>
                <w:highlight w:val="none"/>
              </w:rPr>
              <w:t>A值（代数值）</w:t>
            </w:r>
          </w:p>
        </w:tc>
        <w:tc>
          <w:tcPr>
            <w:tcW w:w="1206" w:type="dxa"/>
            <w:vAlign w:val="center"/>
          </w:tcPr>
          <w:p>
            <w:pPr>
              <w:spacing w:before="120" w:beforeLines="50" w:after="120" w:afterLines="50"/>
              <w:rPr>
                <w:rFonts w:ascii="Arial" w:hAnsi="Arial" w:cs="Arial"/>
                <w:szCs w:val="20"/>
                <w:highlight w:val="none"/>
              </w:rPr>
            </w:pPr>
          </w:p>
        </w:tc>
        <w:tc>
          <w:tcPr>
            <w:tcW w:w="1620" w:type="dxa"/>
            <w:vAlign w:val="center"/>
          </w:tcPr>
          <w:p>
            <w:pPr>
              <w:spacing w:before="120" w:beforeLines="50" w:after="120" w:afterLines="50"/>
              <w:rPr>
                <w:rFonts w:ascii="Arial" w:hAnsi="Arial" w:cs="Arial"/>
                <w:szCs w:val="20"/>
                <w:highlight w:val="none"/>
              </w:rPr>
            </w:pPr>
          </w:p>
        </w:tc>
      </w:tr>
    </w:tbl>
    <w:p>
      <w:pPr>
        <w:spacing w:line="360" w:lineRule="auto"/>
        <w:rPr>
          <w:rFonts w:ascii="Arial" w:hAnsi="Arial" w:cs="Arial"/>
          <w:sz w:val="24"/>
          <w:szCs w:val="20"/>
          <w:highlight w:val="none"/>
        </w:rPr>
      </w:pPr>
    </w:p>
    <w:p>
      <w:pPr>
        <w:spacing w:line="360" w:lineRule="auto"/>
        <w:rPr>
          <w:rFonts w:ascii="Arial" w:hAnsi="Arial" w:cs="Arial"/>
          <w:szCs w:val="20"/>
          <w:highlight w:val="none"/>
        </w:rPr>
      </w:pPr>
      <w:r>
        <w:rPr>
          <w:rFonts w:ascii="Arial" w:hAnsi="Arial" w:cs="Arial"/>
          <w:szCs w:val="20"/>
          <w:highlight w:val="none"/>
        </w:rPr>
        <w:t xml:space="preserve">评标委员会成员签名：      </w:t>
      </w:r>
      <w:r>
        <w:rPr>
          <w:rFonts w:hint="eastAsia" w:ascii="Arial" w:hAnsi="Arial" w:cs="Arial"/>
          <w:szCs w:val="20"/>
          <w:highlight w:val="none"/>
        </w:rPr>
        <w:t xml:space="preserve">         </w:t>
      </w:r>
      <w:r>
        <w:rPr>
          <w:rFonts w:ascii="Arial" w:hAnsi="Arial" w:cs="Arial"/>
          <w:szCs w:val="20"/>
          <w:highlight w:val="none"/>
        </w:rPr>
        <w:t xml:space="preserve">                     日期：   年    月   日</w:t>
      </w:r>
    </w:p>
    <w:p>
      <w:pPr>
        <w:ind w:left="-2" w:leftChars="-1"/>
        <w:rPr>
          <w:rFonts w:ascii="Arial" w:hAnsi="Arial" w:eastAsia="黑体" w:cs="Arial"/>
          <w:bCs/>
          <w:sz w:val="24"/>
          <w:highlight w:val="none"/>
        </w:rPr>
      </w:pPr>
      <w:r>
        <w:rPr>
          <w:rFonts w:ascii="Arial" w:hAnsi="Arial" w:cs="Arial"/>
          <w:b/>
          <w:bCs/>
          <w:sz w:val="24"/>
          <w:szCs w:val="20"/>
          <w:highlight w:val="none"/>
          <w:u w:val="single"/>
        </w:rPr>
        <w:br w:type="page"/>
      </w:r>
      <w:r>
        <w:rPr>
          <w:rFonts w:ascii="Arial" w:hAnsi="Arial" w:eastAsia="黑体" w:cs="Arial"/>
          <w:sz w:val="24"/>
          <w:highlight w:val="none"/>
        </w:rPr>
        <w:t>附表</w:t>
      </w:r>
      <w:r>
        <w:rPr>
          <w:rFonts w:hint="eastAsia" w:ascii="Arial" w:hAnsi="Arial" w:cs="Arial"/>
          <w:b/>
          <w:bCs/>
          <w:sz w:val="24"/>
          <w:highlight w:val="none"/>
        </w:rPr>
        <w:t>C-2</w:t>
      </w:r>
      <w:r>
        <w:rPr>
          <w:rFonts w:ascii="Arial" w:hAnsi="Arial" w:cs="Arial"/>
          <w:sz w:val="24"/>
          <w:highlight w:val="none"/>
        </w:rPr>
        <w:t>：</w:t>
      </w:r>
      <w:r>
        <w:rPr>
          <w:rFonts w:ascii="Arial" w:hAnsi="Arial" w:eastAsia="黑体" w:cs="Arial"/>
          <w:bCs/>
          <w:sz w:val="24"/>
          <w:highlight w:val="none"/>
        </w:rPr>
        <w:t>错项漏项分析及修正记录表</w:t>
      </w:r>
    </w:p>
    <w:p>
      <w:pPr>
        <w:ind w:left="-2" w:leftChars="-1"/>
        <w:rPr>
          <w:rFonts w:ascii="Arial" w:hAnsi="Arial" w:eastAsia="黑体" w:cs="Arial"/>
          <w:bCs/>
          <w:sz w:val="24"/>
          <w:highlight w:val="none"/>
        </w:rPr>
      </w:pPr>
    </w:p>
    <w:p>
      <w:pPr>
        <w:ind w:left="-2" w:leftChars="-1"/>
        <w:jc w:val="center"/>
        <w:rPr>
          <w:rFonts w:ascii="Arial" w:hAnsi="Arial" w:eastAsia="黑体" w:cs="Arial"/>
          <w:bCs/>
          <w:sz w:val="28"/>
          <w:szCs w:val="20"/>
          <w:highlight w:val="none"/>
        </w:rPr>
      </w:pPr>
      <w:r>
        <w:rPr>
          <w:rFonts w:ascii="Arial" w:hAnsi="Arial" w:eastAsia="黑体" w:cs="Arial"/>
          <w:bCs/>
          <w:sz w:val="28"/>
          <w:szCs w:val="20"/>
          <w:highlight w:val="none"/>
        </w:rPr>
        <w:t>错项漏项分析及修正记录表</w:t>
      </w:r>
    </w:p>
    <w:p>
      <w:pPr>
        <w:ind w:left="-2" w:leftChars="-1"/>
        <w:rPr>
          <w:rFonts w:ascii="Arial" w:hAnsi="Arial" w:cs="Arial"/>
          <w:szCs w:val="20"/>
          <w:highlight w:val="none"/>
        </w:rPr>
      </w:pPr>
      <w:r>
        <w:rPr>
          <w:rFonts w:ascii="Arial" w:hAnsi="Arial" w:cs="Arial"/>
          <w:szCs w:val="20"/>
          <w:highlight w:val="none"/>
        </w:rPr>
        <w:t>投标人名称：</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570"/>
        <w:gridCol w:w="1602"/>
        <w:gridCol w:w="1424"/>
        <w:gridCol w:w="1428"/>
        <w:gridCol w:w="16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 xml:space="preserve"> 编号</w:t>
            </w:r>
          </w:p>
        </w:tc>
        <w:tc>
          <w:tcPr>
            <w:tcW w:w="1570" w:type="dxa"/>
            <w:vAlign w:val="center"/>
          </w:tcPr>
          <w:p>
            <w:pPr>
              <w:spacing w:before="120" w:beforeLines="50" w:after="120" w:afterLines="50"/>
              <w:jc w:val="center"/>
              <w:rPr>
                <w:rFonts w:ascii="Arial" w:hAnsi="Arial" w:cs="Arial"/>
                <w:szCs w:val="20"/>
                <w:highlight w:val="none"/>
              </w:rPr>
            </w:pPr>
            <w:r>
              <w:rPr>
                <w:rFonts w:hint="eastAsia" w:cs="Arial"/>
                <w:szCs w:val="21"/>
                <w:highlight w:val="none"/>
              </w:rPr>
              <w:t>子目</w:t>
            </w:r>
            <w:r>
              <w:rPr>
                <w:rFonts w:ascii="Arial" w:hAnsi="Arial" w:cs="Arial"/>
                <w:szCs w:val="20"/>
                <w:highlight w:val="none"/>
              </w:rPr>
              <w:t>名称</w:t>
            </w:r>
          </w:p>
        </w:tc>
        <w:tc>
          <w:tcPr>
            <w:tcW w:w="1602"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投标价格</w:t>
            </w:r>
          </w:p>
        </w:tc>
        <w:tc>
          <w:tcPr>
            <w:tcW w:w="1424"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合理投标价</w:t>
            </w:r>
          </w:p>
        </w:tc>
        <w:tc>
          <w:tcPr>
            <w:tcW w:w="1428"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差额</w:t>
            </w:r>
          </w:p>
          <w:p>
            <w:pPr>
              <w:spacing w:before="120" w:beforeLines="50" w:after="120" w:afterLines="50"/>
              <w:jc w:val="center"/>
              <w:rPr>
                <w:rFonts w:ascii="Arial" w:hAnsi="Arial" w:cs="Arial"/>
                <w:szCs w:val="20"/>
                <w:highlight w:val="none"/>
              </w:rPr>
            </w:pPr>
            <w:r>
              <w:rPr>
                <w:rFonts w:ascii="Arial" w:hAnsi="Arial" w:cs="Arial"/>
                <w:szCs w:val="20"/>
                <w:highlight w:val="none"/>
              </w:rPr>
              <w:t>（代数值）</w:t>
            </w:r>
          </w:p>
        </w:tc>
        <w:tc>
          <w:tcPr>
            <w:tcW w:w="1640"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有关事项备注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 w:type="dxa"/>
            <w:vAlign w:val="center"/>
          </w:tcPr>
          <w:p>
            <w:pPr>
              <w:spacing w:before="120" w:beforeLines="50" w:after="120" w:afterLines="50"/>
              <w:rPr>
                <w:rFonts w:ascii="Arial" w:hAnsi="Arial" w:cs="Arial"/>
                <w:szCs w:val="20"/>
                <w:highlight w:val="none"/>
              </w:rPr>
            </w:pPr>
          </w:p>
        </w:tc>
        <w:tc>
          <w:tcPr>
            <w:tcW w:w="1570" w:type="dxa"/>
            <w:vAlign w:val="center"/>
          </w:tcPr>
          <w:p>
            <w:pPr>
              <w:spacing w:before="120" w:beforeLines="50" w:after="120" w:afterLines="50"/>
              <w:rPr>
                <w:rFonts w:ascii="Arial" w:hAnsi="Arial" w:cs="Arial"/>
                <w:szCs w:val="20"/>
                <w:highlight w:val="none"/>
              </w:rPr>
            </w:pPr>
          </w:p>
        </w:tc>
        <w:tc>
          <w:tcPr>
            <w:tcW w:w="1602" w:type="dxa"/>
            <w:vAlign w:val="center"/>
          </w:tcPr>
          <w:p>
            <w:pPr>
              <w:spacing w:before="120" w:beforeLines="50" w:after="120" w:afterLines="50"/>
              <w:rPr>
                <w:rFonts w:ascii="Arial" w:hAnsi="Arial" w:cs="Arial"/>
                <w:szCs w:val="20"/>
                <w:highlight w:val="none"/>
              </w:rPr>
            </w:pPr>
          </w:p>
        </w:tc>
        <w:tc>
          <w:tcPr>
            <w:tcW w:w="1424" w:type="dxa"/>
            <w:vAlign w:val="center"/>
          </w:tcPr>
          <w:p>
            <w:pPr>
              <w:spacing w:before="120" w:beforeLines="50" w:after="120" w:afterLines="50"/>
              <w:rPr>
                <w:rFonts w:ascii="Arial" w:hAnsi="Arial" w:cs="Arial"/>
                <w:szCs w:val="20"/>
                <w:highlight w:val="none"/>
              </w:rPr>
            </w:pP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54" w:type="dxa"/>
            <w:gridSpan w:val="4"/>
            <w:vAlign w:val="center"/>
          </w:tcPr>
          <w:p>
            <w:pPr>
              <w:spacing w:before="120" w:beforeLines="50" w:after="120" w:afterLines="50"/>
              <w:jc w:val="right"/>
              <w:rPr>
                <w:rFonts w:ascii="Arial" w:hAnsi="Arial" w:cs="Arial"/>
                <w:szCs w:val="20"/>
                <w:highlight w:val="none"/>
              </w:rPr>
            </w:pPr>
            <w:r>
              <w:rPr>
                <w:rFonts w:ascii="Arial" w:hAnsi="Arial" w:cs="Arial"/>
                <w:szCs w:val="20"/>
                <w:highlight w:val="none"/>
              </w:rPr>
              <w:t>B值（代数值）</w:t>
            </w:r>
          </w:p>
        </w:tc>
        <w:tc>
          <w:tcPr>
            <w:tcW w:w="1428" w:type="dxa"/>
            <w:vAlign w:val="center"/>
          </w:tcPr>
          <w:p>
            <w:pPr>
              <w:spacing w:before="120" w:beforeLines="50" w:after="120" w:afterLines="50"/>
              <w:rPr>
                <w:rFonts w:ascii="Arial" w:hAnsi="Arial" w:cs="Arial"/>
                <w:szCs w:val="20"/>
                <w:highlight w:val="none"/>
              </w:rPr>
            </w:pPr>
          </w:p>
        </w:tc>
        <w:tc>
          <w:tcPr>
            <w:tcW w:w="1640" w:type="dxa"/>
            <w:vAlign w:val="center"/>
          </w:tcPr>
          <w:p>
            <w:pPr>
              <w:spacing w:before="120" w:beforeLines="50" w:after="120" w:afterLines="50"/>
              <w:rPr>
                <w:rFonts w:ascii="Arial" w:hAnsi="Arial" w:cs="Arial"/>
                <w:szCs w:val="20"/>
                <w:highlight w:val="none"/>
              </w:rPr>
            </w:pPr>
          </w:p>
        </w:tc>
      </w:tr>
    </w:tbl>
    <w:p>
      <w:pPr>
        <w:spacing w:line="360" w:lineRule="auto"/>
        <w:rPr>
          <w:rFonts w:ascii="Arial" w:hAnsi="Arial" w:cs="Arial"/>
          <w:sz w:val="24"/>
          <w:szCs w:val="20"/>
          <w:highlight w:val="none"/>
        </w:rPr>
      </w:pPr>
    </w:p>
    <w:p>
      <w:pPr>
        <w:spacing w:line="360" w:lineRule="auto"/>
        <w:rPr>
          <w:rFonts w:ascii="Arial" w:hAnsi="Arial" w:cs="Arial"/>
          <w:szCs w:val="20"/>
          <w:highlight w:val="none"/>
        </w:rPr>
      </w:pPr>
      <w:r>
        <w:rPr>
          <w:rFonts w:ascii="Arial" w:hAnsi="Arial" w:cs="Arial"/>
          <w:szCs w:val="20"/>
          <w:highlight w:val="none"/>
        </w:rPr>
        <w:t xml:space="preserve">评标委员会成员签名：           </w:t>
      </w:r>
      <w:r>
        <w:rPr>
          <w:rFonts w:hint="eastAsia" w:ascii="Arial" w:hAnsi="Arial" w:cs="Arial"/>
          <w:szCs w:val="20"/>
          <w:highlight w:val="none"/>
        </w:rPr>
        <w:t xml:space="preserve">       </w:t>
      </w:r>
      <w:r>
        <w:rPr>
          <w:rFonts w:ascii="Arial" w:hAnsi="Arial" w:cs="Arial"/>
          <w:szCs w:val="20"/>
          <w:highlight w:val="none"/>
        </w:rPr>
        <w:t xml:space="preserve">                  日期：   年    月   日</w:t>
      </w:r>
    </w:p>
    <w:p>
      <w:pPr>
        <w:rPr>
          <w:rFonts w:ascii="Arial" w:hAnsi="Arial" w:eastAsia="黑体" w:cs="Arial"/>
          <w:bCs/>
          <w:sz w:val="24"/>
          <w:highlight w:val="none"/>
        </w:rPr>
      </w:pPr>
      <w:r>
        <w:rPr>
          <w:rFonts w:ascii="Arial" w:hAnsi="Arial" w:cs="Arial"/>
          <w:b/>
          <w:bCs/>
          <w:sz w:val="24"/>
          <w:szCs w:val="20"/>
          <w:highlight w:val="none"/>
        </w:rPr>
        <w:br w:type="page"/>
      </w:r>
      <w:r>
        <w:rPr>
          <w:rFonts w:ascii="Arial" w:hAnsi="Arial" w:eastAsia="黑体" w:cs="Arial"/>
          <w:sz w:val="24"/>
          <w:highlight w:val="none"/>
        </w:rPr>
        <w:t>附表</w:t>
      </w:r>
      <w:r>
        <w:rPr>
          <w:rFonts w:hint="eastAsia" w:ascii="Arial" w:hAnsi="Arial" w:cs="Arial"/>
          <w:b/>
          <w:bCs/>
          <w:sz w:val="24"/>
          <w:highlight w:val="none"/>
        </w:rPr>
        <w:t>C-3</w:t>
      </w:r>
      <w:r>
        <w:rPr>
          <w:rFonts w:ascii="Arial" w:hAnsi="Arial" w:cs="Arial"/>
          <w:b/>
          <w:sz w:val="24"/>
          <w:highlight w:val="none"/>
        </w:rPr>
        <w:t>：</w:t>
      </w:r>
      <w:r>
        <w:rPr>
          <w:rFonts w:ascii="Arial" w:hAnsi="Arial" w:eastAsia="黑体" w:cs="Arial"/>
          <w:bCs/>
          <w:sz w:val="24"/>
          <w:highlight w:val="none"/>
        </w:rPr>
        <w:t>分部分项工程</w:t>
      </w:r>
      <w:r>
        <w:rPr>
          <w:rFonts w:hint="eastAsia" w:ascii="Arial" w:hAnsi="Arial" w:eastAsia="黑体" w:cs="Arial"/>
          <w:bCs/>
          <w:sz w:val="24"/>
          <w:highlight w:val="none"/>
        </w:rPr>
        <w:t>和单价措施项目</w:t>
      </w:r>
      <w:r>
        <w:rPr>
          <w:rFonts w:ascii="Arial" w:hAnsi="Arial" w:eastAsia="黑体" w:cs="Arial"/>
          <w:bCs/>
          <w:sz w:val="24"/>
          <w:highlight w:val="none"/>
        </w:rPr>
        <w:t>清单</w:t>
      </w:r>
      <w:r>
        <w:rPr>
          <w:rFonts w:hint="eastAsia" w:ascii="Arial" w:hAnsi="Arial" w:eastAsia="黑体" w:cs="Arial"/>
          <w:bCs/>
          <w:sz w:val="24"/>
          <w:highlight w:val="none"/>
        </w:rPr>
        <w:t>子目</w:t>
      </w:r>
      <w:r>
        <w:rPr>
          <w:rFonts w:ascii="Arial" w:hAnsi="Arial" w:eastAsia="黑体" w:cs="Arial"/>
          <w:bCs/>
          <w:sz w:val="24"/>
          <w:highlight w:val="none"/>
        </w:rPr>
        <w:t>单价分析及修正记录表</w:t>
      </w:r>
    </w:p>
    <w:p>
      <w:pPr>
        <w:rPr>
          <w:rFonts w:ascii="Arial" w:hAnsi="Arial" w:eastAsia="黑体" w:cs="Arial"/>
          <w:bCs/>
          <w:sz w:val="18"/>
          <w:szCs w:val="18"/>
          <w:highlight w:val="none"/>
        </w:rPr>
      </w:pPr>
    </w:p>
    <w:p>
      <w:pPr>
        <w:jc w:val="center"/>
        <w:rPr>
          <w:rFonts w:ascii="Arial" w:hAnsi="Arial" w:eastAsia="黑体" w:cs="Arial"/>
          <w:bCs/>
          <w:sz w:val="28"/>
          <w:szCs w:val="20"/>
          <w:highlight w:val="none"/>
        </w:rPr>
      </w:pPr>
      <w:r>
        <w:rPr>
          <w:rFonts w:ascii="Arial" w:hAnsi="Arial" w:eastAsia="黑体" w:cs="Arial"/>
          <w:bCs/>
          <w:sz w:val="28"/>
          <w:szCs w:val="20"/>
          <w:highlight w:val="none"/>
        </w:rPr>
        <w:t>分部分项工程</w:t>
      </w:r>
      <w:r>
        <w:rPr>
          <w:rFonts w:hint="eastAsia" w:ascii="Arial" w:hAnsi="Arial" w:eastAsia="黑体" w:cs="Arial"/>
          <w:bCs/>
          <w:sz w:val="28"/>
          <w:szCs w:val="20"/>
          <w:highlight w:val="none"/>
        </w:rPr>
        <w:t>和单价措施项目</w:t>
      </w:r>
      <w:r>
        <w:rPr>
          <w:rFonts w:ascii="Arial" w:hAnsi="Arial" w:eastAsia="黑体" w:cs="Arial"/>
          <w:bCs/>
          <w:sz w:val="28"/>
          <w:szCs w:val="20"/>
          <w:highlight w:val="none"/>
        </w:rPr>
        <w:t>清单</w:t>
      </w:r>
      <w:r>
        <w:rPr>
          <w:rFonts w:hint="eastAsia" w:ascii="Arial" w:hAnsi="Arial" w:eastAsia="黑体" w:cs="Arial"/>
          <w:bCs/>
          <w:sz w:val="28"/>
          <w:szCs w:val="20"/>
          <w:highlight w:val="none"/>
        </w:rPr>
        <w:t>子目</w:t>
      </w:r>
      <w:r>
        <w:rPr>
          <w:rFonts w:ascii="Arial" w:hAnsi="Arial" w:eastAsia="黑体" w:cs="Arial"/>
          <w:bCs/>
          <w:sz w:val="28"/>
          <w:szCs w:val="20"/>
          <w:highlight w:val="none"/>
        </w:rPr>
        <w:t>单价分析及修正记录表</w:t>
      </w:r>
    </w:p>
    <w:p>
      <w:pPr>
        <w:spacing w:line="360" w:lineRule="auto"/>
        <w:rPr>
          <w:rFonts w:ascii="Arial" w:hAnsi="Arial" w:cs="Arial"/>
          <w:szCs w:val="20"/>
          <w:highlight w:val="none"/>
        </w:rPr>
      </w:pPr>
      <w:r>
        <w:rPr>
          <w:rFonts w:ascii="Arial" w:hAnsi="Arial" w:cs="Arial"/>
          <w:szCs w:val="20"/>
          <w:highlight w:val="none"/>
        </w:rPr>
        <w:t>投标人名称</w:t>
      </w:r>
      <w:r>
        <w:rPr>
          <w:rFonts w:hint="eastAsia" w:ascii="Arial" w:hAnsi="Arial" w:cs="Arial"/>
          <w:szCs w:val="20"/>
          <w:highlight w:val="none"/>
        </w:rPr>
        <w:t>：</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247"/>
        <w:gridCol w:w="1247"/>
        <w:gridCol w:w="1247"/>
        <w:gridCol w:w="1070"/>
        <w:gridCol w:w="1384"/>
        <w:gridCol w:w="12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编号</w:t>
            </w:r>
          </w:p>
        </w:tc>
        <w:tc>
          <w:tcPr>
            <w:tcW w:w="1247" w:type="dxa"/>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子目</w:t>
            </w:r>
            <w:r>
              <w:rPr>
                <w:rFonts w:ascii="Arial" w:hAnsi="Arial" w:cs="Arial"/>
                <w:szCs w:val="20"/>
                <w:highlight w:val="none"/>
              </w:rPr>
              <w:t>名称</w:t>
            </w:r>
          </w:p>
        </w:tc>
        <w:tc>
          <w:tcPr>
            <w:tcW w:w="1247"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明显不合理的价格</w:t>
            </w:r>
          </w:p>
        </w:tc>
        <w:tc>
          <w:tcPr>
            <w:tcW w:w="1247"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修正后的价   格</w:t>
            </w:r>
          </w:p>
        </w:tc>
        <w:tc>
          <w:tcPr>
            <w:tcW w:w="1070"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差额</w:t>
            </w:r>
          </w:p>
        </w:tc>
        <w:tc>
          <w:tcPr>
            <w:tcW w:w="1384"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证明情况及修正理由</w:t>
            </w:r>
          </w:p>
        </w:tc>
        <w:tc>
          <w:tcPr>
            <w:tcW w:w="1223"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有关疑问事项备注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247" w:type="dxa"/>
            <w:vAlign w:val="center"/>
          </w:tcPr>
          <w:p>
            <w:pPr>
              <w:spacing w:before="120" w:beforeLines="50" w:after="120" w:afterLines="50"/>
              <w:rPr>
                <w:rFonts w:ascii="Arial" w:hAnsi="Arial" w:cs="Arial"/>
                <w:sz w:val="24"/>
                <w:szCs w:val="20"/>
                <w:highlight w:val="none"/>
              </w:rPr>
            </w:pP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566" w:type="dxa"/>
            <w:gridSpan w:val="4"/>
            <w:vAlign w:val="center"/>
          </w:tcPr>
          <w:p>
            <w:pPr>
              <w:spacing w:before="120" w:beforeLines="50" w:after="120" w:afterLines="50"/>
              <w:jc w:val="right"/>
              <w:rPr>
                <w:rFonts w:ascii="Arial" w:hAnsi="Arial" w:cs="Arial"/>
                <w:szCs w:val="20"/>
                <w:highlight w:val="none"/>
              </w:rPr>
            </w:pPr>
            <w:r>
              <w:rPr>
                <w:rFonts w:ascii="Arial" w:hAnsi="Arial" w:cs="Arial"/>
                <w:szCs w:val="20"/>
                <w:highlight w:val="none"/>
              </w:rPr>
              <w:t>C值（代数值）</w:t>
            </w:r>
          </w:p>
        </w:tc>
        <w:tc>
          <w:tcPr>
            <w:tcW w:w="1070" w:type="dxa"/>
            <w:vAlign w:val="center"/>
          </w:tcPr>
          <w:p>
            <w:pPr>
              <w:spacing w:before="120" w:beforeLines="50" w:after="120" w:afterLines="50"/>
              <w:rPr>
                <w:rFonts w:ascii="Arial" w:hAnsi="Arial" w:cs="Arial"/>
                <w:sz w:val="24"/>
                <w:szCs w:val="20"/>
                <w:highlight w:val="none"/>
              </w:rPr>
            </w:pPr>
          </w:p>
        </w:tc>
        <w:tc>
          <w:tcPr>
            <w:tcW w:w="1384" w:type="dxa"/>
            <w:vAlign w:val="center"/>
          </w:tcPr>
          <w:p>
            <w:pPr>
              <w:spacing w:before="120" w:beforeLines="50" w:after="120" w:afterLines="50"/>
              <w:rPr>
                <w:rFonts w:ascii="Arial" w:hAnsi="Arial" w:cs="Arial"/>
                <w:sz w:val="24"/>
                <w:szCs w:val="20"/>
                <w:highlight w:val="none"/>
              </w:rPr>
            </w:pPr>
          </w:p>
        </w:tc>
        <w:tc>
          <w:tcPr>
            <w:tcW w:w="1223" w:type="dxa"/>
            <w:vAlign w:val="center"/>
          </w:tcPr>
          <w:p>
            <w:pPr>
              <w:spacing w:before="120" w:beforeLines="50" w:after="120" w:afterLines="50"/>
              <w:rPr>
                <w:rFonts w:ascii="Arial" w:hAnsi="Arial" w:cs="Arial"/>
                <w:sz w:val="24"/>
                <w:szCs w:val="20"/>
                <w:highlight w:val="none"/>
              </w:rPr>
            </w:pPr>
          </w:p>
        </w:tc>
      </w:tr>
    </w:tbl>
    <w:p>
      <w:pPr>
        <w:spacing w:line="360" w:lineRule="auto"/>
        <w:rPr>
          <w:rFonts w:ascii="Arial" w:hAnsi="Arial" w:cs="Arial"/>
          <w:sz w:val="24"/>
          <w:szCs w:val="20"/>
          <w:highlight w:val="none"/>
        </w:rPr>
      </w:pPr>
    </w:p>
    <w:p>
      <w:pPr>
        <w:spacing w:line="360" w:lineRule="auto"/>
        <w:rPr>
          <w:rFonts w:ascii="Arial" w:hAnsi="Arial" w:cs="Arial"/>
          <w:szCs w:val="20"/>
          <w:highlight w:val="none"/>
        </w:rPr>
      </w:pPr>
      <w:r>
        <w:rPr>
          <w:rFonts w:ascii="Arial" w:hAnsi="Arial" w:cs="Arial"/>
          <w:szCs w:val="20"/>
          <w:highlight w:val="none"/>
        </w:rPr>
        <w:t xml:space="preserve">评标委员会成员签名：     </w:t>
      </w:r>
      <w:r>
        <w:rPr>
          <w:rFonts w:hint="eastAsia" w:ascii="Arial" w:hAnsi="Arial" w:cs="Arial"/>
          <w:szCs w:val="20"/>
          <w:highlight w:val="none"/>
        </w:rPr>
        <w:t xml:space="preserve">             </w:t>
      </w:r>
      <w:r>
        <w:rPr>
          <w:rFonts w:ascii="Arial" w:hAnsi="Arial" w:cs="Arial"/>
          <w:szCs w:val="20"/>
          <w:highlight w:val="none"/>
        </w:rPr>
        <w:t xml:space="preserve">                     日期：   年    月   日</w:t>
      </w:r>
    </w:p>
    <w:p>
      <w:pPr>
        <w:rPr>
          <w:rFonts w:ascii="Arial" w:hAnsi="Arial" w:eastAsia="黑体" w:cs="Arial"/>
          <w:bCs/>
          <w:sz w:val="24"/>
          <w:highlight w:val="none"/>
        </w:rPr>
      </w:pPr>
      <w:r>
        <w:rPr>
          <w:rFonts w:ascii="Arial" w:hAnsi="Arial" w:cs="Arial"/>
          <w:b/>
          <w:bCs/>
          <w:sz w:val="24"/>
          <w:szCs w:val="20"/>
          <w:highlight w:val="none"/>
        </w:rPr>
        <w:br w:type="page"/>
      </w:r>
      <w:r>
        <w:rPr>
          <w:rFonts w:ascii="Arial" w:hAnsi="Arial" w:eastAsia="黑体" w:cs="Arial"/>
          <w:sz w:val="24"/>
          <w:highlight w:val="none"/>
        </w:rPr>
        <w:t>附表</w:t>
      </w:r>
      <w:r>
        <w:rPr>
          <w:rFonts w:hint="eastAsia" w:ascii="Arial" w:hAnsi="Arial" w:cs="Arial"/>
          <w:b/>
          <w:bCs/>
          <w:sz w:val="24"/>
          <w:highlight w:val="none"/>
        </w:rPr>
        <w:t>C-4</w:t>
      </w:r>
      <w:r>
        <w:rPr>
          <w:rFonts w:ascii="Arial" w:hAnsi="Arial" w:cs="Arial"/>
          <w:b/>
          <w:sz w:val="24"/>
          <w:highlight w:val="none"/>
        </w:rPr>
        <w:t>：</w:t>
      </w:r>
      <w:r>
        <w:rPr>
          <w:rFonts w:hint="eastAsia" w:ascii="Arial" w:hAnsi="Arial" w:cs="Arial"/>
          <w:b/>
          <w:sz w:val="24"/>
          <w:highlight w:val="none"/>
        </w:rPr>
        <w:t>总价</w:t>
      </w:r>
      <w:r>
        <w:rPr>
          <w:rFonts w:ascii="Arial" w:hAnsi="Arial" w:eastAsia="黑体" w:cs="Arial"/>
          <w:bCs/>
          <w:sz w:val="24"/>
          <w:highlight w:val="none"/>
        </w:rPr>
        <w:t>措施项目和其他项目工程量清单价格分析及修正记录表</w:t>
      </w:r>
    </w:p>
    <w:p>
      <w:pPr>
        <w:rPr>
          <w:rFonts w:ascii="Arial" w:hAnsi="Arial" w:cs="Arial"/>
          <w:b/>
          <w:sz w:val="24"/>
          <w:szCs w:val="20"/>
          <w:highlight w:val="none"/>
        </w:rPr>
      </w:pPr>
    </w:p>
    <w:p>
      <w:pPr>
        <w:jc w:val="center"/>
        <w:rPr>
          <w:rFonts w:ascii="Arial" w:hAnsi="Arial" w:eastAsia="黑体" w:cs="Arial"/>
          <w:bCs/>
          <w:sz w:val="28"/>
          <w:szCs w:val="20"/>
          <w:highlight w:val="none"/>
        </w:rPr>
      </w:pPr>
      <w:r>
        <w:rPr>
          <w:rFonts w:hint="eastAsia" w:ascii="Arial" w:hAnsi="Arial" w:eastAsia="黑体" w:cs="Arial"/>
          <w:bCs/>
          <w:sz w:val="28"/>
          <w:szCs w:val="20"/>
          <w:highlight w:val="none"/>
        </w:rPr>
        <w:t>总价</w:t>
      </w:r>
      <w:r>
        <w:rPr>
          <w:rFonts w:ascii="Arial" w:hAnsi="Arial" w:eastAsia="黑体" w:cs="Arial"/>
          <w:bCs/>
          <w:sz w:val="28"/>
          <w:szCs w:val="20"/>
          <w:highlight w:val="none"/>
        </w:rPr>
        <w:t>措施项目和其他项目工程量清单价格分析及修正记录表</w:t>
      </w:r>
    </w:p>
    <w:p>
      <w:pPr>
        <w:rPr>
          <w:rFonts w:ascii="Arial" w:hAnsi="Arial" w:cs="Arial"/>
          <w:szCs w:val="20"/>
          <w:highlight w:val="none"/>
        </w:rPr>
      </w:pPr>
      <w:r>
        <w:rPr>
          <w:rFonts w:ascii="Arial" w:hAnsi="Arial" w:cs="Arial"/>
          <w:szCs w:val="20"/>
          <w:highlight w:val="none"/>
        </w:rPr>
        <w:t>投标人名称</w:t>
      </w:r>
      <w:r>
        <w:rPr>
          <w:rFonts w:hint="eastAsia" w:ascii="Arial" w:hAnsi="Arial" w:cs="Arial"/>
          <w:szCs w:val="20"/>
          <w:highlight w:val="none"/>
        </w:rPr>
        <w:t>：</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247"/>
        <w:gridCol w:w="1247"/>
        <w:gridCol w:w="1247"/>
        <w:gridCol w:w="1070"/>
        <w:gridCol w:w="1384"/>
        <w:gridCol w:w="12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编号</w:t>
            </w:r>
          </w:p>
        </w:tc>
        <w:tc>
          <w:tcPr>
            <w:tcW w:w="1247" w:type="dxa"/>
            <w:vAlign w:val="center"/>
          </w:tcPr>
          <w:p>
            <w:pPr>
              <w:spacing w:before="120" w:beforeLines="50" w:after="120" w:afterLines="50"/>
              <w:rPr>
                <w:rFonts w:ascii="Arial" w:hAnsi="Arial" w:cs="Arial"/>
                <w:szCs w:val="20"/>
                <w:highlight w:val="none"/>
              </w:rPr>
            </w:pPr>
            <w:r>
              <w:rPr>
                <w:rFonts w:hint="eastAsia" w:ascii="Arial" w:hAnsi="Arial" w:cs="Arial"/>
                <w:szCs w:val="20"/>
                <w:highlight w:val="none"/>
              </w:rPr>
              <w:t>子目</w:t>
            </w:r>
            <w:r>
              <w:rPr>
                <w:rFonts w:ascii="Arial" w:hAnsi="Arial" w:cs="Arial"/>
                <w:szCs w:val="20"/>
                <w:highlight w:val="none"/>
              </w:rPr>
              <w:t>名称</w:t>
            </w:r>
          </w:p>
        </w:tc>
        <w:tc>
          <w:tcPr>
            <w:tcW w:w="1247"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明显不合理的价格</w:t>
            </w:r>
          </w:p>
        </w:tc>
        <w:tc>
          <w:tcPr>
            <w:tcW w:w="1247"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修正后的价   格</w:t>
            </w:r>
          </w:p>
        </w:tc>
        <w:tc>
          <w:tcPr>
            <w:tcW w:w="1070"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差 额</w:t>
            </w:r>
          </w:p>
        </w:tc>
        <w:tc>
          <w:tcPr>
            <w:tcW w:w="1384"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证明情况及修正理由</w:t>
            </w:r>
          </w:p>
        </w:tc>
        <w:tc>
          <w:tcPr>
            <w:tcW w:w="1223"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有关疑问事项备注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25"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247" w:type="dxa"/>
            <w:vAlign w:val="center"/>
          </w:tcPr>
          <w:p>
            <w:pPr>
              <w:spacing w:before="120" w:beforeLines="50" w:after="120" w:afterLines="50"/>
              <w:rPr>
                <w:rFonts w:ascii="Arial" w:hAnsi="Arial" w:cs="Arial"/>
                <w:szCs w:val="20"/>
                <w:highlight w:val="none"/>
              </w:rPr>
            </w:pP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566" w:type="dxa"/>
            <w:gridSpan w:val="4"/>
            <w:vAlign w:val="center"/>
          </w:tcPr>
          <w:p>
            <w:pPr>
              <w:spacing w:before="120" w:beforeLines="50" w:after="120" w:afterLines="50"/>
              <w:jc w:val="right"/>
              <w:rPr>
                <w:rFonts w:ascii="Arial" w:hAnsi="Arial" w:cs="Arial"/>
                <w:szCs w:val="20"/>
                <w:highlight w:val="none"/>
              </w:rPr>
            </w:pPr>
            <w:r>
              <w:rPr>
                <w:rFonts w:ascii="Arial" w:hAnsi="Arial" w:cs="Arial"/>
                <w:szCs w:val="20"/>
                <w:highlight w:val="none"/>
              </w:rPr>
              <w:t>D值（代数值）</w:t>
            </w:r>
          </w:p>
        </w:tc>
        <w:tc>
          <w:tcPr>
            <w:tcW w:w="1070" w:type="dxa"/>
            <w:vAlign w:val="center"/>
          </w:tcPr>
          <w:p>
            <w:pPr>
              <w:spacing w:before="120" w:beforeLines="50" w:after="120" w:afterLines="50"/>
              <w:rPr>
                <w:rFonts w:ascii="Arial" w:hAnsi="Arial" w:cs="Arial"/>
                <w:szCs w:val="20"/>
                <w:highlight w:val="none"/>
              </w:rPr>
            </w:pPr>
          </w:p>
        </w:tc>
        <w:tc>
          <w:tcPr>
            <w:tcW w:w="1384" w:type="dxa"/>
            <w:vAlign w:val="center"/>
          </w:tcPr>
          <w:p>
            <w:pPr>
              <w:spacing w:before="120" w:beforeLines="50" w:after="120" w:afterLines="50"/>
              <w:rPr>
                <w:rFonts w:ascii="Arial" w:hAnsi="Arial" w:cs="Arial"/>
                <w:szCs w:val="20"/>
                <w:highlight w:val="none"/>
              </w:rPr>
            </w:pPr>
          </w:p>
        </w:tc>
        <w:tc>
          <w:tcPr>
            <w:tcW w:w="1223" w:type="dxa"/>
            <w:vAlign w:val="center"/>
          </w:tcPr>
          <w:p>
            <w:pPr>
              <w:spacing w:before="120" w:beforeLines="50" w:after="120" w:afterLines="50"/>
              <w:rPr>
                <w:rFonts w:ascii="Arial" w:hAnsi="Arial" w:cs="Arial"/>
                <w:szCs w:val="20"/>
                <w:highlight w:val="none"/>
              </w:rPr>
            </w:pPr>
          </w:p>
        </w:tc>
      </w:tr>
    </w:tbl>
    <w:p>
      <w:pPr>
        <w:spacing w:line="360" w:lineRule="auto"/>
        <w:rPr>
          <w:rFonts w:ascii="Arial" w:hAnsi="Arial" w:cs="Arial"/>
          <w:szCs w:val="20"/>
          <w:highlight w:val="none"/>
        </w:rPr>
      </w:pPr>
      <w:r>
        <w:rPr>
          <w:rFonts w:ascii="Arial" w:hAnsi="Arial" w:cs="Arial"/>
          <w:szCs w:val="20"/>
          <w:highlight w:val="none"/>
        </w:rPr>
        <w:t>评标委员会成员签名：                                  日期：   年    月   日</w:t>
      </w:r>
    </w:p>
    <w:p>
      <w:pPr>
        <w:tabs>
          <w:tab w:val="left" w:pos="4680"/>
        </w:tabs>
        <w:rPr>
          <w:rFonts w:ascii="Arial" w:hAnsi="Arial" w:eastAsia="黑体" w:cs="Arial"/>
          <w:bCs/>
          <w:sz w:val="24"/>
          <w:highlight w:val="none"/>
        </w:rPr>
      </w:pPr>
      <w:r>
        <w:rPr>
          <w:rFonts w:ascii="Arial" w:hAnsi="Arial" w:cs="Arial"/>
          <w:b/>
          <w:bCs/>
          <w:sz w:val="24"/>
          <w:szCs w:val="20"/>
          <w:highlight w:val="none"/>
        </w:rPr>
        <w:br w:type="page"/>
      </w:r>
      <w:r>
        <w:rPr>
          <w:rFonts w:ascii="Arial" w:hAnsi="Arial" w:eastAsia="黑体" w:cs="Arial"/>
          <w:sz w:val="24"/>
          <w:highlight w:val="none"/>
        </w:rPr>
        <w:t>附表</w:t>
      </w:r>
      <w:r>
        <w:rPr>
          <w:rFonts w:hint="eastAsia" w:ascii="Arial" w:hAnsi="Arial" w:cs="Arial"/>
          <w:b/>
          <w:bCs/>
          <w:sz w:val="24"/>
          <w:highlight w:val="none"/>
        </w:rPr>
        <w:t>C-5</w:t>
      </w:r>
      <w:r>
        <w:rPr>
          <w:rFonts w:ascii="Arial" w:hAnsi="Arial" w:cs="Arial"/>
          <w:b/>
          <w:bCs/>
          <w:sz w:val="24"/>
          <w:highlight w:val="none"/>
        </w:rPr>
        <w:t>：</w:t>
      </w:r>
      <w:r>
        <w:rPr>
          <w:rFonts w:ascii="Arial" w:hAnsi="Arial" w:eastAsia="黑体" w:cs="Arial"/>
          <w:bCs/>
          <w:sz w:val="24"/>
          <w:highlight w:val="none"/>
        </w:rPr>
        <w:t>企业管理费、利润及税金和规费完整性分析及修正记录表</w:t>
      </w:r>
    </w:p>
    <w:p>
      <w:pPr>
        <w:tabs>
          <w:tab w:val="left" w:pos="4680"/>
        </w:tabs>
        <w:rPr>
          <w:rFonts w:ascii="Arial" w:hAnsi="Arial" w:cs="Arial"/>
          <w:b/>
          <w:bCs/>
          <w:sz w:val="24"/>
          <w:szCs w:val="20"/>
          <w:highlight w:val="none"/>
        </w:rPr>
      </w:pPr>
    </w:p>
    <w:p>
      <w:pPr>
        <w:tabs>
          <w:tab w:val="left" w:pos="4680"/>
        </w:tabs>
        <w:jc w:val="center"/>
        <w:rPr>
          <w:rFonts w:ascii="Arial" w:hAnsi="Arial" w:eastAsia="黑体" w:cs="Arial"/>
          <w:bCs/>
          <w:sz w:val="28"/>
          <w:szCs w:val="20"/>
          <w:highlight w:val="none"/>
        </w:rPr>
      </w:pPr>
      <w:r>
        <w:rPr>
          <w:rFonts w:ascii="Arial" w:hAnsi="Arial" w:eastAsia="黑体" w:cs="Arial"/>
          <w:bCs/>
          <w:sz w:val="28"/>
          <w:szCs w:val="20"/>
          <w:highlight w:val="none"/>
        </w:rPr>
        <w:t>企业管理费、利润及税金和规费完整性分析及修正记录表</w:t>
      </w:r>
    </w:p>
    <w:p>
      <w:pPr>
        <w:tabs>
          <w:tab w:val="left" w:pos="4680"/>
        </w:tabs>
        <w:rPr>
          <w:rFonts w:ascii="Arial" w:hAnsi="Arial" w:cs="Arial"/>
          <w:szCs w:val="20"/>
          <w:highlight w:val="none"/>
        </w:rPr>
      </w:pPr>
      <w:r>
        <w:rPr>
          <w:rFonts w:ascii="Arial" w:hAnsi="Arial" w:cs="Arial"/>
          <w:szCs w:val="20"/>
          <w:highlight w:val="none"/>
        </w:rPr>
        <w:t>投标人名称：</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6"/>
        <w:gridCol w:w="1217"/>
        <w:gridCol w:w="1217"/>
        <w:gridCol w:w="1218"/>
        <w:gridCol w:w="1072"/>
        <w:gridCol w:w="1218"/>
        <w:gridCol w:w="11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0" w:hRule="atLeast"/>
        </w:trPr>
        <w:tc>
          <w:tcPr>
            <w:tcW w:w="1216" w:type="dxa"/>
            <w:vMerge w:val="restart"/>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项   目</w:t>
            </w:r>
          </w:p>
        </w:tc>
        <w:tc>
          <w:tcPr>
            <w:tcW w:w="2434" w:type="dxa"/>
            <w:gridSpan w:val="2"/>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企业管理费</w:t>
            </w:r>
          </w:p>
        </w:tc>
        <w:tc>
          <w:tcPr>
            <w:tcW w:w="2290" w:type="dxa"/>
            <w:gridSpan w:val="2"/>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利   润</w:t>
            </w:r>
          </w:p>
        </w:tc>
        <w:tc>
          <w:tcPr>
            <w:tcW w:w="2374" w:type="dxa"/>
            <w:gridSpan w:val="2"/>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税金和规费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0" w:hRule="atLeast"/>
        </w:trPr>
        <w:tc>
          <w:tcPr>
            <w:tcW w:w="1216" w:type="dxa"/>
            <w:vMerge w:val="continue"/>
            <w:vAlign w:val="center"/>
          </w:tcPr>
          <w:p>
            <w:pPr>
              <w:tabs>
                <w:tab w:val="left" w:pos="4680"/>
              </w:tabs>
              <w:spacing w:line="360" w:lineRule="auto"/>
              <w:jc w:val="center"/>
              <w:rPr>
                <w:rFonts w:ascii="Arial" w:hAnsi="Arial" w:cs="Arial"/>
                <w:szCs w:val="20"/>
                <w:highlight w:val="none"/>
              </w:rPr>
            </w:pPr>
          </w:p>
        </w:tc>
        <w:tc>
          <w:tcPr>
            <w:tcW w:w="1217"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投标价格</w:t>
            </w:r>
          </w:p>
        </w:tc>
        <w:tc>
          <w:tcPr>
            <w:tcW w:w="1217"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实际</w:t>
            </w:r>
          </w:p>
        </w:tc>
        <w:tc>
          <w:tcPr>
            <w:tcW w:w="1218"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投标价格</w:t>
            </w:r>
          </w:p>
        </w:tc>
        <w:tc>
          <w:tcPr>
            <w:tcW w:w="1072"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实际</w:t>
            </w:r>
          </w:p>
        </w:tc>
        <w:tc>
          <w:tcPr>
            <w:tcW w:w="1218"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投标价格</w:t>
            </w:r>
          </w:p>
        </w:tc>
        <w:tc>
          <w:tcPr>
            <w:tcW w:w="1156"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实际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6"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比较栏</w:t>
            </w:r>
          </w:p>
        </w:tc>
        <w:tc>
          <w:tcPr>
            <w:tcW w:w="1217"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c>
          <w:tcPr>
            <w:tcW w:w="1217"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c>
          <w:tcPr>
            <w:tcW w:w="1218"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c>
          <w:tcPr>
            <w:tcW w:w="1072"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c>
          <w:tcPr>
            <w:tcW w:w="1218"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c>
          <w:tcPr>
            <w:tcW w:w="1156" w:type="dxa"/>
            <w:tcBorders>
              <w:bottom w:val="double" w:color="auto" w:sz="4" w:space="0"/>
            </w:tcBorders>
            <w:vAlign w:val="center"/>
          </w:tcPr>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6" w:type="dxa"/>
            <w:tcBorders>
              <w:right w:val="double" w:color="auto" w:sz="4" w:space="0"/>
            </w:tcBorders>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差  额</w:t>
            </w:r>
          </w:p>
        </w:tc>
        <w:tc>
          <w:tcPr>
            <w:tcW w:w="1217" w:type="dxa"/>
            <w:tcBorders>
              <w:top w:val="double" w:color="auto" w:sz="4" w:space="0"/>
              <w:left w:val="double" w:color="auto" w:sz="4" w:space="0"/>
              <w:bottom w:val="double" w:color="auto" w:sz="4" w:space="0"/>
            </w:tcBorders>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E  值</w:t>
            </w:r>
          </w:p>
        </w:tc>
        <w:tc>
          <w:tcPr>
            <w:tcW w:w="1217" w:type="dxa"/>
            <w:tcBorders>
              <w:top w:val="double" w:color="auto" w:sz="4" w:space="0"/>
              <w:bottom w:val="double" w:color="auto" w:sz="4" w:space="0"/>
              <w:right w:val="double" w:color="auto" w:sz="4" w:space="0"/>
            </w:tcBorders>
            <w:vAlign w:val="center"/>
          </w:tcPr>
          <w:p>
            <w:pPr>
              <w:tabs>
                <w:tab w:val="left" w:pos="4680"/>
              </w:tabs>
              <w:spacing w:line="360" w:lineRule="auto"/>
              <w:jc w:val="center"/>
              <w:rPr>
                <w:rFonts w:ascii="Arial" w:hAnsi="Arial" w:cs="Arial"/>
                <w:szCs w:val="20"/>
                <w:highlight w:val="none"/>
              </w:rPr>
            </w:pPr>
          </w:p>
        </w:tc>
        <w:tc>
          <w:tcPr>
            <w:tcW w:w="1218" w:type="dxa"/>
            <w:tcBorders>
              <w:top w:val="double" w:color="auto" w:sz="4" w:space="0"/>
              <w:left w:val="double" w:color="auto" w:sz="4" w:space="0"/>
              <w:bottom w:val="double" w:color="auto" w:sz="4" w:space="0"/>
            </w:tcBorders>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F  值</w:t>
            </w:r>
          </w:p>
        </w:tc>
        <w:tc>
          <w:tcPr>
            <w:tcW w:w="1072" w:type="dxa"/>
            <w:tcBorders>
              <w:top w:val="double" w:color="auto" w:sz="4" w:space="0"/>
              <w:bottom w:val="double" w:color="auto" w:sz="4" w:space="0"/>
              <w:right w:val="double" w:color="auto" w:sz="4" w:space="0"/>
            </w:tcBorders>
            <w:vAlign w:val="center"/>
          </w:tcPr>
          <w:p>
            <w:pPr>
              <w:tabs>
                <w:tab w:val="left" w:pos="4680"/>
              </w:tabs>
              <w:spacing w:line="360" w:lineRule="auto"/>
              <w:jc w:val="center"/>
              <w:rPr>
                <w:rFonts w:ascii="Arial" w:hAnsi="Arial" w:cs="Arial"/>
                <w:szCs w:val="20"/>
                <w:highlight w:val="none"/>
              </w:rPr>
            </w:pPr>
          </w:p>
        </w:tc>
        <w:tc>
          <w:tcPr>
            <w:tcW w:w="1218" w:type="dxa"/>
            <w:tcBorders>
              <w:top w:val="double" w:color="auto" w:sz="4" w:space="0"/>
              <w:left w:val="double" w:color="auto" w:sz="4" w:space="0"/>
              <w:bottom w:val="double" w:color="auto" w:sz="4" w:space="0"/>
            </w:tcBorders>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G  值</w:t>
            </w:r>
          </w:p>
        </w:tc>
        <w:tc>
          <w:tcPr>
            <w:tcW w:w="1156" w:type="dxa"/>
            <w:tcBorders>
              <w:top w:val="double" w:color="auto" w:sz="4" w:space="0"/>
              <w:bottom w:val="double" w:color="auto" w:sz="4" w:space="0"/>
              <w:right w:val="double" w:color="auto" w:sz="4" w:space="0"/>
            </w:tcBorders>
            <w:vAlign w:val="center"/>
          </w:tcPr>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4" w:hRule="atLeast"/>
        </w:trPr>
        <w:tc>
          <w:tcPr>
            <w:tcW w:w="1216"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分析计算</w:t>
            </w:r>
          </w:p>
        </w:tc>
        <w:tc>
          <w:tcPr>
            <w:tcW w:w="1217" w:type="dxa"/>
            <w:tcBorders>
              <w:top w:val="double" w:color="auto" w:sz="4" w:space="0"/>
            </w:tcBorders>
            <w:vAlign w:val="center"/>
          </w:tcPr>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tc>
        <w:tc>
          <w:tcPr>
            <w:tcW w:w="1217" w:type="dxa"/>
            <w:tcBorders>
              <w:top w:val="double" w:color="auto" w:sz="4" w:space="0"/>
            </w:tcBorders>
            <w:vAlign w:val="center"/>
          </w:tcPr>
          <w:p>
            <w:pPr>
              <w:pStyle w:val="29"/>
              <w:tabs>
                <w:tab w:val="left" w:pos="4680"/>
              </w:tabs>
              <w:spacing w:line="360" w:lineRule="auto"/>
              <w:ind w:left="5250"/>
              <w:rPr>
                <w:rFonts w:ascii="Arial" w:hAnsi="Arial" w:cs="Arial"/>
                <w:sz w:val="21"/>
                <w:highlight w:val="none"/>
              </w:rPr>
            </w:pPr>
          </w:p>
        </w:tc>
        <w:tc>
          <w:tcPr>
            <w:tcW w:w="1218" w:type="dxa"/>
            <w:tcBorders>
              <w:top w:val="double" w:color="auto" w:sz="4" w:space="0"/>
            </w:tcBorders>
            <w:vAlign w:val="center"/>
          </w:tcPr>
          <w:p>
            <w:pPr>
              <w:tabs>
                <w:tab w:val="left" w:pos="4680"/>
              </w:tabs>
              <w:spacing w:line="360" w:lineRule="auto"/>
              <w:rPr>
                <w:rFonts w:ascii="Arial" w:hAnsi="Arial" w:cs="Arial"/>
                <w:szCs w:val="20"/>
                <w:highlight w:val="none"/>
              </w:rPr>
            </w:pPr>
          </w:p>
        </w:tc>
        <w:tc>
          <w:tcPr>
            <w:tcW w:w="1072" w:type="dxa"/>
            <w:tcBorders>
              <w:top w:val="double" w:color="auto" w:sz="4" w:space="0"/>
            </w:tcBorders>
            <w:vAlign w:val="center"/>
          </w:tcPr>
          <w:p>
            <w:pPr>
              <w:tabs>
                <w:tab w:val="left" w:pos="4680"/>
              </w:tabs>
              <w:spacing w:line="360" w:lineRule="auto"/>
              <w:rPr>
                <w:rFonts w:ascii="Arial" w:hAnsi="Arial" w:cs="Arial"/>
                <w:szCs w:val="20"/>
                <w:highlight w:val="none"/>
              </w:rPr>
            </w:pPr>
          </w:p>
        </w:tc>
        <w:tc>
          <w:tcPr>
            <w:tcW w:w="1218" w:type="dxa"/>
            <w:tcBorders>
              <w:top w:val="double" w:color="auto" w:sz="4" w:space="0"/>
            </w:tcBorders>
            <w:vAlign w:val="center"/>
          </w:tcPr>
          <w:p>
            <w:pPr>
              <w:tabs>
                <w:tab w:val="left" w:pos="4680"/>
              </w:tabs>
              <w:spacing w:line="360" w:lineRule="auto"/>
              <w:rPr>
                <w:rFonts w:ascii="Arial" w:hAnsi="Arial" w:cs="Arial"/>
                <w:szCs w:val="20"/>
                <w:highlight w:val="none"/>
              </w:rPr>
            </w:pPr>
          </w:p>
        </w:tc>
        <w:tc>
          <w:tcPr>
            <w:tcW w:w="1156" w:type="dxa"/>
            <w:tcBorders>
              <w:top w:val="double" w:color="auto" w:sz="4" w:space="0"/>
            </w:tcBorders>
            <w:vAlign w:val="center"/>
          </w:tcPr>
          <w:p>
            <w:pPr>
              <w:tabs>
                <w:tab w:val="left" w:pos="4680"/>
              </w:tabs>
              <w:spacing w:line="360" w:lineRule="auto"/>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2" w:hRule="atLeast"/>
        </w:trPr>
        <w:tc>
          <w:tcPr>
            <w:tcW w:w="1216"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有关疑问事项备注</w:t>
            </w:r>
          </w:p>
        </w:tc>
        <w:tc>
          <w:tcPr>
            <w:tcW w:w="1217" w:type="dxa"/>
            <w:vAlign w:val="center"/>
          </w:tcPr>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p>
            <w:pPr>
              <w:tabs>
                <w:tab w:val="left" w:pos="4680"/>
              </w:tabs>
              <w:spacing w:line="360" w:lineRule="auto"/>
              <w:rPr>
                <w:rFonts w:ascii="Arial" w:hAnsi="Arial" w:cs="Arial"/>
                <w:szCs w:val="20"/>
                <w:highlight w:val="none"/>
              </w:rPr>
            </w:pPr>
          </w:p>
        </w:tc>
        <w:tc>
          <w:tcPr>
            <w:tcW w:w="1217" w:type="dxa"/>
            <w:vAlign w:val="center"/>
          </w:tcPr>
          <w:p>
            <w:pPr>
              <w:tabs>
                <w:tab w:val="left" w:pos="4680"/>
              </w:tabs>
              <w:spacing w:line="360" w:lineRule="auto"/>
              <w:rPr>
                <w:rFonts w:ascii="Arial" w:hAnsi="Arial" w:cs="Arial"/>
                <w:szCs w:val="20"/>
                <w:highlight w:val="none"/>
              </w:rPr>
            </w:pPr>
          </w:p>
        </w:tc>
        <w:tc>
          <w:tcPr>
            <w:tcW w:w="1218" w:type="dxa"/>
            <w:vAlign w:val="center"/>
          </w:tcPr>
          <w:p>
            <w:pPr>
              <w:tabs>
                <w:tab w:val="left" w:pos="4680"/>
              </w:tabs>
              <w:spacing w:line="360" w:lineRule="auto"/>
              <w:rPr>
                <w:rFonts w:ascii="Arial" w:hAnsi="Arial" w:cs="Arial"/>
                <w:szCs w:val="20"/>
                <w:highlight w:val="none"/>
              </w:rPr>
            </w:pPr>
          </w:p>
        </w:tc>
        <w:tc>
          <w:tcPr>
            <w:tcW w:w="1072" w:type="dxa"/>
            <w:vAlign w:val="center"/>
          </w:tcPr>
          <w:p>
            <w:pPr>
              <w:tabs>
                <w:tab w:val="left" w:pos="4680"/>
              </w:tabs>
              <w:spacing w:line="360" w:lineRule="auto"/>
              <w:rPr>
                <w:rFonts w:ascii="Arial" w:hAnsi="Arial" w:cs="Arial"/>
                <w:szCs w:val="20"/>
                <w:highlight w:val="none"/>
              </w:rPr>
            </w:pPr>
          </w:p>
        </w:tc>
        <w:tc>
          <w:tcPr>
            <w:tcW w:w="1218" w:type="dxa"/>
            <w:vAlign w:val="center"/>
          </w:tcPr>
          <w:p>
            <w:pPr>
              <w:tabs>
                <w:tab w:val="left" w:pos="4680"/>
              </w:tabs>
              <w:spacing w:line="360" w:lineRule="auto"/>
              <w:rPr>
                <w:rFonts w:ascii="Arial" w:hAnsi="Arial" w:cs="Arial"/>
                <w:szCs w:val="20"/>
                <w:highlight w:val="none"/>
              </w:rPr>
            </w:pPr>
          </w:p>
        </w:tc>
        <w:tc>
          <w:tcPr>
            <w:tcW w:w="1156" w:type="dxa"/>
            <w:vAlign w:val="center"/>
          </w:tcPr>
          <w:p>
            <w:pPr>
              <w:tabs>
                <w:tab w:val="left" w:pos="4680"/>
              </w:tabs>
              <w:spacing w:line="360" w:lineRule="auto"/>
              <w:rPr>
                <w:rFonts w:ascii="Arial" w:hAnsi="Arial" w:cs="Arial"/>
                <w:szCs w:val="20"/>
                <w:highlight w:val="none"/>
              </w:rPr>
            </w:pPr>
          </w:p>
        </w:tc>
      </w:tr>
    </w:tbl>
    <w:p>
      <w:pPr>
        <w:spacing w:line="360" w:lineRule="auto"/>
        <w:rPr>
          <w:rFonts w:ascii="Arial" w:hAnsi="Arial" w:cs="Arial"/>
          <w:sz w:val="24"/>
          <w:szCs w:val="20"/>
          <w:highlight w:val="none"/>
        </w:rPr>
      </w:pPr>
    </w:p>
    <w:p>
      <w:pPr>
        <w:spacing w:line="360" w:lineRule="auto"/>
        <w:rPr>
          <w:rFonts w:ascii="Arial" w:hAnsi="Arial" w:cs="Arial"/>
          <w:szCs w:val="20"/>
          <w:highlight w:val="none"/>
        </w:rPr>
      </w:pPr>
      <w:r>
        <w:rPr>
          <w:rFonts w:ascii="Arial" w:hAnsi="Arial" w:cs="Arial"/>
          <w:szCs w:val="20"/>
          <w:highlight w:val="none"/>
        </w:rPr>
        <w:t>评标委员会成员签名：                                  日期：   年    月   日</w:t>
      </w:r>
    </w:p>
    <w:p>
      <w:pPr>
        <w:rPr>
          <w:rFonts w:ascii="Arial" w:hAnsi="Arial" w:eastAsia="黑体" w:cs="Arial"/>
          <w:bCs/>
          <w:sz w:val="24"/>
          <w:highlight w:val="none"/>
        </w:rPr>
      </w:pPr>
      <w:r>
        <w:rPr>
          <w:rFonts w:ascii="Arial" w:hAnsi="Arial" w:cs="Arial"/>
          <w:sz w:val="24"/>
          <w:szCs w:val="20"/>
          <w:highlight w:val="none"/>
        </w:rPr>
        <w:br w:type="page"/>
      </w:r>
      <w:r>
        <w:rPr>
          <w:rFonts w:ascii="Arial" w:hAnsi="Arial" w:eastAsia="黑体" w:cs="Arial"/>
          <w:sz w:val="24"/>
          <w:highlight w:val="none"/>
        </w:rPr>
        <w:t>附表</w:t>
      </w:r>
      <w:r>
        <w:rPr>
          <w:rFonts w:hint="eastAsia" w:ascii="Arial" w:hAnsi="Arial" w:cs="Arial"/>
          <w:b/>
          <w:bCs/>
          <w:sz w:val="24"/>
          <w:highlight w:val="none"/>
        </w:rPr>
        <w:t>C-6</w:t>
      </w:r>
      <w:r>
        <w:rPr>
          <w:rFonts w:ascii="Arial" w:hAnsi="Arial" w:cs="Arial"/>
          <w:b/>
          <w:bCs/>
          <w:sz w:val="24"/>
          <w:highlight w:val="none"/>
        </w:rPr>
        <w:t>：</w:t>
      </w:r>
      <w:r>
        <w:rPr>
          <w:rFonts w:hint="eastAsia" w:ascii="Arial" w:hAnsi="Arial" w:eastAsia="黑体" w:cs="Arial"/>
          <w:bCs/>
          <w:sz w:val="24"/>
          <w:highlight w:val="none"/>
        </w:rPr>
        <w:t>不平衡报价分析及修正记录表</w:t>
      </w:r>
    </w:p>
    <w:p>
      <w:pPr>
        <w:rPr>
          <w:rFonts w:ascii="Arial" w:hAnsi="Arial" w:cs="Arial"/>
          <w:b/>
          <w:bCs/>
          <w:sz w:val="24"/>
          <w:szCs w:val="20"/>
          <w:highlight w:val="none"/>
        </w:rPr>
      </w:pPr>
    </w:p>
    <w:p>
      <w:pPr>
        <w:jc w:val="center"/>
        <w:rPr>
          <w:rFonts w:ascii="Arial" w:hAnsi="Arial" w:eastAsia="黑体" w:cs="Arial"/>
          <w:bCs/>
          <w:sz w:val="28"/>
          <w:szCs w:val="20"/>
          <w:highlight w:val="none"/>
        </w:rPr>
      </w:pPr>
      <w:r>
        <w:rPr>
          <w:rFonts w:hint="eastAsia" w:ascii="Arial" w:hAnsi="Arial" w:eastAsia="黑体" w:cs="Arial"/>
          <w:bCs/>
          <w:sz w:val="28"/>
          <w:szCs w:val="20"/>
          <w:highlight w:val="none"/>
        </w:rPr>
        <w:t>不平衡报价分析及修正记录表</w:t>
      </w:r>
    </w:p>
    <w:p>
      <w:pPr>
        <w:rPr>
          <w:rFonts w:ascii="Arial" w:hAnsi="Arial" w:cs="Arial"/>
          <w:szCs w:val="20"/>
          <w:highlight w:val="none"/>
        </w:rPr>
      </w:pPr>
      <w:r>
        <w:rPr>
          <w:rFonts w:ascii="Arial" w:hAnsi="Arial" w:cs="Arial"/>
          <w:szCs w:val="20"/>
          <w:highlight w:val="none"/>
        </w:rPr>
        <w:t>投标人名称</w:t>
      </w:r>
      <w:r>
        <w:rPr>
          <w:rFonts w:hint="eastAsia" w:ascii="Arial" w:hAnsi="Arial" w:cs="Arial"/>
          <w:szCs w:val="20"/>
          <w:highlight w:val="none"/>
        </w:rPr>
        <w:t>：</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7"/>
        <w:gridCol w:w="1483"/>
        <w:gridCol w:w="932"/>
        <w:gridCol w:w="932"/>
        <w:gridCol w:w="1196"/>
        <w:gridCol w:w="900"/>
        <w:gridCol w:w="108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497"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编号</w:t>
            </w:r>
          </w:p>
        </w:tc>
        <w:tc>
          <w:tcPr>
            <w:tcW w:w="1483" w:type="dxa"/>
            <w:vAlign w:val="center"/>
          </w:tcPr>
          <w:p>
            <w:pPr>
              <w:spacing w:before="120" w:beforeLines="50" w:after="120" w:afterLines="50"/>
              <w:jc w:val="center"/>
              <w:rPr>
                <w:rFonts w:ascii="Arial" w:hAnsi="Arial" w:cs="Arial"/>
                <w:szCs w:val="20"/>
                <w:highlight w:val="none"/>
              </w:rPr>
            </w:pPr>
            <w:r>
              <w:rPr>
                <w:rFonts w:hint="eastAsia" w:cs="Arial"/>
                <w:szCs w:val="21"/>
                <w:highlight w:val="none"/>
              </w:rPr>
              <w:t>子目</w:t>
            </w:r>
            <w:r>
              <w:rPr>
                <w:rFonts w:ascii="Arial" w:hAnsi="Arial" w:cs="Arial"/>
                <w:szCs w:val="20"/>
                <w:highlight w:val="none"/>
              </w:rPr>
              <w:t>名称</w:t>
            </w:r>
          </w:p>
        </w:tc>
        <w:tc>
          <w:tcPr>
            <w:tcW w:w="932" w:type="dxa"/>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存在不平衡的单价</w:t>
            </w:r>
          </w:p>
        </w:tc>
        <w:tc>
          <w:tcPr>
            <w:tcW w:w="932"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修正后</w:t>
            </w:r>
            <w:r>
              <w:rPr>
                <w:rFonts w:hint="eastAsia" w:ascii="Arial" w:hAnsi="Arial" w:cs="Arial"/>
                <w:szCs w:val="20"/>
                <w:highlight w:val="none"/>
              </w:rPr>
              <w:t>的平衡单</w:t>
            </w:r>
            <w:r>
              <w:rPr>
                <w:rFonts w:ascii="Arial" w:hAnsi="Arial" w:cs="Arial"/>
                <w:szCs w:val="20"/>
                <w:highlight w:val="none"/>
              </w:rPr>
              <w:t xml:space="preserve">价 </w:t>
            </w:r>
          </w:p>
        </w:tc>
        <w:tc>
          <w:tcPr>
            <w:tcW w:w="1196" w:type="dxa"/>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单价差值（代数值）</w:t>
            </w:r>
          </w:p>
        </w:tc>
        <w:tc>
          <w:tcPr>
            <w:tcW w:w="900" w:type="dxa"/>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工程量</w:t>
            </w:r>
          </w:p>
        </w:tc>
        <w:tc>
          <w:tcPr>
            <w:tcW w:w="1080" w:type="dxa"/>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差额</w:t>
            </w:r>
          </w:p>
        </w:tc>
        <w:tc>
          <w:tcPr>
            <w:tcW w:w="1440" w:type="dxa"/>
            <w:vAlign w:val="center"/>
          </w:tcPr>
          <w:p>
            <w:pPr>
              <w:spacing w:before="120" w:beforeLines="50" w:after="120" w:afterLines="50"/>
              <w:jc w:val="center"/>
              <w:rPr>
                <w:rFonts w:ascii="Arial" w:hAnsi="Arial" w:cs="Arial"/>
                <w:szCs w:val="20"/>
                <w:highlight w:val="none"/>
              </w:rPr>
            </w:pPr>
            <w:r>
              <w:rPr>
                <w:rFonts w:ascii="Arial" w:hAnsi="Arial" w:cs="Arial"/>
                <w:szCs w:val="20"/>
                <w:highlight w:val="none"/>
              </w:rPr>
              <w:t>有关疑问事项备注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497" w:type="dxa"/>
            <w:vAlign w:val="center"/>
          </w:tcPr>
          <w:p>
            <w:pPr>
              <w:spacing w:before="120" w:beforeLines="50" w:after="120" w:afterLines="50"/>
              <w:rPr>
                <w:rFonts w:ascii="Arial" w:hAnsi="Arial" w:cs="Arial"/>
                <w:sz w:val="24"/>
                <w:szCs w:val="20"/>
                <w:highlight w:val="none"/>
              </w:rPr>
            </w:pPr>
          </w:p>
        </w:tc>
        <w:tc>
          <w:tcPr>
            <w:tcW w:w="1483"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932" w:type="dxa"/>
            <w:vAlign w:val="center"/>
          </w:tcPr>
          <w:p>
            <w:pPr>
              <w:spacing w:before="120" w:beforeLines="50" w:after="120" w:afterLines="50"/>
              <w:rPr>
                <w:rFonts w:ascii="Arial" w:hAnsi="Arial" w:cs="Arial"/>
                <w:sz w:val="24"/>
                <w:szCs w:val="20"/>
                <w:highlight w:val="none"/>
              </w:rPr>
            </w:pPr>
          </w:p>
        </w:tc>
        <w:tc>
          <w:tcPr>
            <w:tcW w:w="1196" w:type="dxa"/>
            <w:vAlign w:val="center"/>
          </w:tcPr>
          <w:p>
            <w:pPr>
              <w:spacing w:before="120" w:beforeLines="50" w:after="120" w:afterLines="50"/>
              <w:rPr>
                <w:rFonts w:ascii="Arial" w:hAnsi="Arial" w:cs="Arial"/>
                <w:sz w:val="24"/>
                <w:szCs w:val="20"/>
                <w:highlight w:val="none"/>
              </w:rPr>
            </w:pPr>
          </w:p>
        </w:tc>
        <w:tc>
          <w:tcPr>
            <w:tcW w:w="900" w:type="dxa"/>
            <w:vAlign w:val="center"/>
          </w:tcPr>
          <w:p>
            <w:pPr>
              <w:spacing w:before="120" w:beforeLines="50" w:after="120" w:afterLines="50"/>
              <w:rPr>
                <w:rFonts w:ascii="Arial" w:hAnsi="Arial" w:cs="Arial"/>
                <w:sz w:val="24"/>
                <w:szCs w:val="20"/>
                <w:highlight w:val="none"/>
              </w:rPr>
            </w:pPr>
          </w:p>
        </w:tc>
        <w:tc>
          <w:tcPr>
            <w:tcW w:w="1080" w:type="dxa"/>
          </w:tcPr>
          <w:p>
            <w:pPr>
              <w:spacing w:before="120" w:beforeLines="50" w:after="120" w:afterLines="50"/>
              <w:rPr>
                <w:rFonts w:ascii="Arial" w:hAnsi="Arial" w:cs="Arial"/>
                <w:sz w:val="24"/>
                <w:szCs w:val="20"/>
                <w:highlight w:val="none"/>
              </w:rPr>
            </w:pPr>
          </w:p>
        </w:tc>
        <w:tc>
          <w:tcPr>
            <w:tcW w:w="1440" w:type="dxa"/>
            <w:vAlign w:val="center"/>
          </w:tcPr>
          <w:p>
            <w:pPr>
              <w:spacing w:before="120" w:beforeLines="50" w:after="120" w:afterLines="50"/>
              <w:rPr>
                <w:rFonts w:ascii="Arial" w:hAnsi="Arial" w:cs="Arial"/>
                <w:sz w:val="24"/>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40" w:type="dxa"/>
            <w:gridSpan w:val="6"/>
            <w:vAlign w:val="center"/>
          </w:tcPr>
          <w:p>
            <w:pPr>
              <w:spacing w:before="120" w:beforeLines="50" w:after="120" w:afterLines="50"/>
              <w:jc w:val="center"/>
              <w:rPr>
                <w:rFonts w:ascii="Arial" w:hAnsi="Arial" w:cs="Arial"/>
                <w:szCs w:val="20"/>
                <w:highlight w:val="none"/>
              </w:rPr>
            </w:pPr>
            <w:r>
              <w:rPr>
                <w:rFonts w:hint="eastAsia" w:ascii="Arial" w:hAnsi="Arial" w:cs="Arial"/>
                <w:szCs w:val="20"/>
                <w:highlight w:val="none"/>
              </w:rPr>
              <w:t>H</w:t>
            </w:r>
            <w:r>
              <w:rPr>
                <w:rFonts w:ascii="Arial" w:hAnsi="Arial" w:cs="Arial"/>
                <w:szCs w:val="20"/>
                <w:highlight w:val="none"/>
              </w:rPr>
              <w:t>值（代数值）</w:t>
            </w:r>
          </w:p>
        </w:tc>
        <w:tc>
          <w:tcPr>
            <w:tcW w:w="1080" w:type="dxa"/>
            <w:vAlign w:val="center"/>
          </w:tcPr>
          <w:p>
            <w:pPr>
              <w:spacing w:before="120" w:beforeLines="50" w:after="120" w:afterLines="50"/>
              <w:rPr>
                <w:rFonts w:ascii="Arial" w:hAnsi="Arial" w:cs="Arial"/>
                <w:szCs w:val="20"/>
                <w:highlight w:val="none"/>
              </w:rPr>
            </w:pPr>
          </w:p>
        </w:tc>
        <w:tc>
          <w:tcPr>
            <w:tcW w:w="1440" w:type="dxa"/>
          </w:tcPr>
          <w:p>
            <w:pPr>
              <w:spacing w:before="120" w:beforeLines="50" w:after="120" w:afterLines="50"/>
              <w:rPr>
                <w:rFonts w:ascii="Arial" w:hAnsi="Arial" w:cs="Arial"/>
                <w:szCs w:val="20"/>
                <w:highlight w:val="none"/>
              </w:rPr>
            </w:pPr>
          </w:p>
        </w:tc>
      </w:tr>
    </w:tbl>
    <w:p>
      <w:pPr>
        <w:spacing w:line="360" w:lineRule="auto"/>
        <w:rPr>
          <w:rFonts w:ascii="Arial" w:hAnsi="Arial" w:cs="Arial"/>
          <w:sz w:val="24"/>
          <w:szCs w:val="20"/>
          <w:highlight w:val="none"/>
        </w:rPr>
      </w:pPr>
    </w:p>
    <w:p>
      <w:pPr>
        <w:spacing w:line="360" w:lineRule="auto"/>
        <w:rPr>
          <w:rFonts w:ascii="Arial" w:hAnsi="Arial" w:cs="Arial"/>
          <w:szCs w:val="20"/>
          <w:highlight w:val="none"/>
        </w:rPr>
      </w:pPr>
      <w:r>
        <w:rPr>
          <w:rFonts w:ascii="Arial" w:hAnsi="Arial" w:cs="Arial"/>
          <w:szCs w:val="20"/>
          <w:highlight w:val="none"/>
        </w:rPr>
        <w:t>评标委员会成员签名：                                 日期：   年    月   日</w:t>
      </w:r>
    </w:p>
    <w:p>
      <w:pPr>
        <w:tabs>
          <w:tab w:val="left" w:pos="4680"/>
        </w:tabs>
        <w:rPr>
          <w:rFonts w:ascii="Arial" w:hAnsi="Arial" w:eastAsia="黑体" w:cs="Arial"/>
          <w:bCs/>
          <w:sz w:val="24"/>
          <w:highlight w:val="none"/>
        </w:rPr>
      </w:pPr>
      <w:r>
        <w:rPr>
          <w:rFonts w:ascii="Arial" w:hAnsi="Arial" w:cs="Arial"/>
          <w:b/>
          <w:bCs/>
          <w:sz w:val="24"/>
          <w:szCs w:val="20"/>
          <w:highlight w:val="none"/>
        </w:rPr>
        <w:br w:type="page"/>
      </w:r>
      <w:r>
        <w:rPr>
          <w:rFonts w:ascii="Arial" w:hAnsi="Arial" w:eastAsia="黑体" w:cs="Arial"/>
          <w:sz w:val="24"/>
          <w:highlight w:val="none"/>
        </w:rPr>
        <w:t>附表</w:t>
      </w:r>
      <w:r>
        <w:rPr>
          <w:rFonts w:hint="eastAsia" w:ascii="Arial" w:hAnsi="Arial" w:cs="Arial"/>
          <w:b/>
          <w:bCs/>
          <w:sz w:val="24"/>
          <w:highlight w:val="none"/>
        </w:rPr>
        <w:t>C-7</w:t>
      </w:r>
      <w:r>
        <w:rPr>
          <w:rFonts w:ascii="Arial" w:hAnsi="Arial" w:cs="Arial"/>
          <w:b/>
          <w:bCs/>
          <w:sz w:val="24"/>
          <w:highlight w:val="none"/>
        </w:rPr>
        <w:t>：</w:t>
      </w:r>
      <w:r>
        <w:rPr>
          <w:rFonts w:ascii="Arial" w:hAnsi="Arial" w:eastAsia="黑体" w:cs="Arial"/>
          <w:bCs/>
          <w:sz w:val="24"/>
          <w:highlight w:val="none"/>
        </w:rPr>
        <w:t>投标报价之修正差额汇总表</w:t>
      </w:r>
    </w:p>
    <w:p>
      <w:pPr>
        <w:tabs>
          <w:tab w:val="left" w:pos="4680"/>
        </w:tabs>
        <w:rPr>
          <w:rFonts w:ascii="Arial" w:hAnsi="Arial" w:cs="Arial"/>
          <w:b/>
          <w:bCs/>
          <w:sz w:val="24"/>
          <w:szCs w:val="20"/>
          <w:highlight w:val="none"/>
        </w:rPr>
      </w:pPr>
    </w:p>
    <w:p>
      <w:pPr>
        <w:tabs>
          <w:tab w:val="left" w:pos="4680"/>
        </w:tabs>
        <w:jc w:val="center"/>
        <w:rPr>
          <w:rFonts w:ascii="Arial" w:hAnsi="Arial" w:eastAsia="黑体" w:cs="Arial"/>
          <w:bCs/>
          <w:sz w:val="28"/>
          <w:szCs w:val="20"/>
          <w:highlight w:val="none"/>
        </w:rPr>
      </w:pPr>
      <w:r>
        <w:rPr>
          <w:rFonts w:ascii="Arial" w:hAnsi="Arial" w:eastAsia="黑体" w:cs="Arial"/>
          <w:bCs/>
          <w:sz w:val="28"/>
          <w:highlight w:val="none"/>
        </w:rPr>
        <w:t>投标报价之修正差额汇总表</w:t>
      </w:r>
    </w:p>
    <w:p>
      <w:pPr>
        <w:tabs>
          <w:tab w:val="left" w:pos="4680"/>
        </w:tabs>
        <w:rPr>
          <w:rFonts w:ascii="Arial" w:hAnsi="Arial" w:cs="Arial"/>
          <w:szCs w:val="20"/>
          <w:highlight w:val="none"/>
        </w:rPr>
      </w:pPr>
      <w:r>
        <w:rPr>
          <w:rFonts w:ascii="Arial" w:hAnsi="Arial" w:cs="Arial"/>
          <w:szCs w:val="20"/>
          <w:highlight w:val="none"/>
        </w:rPr>
        <w:t>投标人名称</w:t>
      </w:r>
      <w:r>
        <w:rPr>
          <w:rFonts w:hint="eastAsia" w:ascii="Arial" w:hAnsi="Arial" w:cs="Arial"/>
          <w:szCs w:val="20"/>
          <w:highlight w:val="none"/>
        </w:rPr>
        <w:t>：</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080"/>
        <w:gridCol w:w="1440"/>
        <w:gridCol w:w="144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 w:hRule="atLeast"/>
        </w:trPr>
        <w:tc>
          <w:tcPr>
            <w:tcW w:w="720" w:type="dxa"/>
            <w:vMerge w:val="restart"/>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序号</w:t>
            </w:r>
          </w:p>
        </w:tc>
        <w:tc>
          <w:tcPr>
            <w:tcW w:w="1080" w:type="dxa"/>
            <w:vMerge w:val="restart"/>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差值代号</w:t>
            </w:r>
          </w:p>
        </w:tc>
        <w:tc>
          <w:tcPr>
            <w:tcW w:w="2880" w:type="dxa"/>
            <w:gridSpan w:val="2"/>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差额代数值</w:t>
            </w:r>
          </w:p>
        </w:tc>
        <w:tc>
          <w:tcPr>
            <w:tcW w:w="3600" w:type="dxa"/>
            <w:vMerge w:val="restart"/>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修正理由及有关事项说明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 w:hRule="atLeast"/>
        </w:trPr>
        <w:tc>
          <w:tcPr>
            <w:tcW w:w="720" w:type="dxa"/>
            <w:vMerge w:val="continue"/>
          </w:tcPr>
          <w:p>
            <w:pPr>
              <w:tabs>
                <w:tab w:val="left" w:pos="4680"/>
              </w:tabs>
              <w:spacing w:line="360" w:lineRule="auto"/>
              <w:rPr>
                <w:rFonts w:ascii="Arial" w:hAnsi="Arial" w:cs="Arial"/>
                <w:szCs w:val="20"/>
                <w:highlight w:val="none"/>
              </w:rPr>
            </w:pPr>
          </w:p>
        </w:tc>
        <w:tc>
          <w:tcPr>
            <w:tcW w:w="1080" w:type="dxa"/>
            <w:vMerge w:val="continue"/>
          </w:tcPr>
          <w:p>
            <w:pPr>
              <w:tabs>
                <w:tab w:val="left" w:pos="4680"/>
              </w:tabs>
              <w:spacing w:line="360" w:lineRule="auto"/>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评审后</w:t>
            </w:r>
          </w:p>
        </w:tc>
        <w:tc>
          <w:tcPr>
            <w:tcW w:w="144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澄清后修正</w:t>
            </w:r>
          </w:p>
        </w:tc>
        <w:tc>
          <w:tcPr>
            <w:tcW w:w="3600" w:type="dxa"/>
            <w:vMerge w:val="continue"/>
          </w:tcPr>
          <w:p>
            <w:pPr>
              <w:tabs>
                <w:tab w:val="left" w:pos="4680"/>
              </w:tabs>
              <w:spacing w:line="360" w:lineRule="auto"/>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1</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A</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2</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B</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3</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C</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4</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D</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5</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E</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6</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F</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7</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G</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8</w:t>
            </w:r>
          </w:p>
        </w:tc>
        <w:tc>
          <w:tcPr>
            <w:tcW w:w="108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H</w:t>
            </w:r>
          </w:p>
        </w:tc>
        <w:tc>
          <w:tcPr>
            <w:tcW w:w="1440" w:type="dxa"/>
            <w:vAlign w:val="center"/>
          </w:tcPr>
          <w:p>
            <w:pPr>
              <w:tabs>
                <w:tab w:val="left" w:pos="4680"/>
              </w:tabs>
              <w:spacing w:line="360" w:lineRule="auto"/>
              <w:jc w:val="center"/>
              <w:rPr>
                <w:rFonts w:ascii="Arial" w:hAnsi="Arial" w:cs="Arial"/>
                <w:szCs w:val="20"/>
                <w:highlight w:val="none"/>
              </w:rPr>
            </w:pPr>
          </w:p>
        </w:tc>
        <w:tc>
          <w:tcPr>
            <w:tcW w:w="1440" w:type="dxa"/>
            <w:vAlign w:val="center"/>
          </w:tcPr>
          <w:p>
            <w:pPr>
              <w:tabs>
                <w:tab w:val="left" w:pos="4680"/>
              </w:tabs>
              <w:spacing w:line="360" w:lineRule="auto"/>
              <w:jc w:val="center"/>
              <w:rPr>
                <w:rFonts w:ascii="Arial" w:hAnsi="Arial" w:cs="Arial"/>
                <w:szCs w:val="20"/>
                <w:highlight w:val="none"/>
              </w:rPr>
            </w:pPr>
          </w:p>
        </w:tc>
        <w:tc>
          <w:tcPr>
            <w:tcW w:w="3600" w:type="dxa"/>
            <w:vAlign w:val="center"/>
          </w:tcPr>
          <w:p>
            <w:pPr>
              <w:tabs>
                <w:tab w:val="left" w:pos="4680"/>
              </w:tabs>
              <w:spacing w:line="360" w:lineRule="auto"/>
              <w:jc w:val="center"/>
              <w:rPr>
                <w:rFonts w:ascii="Arial" w:hAnsi="Arial" w:cs="Arial"/>
                <w:szCs w:val="20"/>
                <w:highlight w:val="none"/>
              </w:rPr>
            </w:pPr>
          </w:p>
          <w:p>
            <w:pPr>
              <w:tabs>
                <w:tab w:val="left" w:pos="4680"/>
              </w:tabs>
              <w:spacing w:line="360" w:lineRule="auto"/>
              <w:jc w:val="center"/>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800" w:type="dxa"/>
            <w:gridSpan w:val="2"/>
            <w:vAlign w:val="center"/>
          </w:tcPr>
          <w:p>
            <w:pPr>
              <w:tabs>
                <w:tab w:val="left" w:pos="4680"/>
              </w:tabs>
              <w:spacing w:before="120" w:beforeLines="50" w:after="120" w:afterLines="50" w:line="360" w:lineRule="auto"/>
              <w:jc w:val="center"/>
              <w:rPr>
                <w:rFonts w:ascii="Arial" w:hAnsi="Arial" w:cs="Arial"/>
                <w:szCs w:val="20"/>
                <w:highlight w:val="none"/>
              </w:rPr>
            </w:pPr>
            <w:r>
              <w:rPr>
                <w:rFonts w:ascii="Arial" w:hAnsi="Arial" w:cs="Arial"/>
                <w:highlight w:val="none"/>
              </w:rPr>
              <w:t>合计</w:t>
            </w:r>
          </w:p>
        </w:tc>
        <w:tc>
          <w:tcPr>
            <w:tcW w:w="1440" w:type="dxa"/>
          </w:tcPr>
          <w:p>
            <w:pPr>
              <w:tabs>
                <w:tab w:val="left" w:pos="4680"/>
              </w:tabs>
              <w:spacing w:before="120" w:beforeLines="50" w:after="120" w:afterLines="50" w:line="360" w:lineRule="auto"/>
              <w:rPr>
                <w:rFonts w:ascii="Arial" w:hAnsi="Arial" w:cs="Arial"/>
                <w:szCs w:val="20"/>
                <w:highlight w:val="none"/>
              </w:rPr>
            </w:pPr>
            <w:r>
              <w:rPr>
                <w:rFonts w:ascii="Arial" w:hAnsi="Arial" w:cs="Arial"/>
                <w:highlight w:val="none"/>
              </w:rPr>
              <w:t>Δ1：</w:t>
            </w:r>
          </w:p>
        </w:tc>
        <w:tc>
          <w:tcPr>
            <w:tcW w:w="1440" w:type="dxa"/>
          </w:tcPr>
          <w:p>
            <w:pPr>
              <w:tabs>
                <w:tab w:val="left" w:pos="4680"/>
              </w:tabs>
              <w:spacing w:before="120" w:beforeLines="50" w:after="120" w:afterLines="50" w:line="360" w:lineRule="auto"/>
              <w:rPr>
                <w:rFonts w:ascii="Arial" w:hAnsi="Arial" w:cs="Arial"/>
                <w:szCs w:val="20"/>
                <w:highlight w:val="none"/>
              </w:rPr>
            </w:pPr>
            <w:r>
              <w:rPr>
                <w:rFonts w:ascii="Arial" w:hAnsi="Arial" w:cs="Arial"/>
                <w:highlight w:val="none"/>
              </w:rPr>
              <w:t>Δ2：</w:t>
            </w:r>
          </w:p>
        </w:tc>
        <w:tc>
          <w:tcPr>
            <w:tcW w:w="3600" w:type="dxa"/>
          </w:tcPr>
          <w:p>
            <w:pPr>
              <w:tabs>
                <w:tab w:val="left" w:pos="4680"/>
              </w:tabs>
              <w:spacing w:before="120" w:beforeLines="50" w:after="120" w:afterLines="50" w:line="360" w:lineRule="auto"/>
              <w:rPr>
                <w:rFonts w:ascii="Arial" w:hAnsi="Arial" w:cs="Arial"/>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20" w:type="dxa"/>
            <w:vAlign w:val="center"/>
          </w:tcPr>
          <w:p>
            <w:pPr>
              <w:tabs>
                <w:tab w:val="left" w:pos="4680"/>
              </w:tabs>
              <w:spacing w:line="360" w:lineRule="auto"/>
              <w:jc w:val="center"/>
              <w:rPr>
                <w:rFonts w:ascii="Arial" w:hAnsi="Arial" w:cs="Arial"/>
                <w:szCs w:val="20"/>
                <w:highlight w:val="none"/>
              </w:rPr>
            </w:pPr>
            <w:r>
              <w:rPr>
                <w:rFonts w:ascii="Arial" w:hAnsi="Arial" w:cs="Arial"/>
                <w:szCs w:val="20"/>
                <w:highlight w:val="none"/>
              </w:rPr>
              <w:t>备注</w:t>
            </w:r>
          </w:p>
        </w:tc>
        <w:tc>
          <w:tcPr>
            <w:tcW w:w="7560" w:type="dxa"/>
            <w:gridSpan w:val="4"/>
          </w:tcPr>
          <w:p>
            <w:pPr>
              <w:tabs>
                <w:tab w:val="left" w:pos="4680"/>
              </w:tabs>
              <w:spacing w:line="360" w:lineRule="auto"/>
              <w:rPr>
                <w:rFonts w:ascii="Arial" w:hAnsi="Arial" w:cs="Arial"/>
                <w:szCs w:val="20"/>
                <w:highlight w:val="none"/>
              </w:rPr>
            </w:pPr>
            <w:r>
              <w:rPr>
                <w:rFonts w:ascii="Arial" w:hAnsi="Arial" w:cs="Arial"/>
                <w:szCs w:val="20"/>
                <w:highlight w:val="none"/>
              </w:rPr>
              <w:t>本表修正的计算应附详细分析计算表。</w:t>
            </w:r>
          </w:p>
        </w:tc>
      </w:tr>
    </w:tbl>
    <w:p>
      <w:pPr>
        <w:pStyle w:val="29"/>
        <w:tabs>
          <w:tab w:val="left" w:pos="4680"/>
        </w:tabs>
        <w:spacing w:line="360" w:lineRule="auto"/>
        <w:ind w:left="5250"/>
        <w:rPr>
          <w:rFonts w:ascii="Arial" w:hAnsi="Arial" w:cs="Arial"/>
          <w:highlight w:val="none"/>
        </w:rPr>
      </w:pPr>
    </w:p>
    <w:p>
      <w:pPr>
        <w:tabs>
          <w:tab w:val="left" w:pos="4680"/>
        </w:tabs>
        <w:spacing w:line="360" w:lineRule="auto"/>
        <w:rPr>
          <w:rFonts w:ascii="Arial" w:hAnsi="Arial" w:cs="Arial"/>
          <w:szCs w:val="20"/>
          <w:highlight w:val="none"/>
        </w:rPr>
      </w:pPr>
      <w:r>
        <w:rPr>
          <w:rFonts w:ascii="Arial" w:hAnsi="Arial" w:cs="Arial"/>
          <w:szCs w:val="20"/>
          <w:highlight w:val="none"/>
        </w:rPr>
        <w:t>评标委员会成员签名：                                日期：   年    月   日</w:t>
      </w:r>
    </w:p>
    <w:p>
      <w:pPr>
        <w:widowControl/>
        <w:jc w:val="left"/>
        <w:rPr>
          <w:rFonts w:ascii="黑体" w:hAnsi="黑体" w:eastAsia="黑体" w:cs="Times New Roman"/>
          <w:b/>
          <w:kern w:val="0"/>
          <w:sz w:val="30"/>
          <w:szCs w:val="30"/>
          <w:highlight w:val="none"/>
        </w:rPr>
      </w:pPr>
      <w:r>
        <w:rPr>
          <w:rFonts w:ascii="黑体" w:hAnsi="黑体" w:eastAsia="黑体" w:cs="Times New Roman"/>
          <w:b/>
          <w:kern w:val="0"/>
          <w:sz w:val="30"/>
          <w:szCs w:val="30"/>
          <w:highlight w:val="none"/>
        </w:rPr>
        <w:br w:type="page"/>
      </w:r>
    </w:p>
    <w:p>
      <w:pPr>
        <w:widowControl/>
        <w:spacing w:line="360" w:lineRule="auto"/>
        <w:jc w:val="center"/>
        <w:outlineLvl w:val="0"/>
        <w:rPr>
          <w:rFonts w:ascii="黑体" w:hAnsi="黑体" w:eastAsia="黑体" w:cs="Times New Roman"/>
          <w:b/>
          <w:kern w:val="0"/>
          <w:sz w:val="30"/>
          <w:szCs w:val="30"/>
          <w:highlight w:val="none"/>
        </w:rPr>
      </w:pPr>
      <w:bookmarkStart w:id="369" w:name="_Toc16066"/>
      <w:r>
        <w:rPr>
          <w:rFonts w:hint="eastAsia" w:ascii="黑体" w:hAnsi="黑体" w:eastAsia="黑体" w:cs="Times New Roman"/>
          <w:b/>
          <w:kern w:val="0"/>
          <w:sz w:val="30"/>
          <w:szCs w:val="30"/>
          <w:highlight w:val="none"/>
        </w:rPr>
        <w:t>第四章  合同条款及格式</w:t>
      </w:r>
      <w:bookmarkEnd w:id="369"/>
    </w:p>
    <w:p>
      <w:pPr>
        <w:rPr>
          <w:sz w:val="28"/>
          <w:szCs w:val="28"/>
          <w:highlight w:val="none"/>
        </w:rPr>
      </w:pPr>
    </w:p>
    <w:p>
      <w:pPr>
        <w:pStyle w:val="282"/>
        <w:spacing w:before="0" w:after="120" w:afterLines="50" w:line="300" w:lineRule="auto"/>
        <w:jc w:val="center"/>
        <w:rPr>
          <w:rFonts w:ascii="Arial" w:hAnsi="Arial" w:cs="Arial"/>
          <w:highlight w:val="none"/>
        </w:rPr>
      </w:pPr>
      <w:bookmarkStart w:id="370" w:name="_Toc434331175"/>
      <w:bookmarkStart w:id="371" w:name="_Toc22962"/>
      <w:bookmarkStart w:id="372" w:name="_Toc342296261"/>
      <w:r>
        <w:rPr>
          <w:rFonts w:hint="eastAsia" w:ascii="Arial" w:hAnsi="Arial" w:cs="Arial"/>
          <w:highlight w:val="none"/>
        </w:rPr>
        <w:t>第一节 通用合同条款</w:t>
      </w:r>
      <w:bookmarkEnd w:id="370"/>
      <w:bookmarkEnd w:id="371"/>
      <w:bookmarkEnd w:id="372"/>
    </w:p>
    <w:p>
      <w:pPr>
        <w:rPr>
          <w:rFonts w:ascii="Arial" w:hAnsi="Arial" w:cs="Arial"/>
          <w:highlight w:val="none"/>
        </w:rPr>
      </w:pPr>
    </w:p>
    <w:p>
      <w:pPr>
        <w:spacing w:line="400" w:lineRule="exact"/>
        <w:jc w:val="center"/>
        <w:rPr>
          <w:rFonts w:ascii="黑体" w:eastAsia="黑体"/>
          <w:sz w:val="28"/>
          <w:szCs w:val="28"/>
          <w:highlight w:val="none"/>
        </w:rPr>
      </w:pPr>
    </w:p>
    <w:p>
      <w:pPr>
        <w:rPr>
          <w:rFonts w:ascii="Arial" w:hAnsi="Arial" w:cs="Arial"/>
          <w:highlight w:val="none"/>
        </w:rPr>
      </w:pPr>
    </w:p>
    <w:p>
      <w:pPr>
        <w:ind w:firstLine="525" w:firstLineChars="250"/>
        <w:rPr>
          <w:rFonts w:ascii="Arial" w:hAnsi="Arial" w:cs="Arial"/>
          <w:highlight w:val="none"/>
        </w:rPr>
      </w:pPr>
    </w:p>
    <w:p>
      <w:pPr>
        <w:ind w:firstLine="420" w:firstLineChars="200"/>
        <w:rPr>
          <w:rFonts w:ascii="Arial" w:hAnsi="Arial" w:cs="Arial"/>
          <w:highlight w:val="none"/>
        </w:rPr>
      </w:pPr>
    </w:p>
    <w:p>
      <w:pPr>
        <w:rPr>
          <w:rFonts w:ascii="Arial" w:hAnsi="Arial" w:cs="Arial"/>
          <w:highlight w:val="none"/>
        </w:rPr>
        <w:sectPr>
          <w:footerReference r:id="rId8"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linePitch="312" w:charSpace="0"/>
        </w:sectPr>
      </w:pPr>
    </w:p>
    <w:p>
      <w:pPr>
        <w:spacing w:line="400" w:lineRule="exact"/>
        <w:jc w:val="center"/>
        <w:rPr>
          <w:rFonts w:ascii="黑体" w:eastAsia="黑体"/>
          <w:sz w:val="28"/>
          <w:szCs w:val="28"/>
          <w:highlight w:val="none"/>
        </w:rPr>
      </w:pPr>
      <w:r>
        <w:rPr>
          <w:rFonts w:hint="eastAsia" w:ascii="黑体" w:eastAsia="黑体"/>
          <w:sz w:val="28"/>
          <w:szCs w:val="28"/>
          <w:highlight w:val="none"/>
        </w:rPr>
        <w:t>通用合同条款</w:t>
      </w:r>
    </w:p>
    <w:p>
      <w:pPr>
        <w:spacing w:line="400" w:lineRule="exact"/>
        <w:rPr>
          <w:highlight w:val="none"/>
        </w:rPr>
      </w:pPr>
    </w:p>
    <w:p>
      <w:pPr>
        <w:pStyle w:val="282"/>
        <w:spacing w:before="0"/>
        <w:outlineLvl w:val="0"/>
        <w:rPr>
          <w:highlight w:val="none"/>
        </w:rPr>
      </w:pPr>
      <w:bookmarkStart w:id="373" w:name="_Toc342296262"/>
      <w:bookmarkStart w:id="374" w:name="_Toc14861"/>
      <w:bookmarkStart w:id="375" w:name="_Toc338944704"/>
      <w:bookmarkStart w:id="376" w:name="_Toc434331176"/>
      <w:r>
        <w:rPr>
          <w:rFonts w:hint="eastAsia"/>
          <w:highlight w:val="none"/>
        </w:rPr>
        <w:t>1. 一般约定</w:t>
      </w:r>
      <w:bookmarkEnd w:id="373"/>
      <w:bookmarkEnd w:id="374"/>
      <w:bookmarkEnd w:id="375"/>
      <w:bookmarkEnd w:id="376"/>
    </w:p>
    <w:p>
      <w:pPr>
        <w:pStyle w:val="199"/>
        <w:outlineLvl w:val="0"/>
        <w:rPr>
          <w:highlight w:val="none"/>
        </w:rPr>
      </w:pPr>
      <w:bookmarkStart w:id="377" w:name="_Toc434331177"/>
      <w:bookmarkStart w:id="378" w:name="_Toc18347"/>
      <w:bookmarkStart w:id="379" w:name="_Toc338944705"/>
      <w:bookmarkStart w:id="380" w:name="_Toc342296263"/>
      <w:r>
        <w:rPr>
          <w:rFonts w:hint="eastAsia"/>
          <w:highlight w:val="none"/>
        </w:rPr>
        <w:t>1.1 词语定义</w:t>
      </w:r>
      <w:bookmarkEnd w:id="377"/>
      <w:bookmarkEnd w:id="378"/>
      <w:bookmarkEnd w:id="379"/>
      <w:bookmarkEnd w:id="380"/>
    </w:p>
    <w:p>
      <w:pPr>
        <w:spacing w:line="400" w:lineRule="exact"/>
        <w:ind w:firstLine="420" w:firstLineChars="200"/>
        <w:rPr>
          <w:highlight w:val="none"/>
        </w:rPr>
      </w:pPr>
      <w:r>
        <w:rPr>
          <w:rFonts w:hint="eastAsia"/>
          <w:highlight w:val="none"/>
        </w:rPr>
        <w:t>通用合同条款、专用合同条款中的下列词语应具有本款所赋予的含义。</w:t>
      </w:r>
    </w:p>
    <w:p>
      <w:pPr>
        <w:spacing w:line="400" w:lineRule="exact"/>
        <w:ind w:firstLine="420" w:firstLineChars="200"/>
        <w:rPr>
          <w:highlight w:val="none"/>
        </w:rPr>
      </w:pPr>
      <w:r>
        <w:rPr>
          <w:rFonts w:hint="eastAsia"/>
          <w:highlight w:val="none"/>
        </w:rPr>
        <w:t xml:space="preserve">1.1.1 </w:t>
      </w:r>
      <w:r>
        <w:rPr>
          <w:rFonts w:hint="eastAsia" w:ascii="黑体" w:eastAsia="黑体"/>
          <w:highlight w:val="none"/>
        </w:rPr>
        <w:t>合同</w:t>
      </w:r>
    </w:p>
    <w:p>
      <w:pPr>
        <w:spacing w:line="400" w:lineRule="exact"/>
        <w:ind w:firstLine="718" w:firstLineChars="342"/>
        <w:rPr>
          <w:highlight w:val="none"/>
        </w:rPr>
      </w:pPr>
      <w:r>
        <w:rPr>
          <w:rFonts w:hint="eastAsia"/>
          <w:highlight w:val="none"/>
        </w:rPr>
        <w:t>1.1.1.1 合同文件（或称合同）：指合同协议书、中标通知书、投标函及投标函附录、专用合同条款、通用合同条款、技术标准和要求、图纸、已标价工程量清单，以及其他合同文件。</w:t>
      </w:r>
    </w:p>
    <w:p>
      <w:pPr>
        <w:spacing w:line="400" w:lineRule="exact"/>
        <w:ind w:firstLine="718" w:firstLineChars="342"/>
        <w:rPr>
          <w:highlight w:val="none"/>
        </w:rPr>
      </w:pPr>
      <w:r>
        <w:rPr>
          <w:rFonts w:hint="eastAsia"/>
          <w:highlight w:val="none"/>
        </w:rPr>
        <w:t>1.1.1.2 合同协议书：指第1.5款所指的合同协议书。</w:t>
      </w:r>
    </w:p>
    <w:p>
      <w:pPr>
        <w:spacing w:line="400" w:lineRule="exact"/>
        <w:ind w:firstLine="718" w:firstLineChars="342"/>
        <w:rPr>
          <w:highlight w:val="none"/>
        </w:rPr>
      </w:pPr>
      <w:r>
        <w:rPr>
          <w:rFonts w:hint="eastAsia"/>
          <w:highlight w:val="none"/>
        </w:rPr>
        <w:t>1.1.1.3 中标通知书：指发包人通知承包人中标的函件。</w:t>
      </w:r>
    </w:p>
    <w:p>
      <w:pPr>
        <w:spacing w:line="400" w:lineRule="exact"/>
        <w:ind w:firstLine="718" w:firstLineChars="342"/>
        <w:rPr>
          <w:dstrike/>
          <w:szCs w:val="21"/>
          <w:highlight w:val="none"/>
        </w:rPr>
      </w:pPr>
      <w:r>
        <w:rPr>
          <w:rFonts w:hint="eastAsia"/>
          <w:highlight w:val="none"/>
        </w:rPr>
        <w:t>1.1.1.4 投标函：指构成合同文件组成部分的由承包人填写并签署的投标函。</w:t>
      </w:r>
    </w:p>
    <w:p>
      <w:pPr>
        <w:spacing w:line="400" w:lineRule="exact"/>
        <w:ind w:firstLine="718" w:firstLineChars="342"/>
        <w:rPr>
          <w:highlight w:val="none"/>
        </w:rPr>
      </w:pPr>
      <w:r>
        <w:rPr>
          <w:rFonts w:hint="eastAsia"/>
          <w:highlight w:val="none"/>
        </w:rPr>
        <w:t>1.1.1.5 投标函附录：指附在投标函后构成合同文件的投标函附录。</w:t>
      </w:r>
    </w:p>
    <w:p>
      <w:pPr>
        <w:spacing w:line="400" w:lineRule="exact"/>
        <w:ind w:firstLine="718" w:firstLineChars="342"/>
        <w:rPr>
          <w:highlight w:val="none"/>
        </w:rPr>
      </w:pPr>
      <w:r>
        <w:rPr>
          <w:rFonts w:hint="eastAsia"/>
          <w:highlight w:val="none"/>
        </w:rPr>
        <w:t>1.1.1.6 技术标准和要求：指构成合同文件组成部分的名为技术标准和要求的文件，包括合同双方当事人约定对其所作的修改或补充。</w:t>
      </w:r>
    </w:p>
    <w:p>
      <w:pPr>
        <w:spacing w:line="400" w:lineRule="exact"/>
        <w:ind w:firstLine="718" w:firstLineChars="342"/>
        <w:rPr>
          <w:highlight w:val="none"/>
        </w:rPr>
      </w:pPr>
      <w:r>
        <w:rPr>
          <w:rFonts w:hint="eastAsia"/>
          <w:highlight w:val="none"/>
        </w:rPr>
        <w:t>1.1.1.7图纸：指包含在合同中的工程图纸，以及由发包人按合同约定提供的任何补充和修改的图纸，包括配套的说明。</w:t>
      </w:r>
    </w:p>
    <w:p>
      <w:pPr>
        <w:spacing w:line="400" w:lineRule="exact"/>
        <w:ind w:firstLine="718" w:firstLineChars="342"/>
        <w:rPr>
          <w:highlight w:val="none"/>
        </w:rPr>
      </w:pPr>
      <w:r>
        <w:rPr>
          <w:rFonts w:hint="eastAsia"/>
          <w:highlight w:val="none"/>
        </w:rPr>
        <w:t>1.1.1.8 已标价工程量清单：指构成合同文件组成部分的由承包人按照规定的格式和要求填写并标明价格的工程量清单。</w:t>
      </w:r>
    </w:p>
    <w:p>
      <w:pPr>
        <w:spacing w:line="400" w:lineRule="exact"/>
        <w:ind w:firstLine="718" w:firstLineChars="342"/>
        <w:rPr>
          <w:highlight w:val="none"/>
        </w:rPr>
      </w:pPr>
      <w:r>
        <w:rPr>
          <w:rFonts w:hint="eastAsia"/>
          <w:highlight w:val="none"/>
        </w:rPr>
        <w:t>1.1.1.9 其他合同文件：指经合同双方当事人确认构成合同文件的其他文件。</w:t>
      </w:r>
    </w:p>
    <w:p>
      <w:pPr>
        <w:spacing w:line="400" w:lineRule="exact"/>
        <w:ind w:firstLine="420" w:firstLineChars="200"/>
        <w:rPr>
          <w:highlight w:val="none"/>
        </w:rPr>
      </w:pPr>
      <w:r>
        <w:rPr>
          <w:rFonts w:hint="eastAsia"/>
          <w:highlight w:val="none"/>
        </w:rPr>
        <w:t xml:space="preserve">1.1.2 </w:t>
      </w:r>
      <w:r>
        <w:rPr>
          <w:rFonts w:hint="eastAsia" w:ascii="黑体" w:eastAsia="黑体"/>
          <w:highlight w:val="none"/>
        </w:rPr>
        <w:t>合同当事人和人员</w:t>
      </w:r>
    </w:p>
    <w:p>
      <w:pPr>
        <w:spacing w:line="400" w:lineRule="exact"/>
        <w:ind w:firstLine="718" w:firstLineChars="342"/>
        <w:rPr>
          <w:highlight w:val="none"/>
        </w:rPr>
      </w:pPr>
      <w:r>
        <w:rPr>
          <w:rFonts w:hint="eastAsia"/>
          <w:highlight w:val="none"/>
        </w:rPr>
        <w:t>1.1.2.1 合同当事人:指发包人和（或）承包人。</w:t>
      </w:r>
    </w:p>
    <w:p>
      <w:pPr>
        <w:spacing w:line="400" w:lineRule="exact"/>
        <w:ind w:firstLine="718" w:firstLineChars="342"/>
        <w:rPr>
          <w:highlight w:val="none"/>
        </w:rPr>
      </w:pPr>
      <w:r>
        <w:rPr>
          <w:rFonts w:hint="eastAsia"/>
          <w:highlight w:val="none"/>
        </w:rPr>
        <w:t>1.1.2.2 发包人：指专用合同条款中指明并与承包人在合同协议书中签字的当事人。</w:t>
      </w:r>
    </w:p>
    <w:p>
      <w:pPr>
        <w:spacing w:line="400" w:lineRule="exact"/>
        <w:ind w:firstLine="718" w:firstLineChars="342"/>
        <w:rPr>
          <w:highlight w:val="none"/>
        </w:rPr>
      </w:pPr>
      <w:r>
        <w:rPr>
          <w:rFonts w:hint="eastAsia"/>
          <w:highlight w:val="none"/>
        </w:rPr>
        <w:t>1.1.2.3 承包人：指与发包人签订合同协议书的当事人。</w:t>
      </w:r>
    </w:p>
    <w:p>
      <w:pPr>
        <w:spacing w:line="400" w:lineRule="exact"/>
        <w:ind w:firstLine="718" w:firstLineChars="342"/>
        <w:rPr>
          <w:highlight w:val="none"/>
        </w:rPr>
      </w:pPr>
      <w:r>
        <w:rPr>
          <w:rFonts w:hint="eastAsia"/>
          <w:highlight w:val="none"/>
        </w:rPr>
        <w:t>1.1.2.4 承包人项目经理：指承包人派驻施工场地的全权负责人。</w:t>
      </w:r>
    </w:p>
    <w:p>
      <w:pPr>
        <w:spacing w:line="400" w:lineRule="exact"/>
        <w:ind w:firstLine="718" w:firstLineChars="342"/>
        <w:rPr>
          <w:highlight w:val="none"/>
        </w:rPr>
      </w:pPr>
      <w:r>
        <w:rPr>
          <w:rFonts w:hint="eastAsia"/>
          <w:highlight w:val="none"/>
        </w:rPr>
        <w:t>1.1.2.5 分包人：指从承包人处分包合同中某一部分工程，并与其签订分包合同的分包人。</w:t>
      </w:r>
    </w:p>
    <w:p>
      <w:pPr>
        <w:spacing w:line="400" w:lineRule="exact"/>
        <w:ind w:firstLine="718" w:firstLineChars="342"/>
        <w:rPr>
          <w:highlight w:val="none"/>
        </w:rPr>
      </w:pPr>
      <w:r>
        <w:rPr>
          <w:rFonts w:hint="eastAsia"/>
          <w:highlight w:val="none"/>
        </w:rPr>
        <w:t>1.1.2.6 监理人：指在专用合同条款中指明的，受发包人委托对合同履行实施管理的法人或其他组织。</w:t>
      </w:r>
    </w:p>
    <w:p>
      <w:pPr>
        <w:spacing w:line="400" w:lineRule="exact"/>
        <w:ind w:firstLine="718" w:firstLineChars="342"/>
        <w:rPr>
          <w:highlight w:val="none"/>
        </w:rPr>
      </w:pPr>
      <w:r>
        <w:rPr>
          <w:rFonts w:hint="eastAsia"/>
          <w:highlight w:val="none"/>
        </w:rPr>
        <w:t>1.1.2.7 总监理工程师（总监）：指由监理人委派常驻施工场地对合同履行实施管理的全权负责人。</w:t>
      </w:r>
    </w:p>
    <w:p>
      <w:pPr>
        <w:spacing w:line="400" w:lineRule="exact"/>
        <w:ind w:firstLine="420" w:firstLineChars="200"/>
        <w:rPr>
          <w:highlight w:val="none"/>
        </w:rPr>
      </w:pPr>
      <w:r>
        <w:rPr>
          <w:rFonts w:hint="eastAsia"/>
          <w:highlight w:val="none"/>
        </w:rPr>
        <w:t xml:space="preserve">1.1.3 </w:t>
      </w:r>
      <w:r>
        <w:rPr>
          <w:rFonts w:hint="eastAsia" w:ascii="黑体" w:eastAsia="黑体"/>
          <w:highlight w:val="none"/>
        </w:rPr>
        <w:t>工程和设备</w:t>
      </w:r>
    </w:p>
    <w:p>
      <w:pPr>
        <w:spacing w:line="400" w:lineRule="exact"/>
        <w:ind w:firstLine="718" w:firstLineChars="342"/>
        <w:rPr>
          <w:highlight w:val="none"/>
        </w:rPr>
      </w:pPr>
      <w:r>
        <w:rPr>
          <w:rFonts w:hint="eastAsia"/>
          <w:highlight w:val="none"/>
        </w:rPr>
        <w:t>1.1.3.1 工程：指永久工程和（或）临时工程。</w:t>
      </w:r>
    </w:p>
    <w:p>
      <w:pPr>
        <w:spacing w:line="400" w:lineRule="exact"/>
        <w:ind w:firstLine="718" w:firstLineChars="342"/>
        <w:rPr>
          <w:highlight w:val="none"/>
        </w:rPr>
      </w:pPr>
      <w:r>
        <w:rPr>
          <w:rFonts w:hint="eastAsia"/>
          <w:highlight w:val="none"/>
        </w:rPr>
        <w:t>1.1.3.2 永久工程：指按合同约定建造并移交给发包人的工程，包括工程设备。</w:t>
      </w:r>
    </w:p>
    <w:p>
      <w:pPr>
        <w:spacing w:line="400" w:lineRule="exact"/>
        <w:ind w:firstLine="718" w:firstLineChars="342"/>
        <w:rPr>
          <w:highlight w:val="none"/>
        </w:rPr>
      </w:pPr>
      <w:r>
        <w:rPr>
          <w:rFonts w:hint="eastAsia"/>
          <w:highlight w:val="none"/>
        </w:rPr>
        <w:t>1.1.3.3 临时工程：指为完成合同约定的永久工程所修建的各类临时性工程，不包括施工设备。</w:t>
      </w:r>
    </w:p>
    <w:p>
      <w:pPr>
        <w:spacing w:line="400" w:lineRule="exact"/>
        <w:ind w:firstLine="718" w:firstLineChars="342"/>
        <w:rPr>
          <w:highlight w:val="none"/>
        </w:rPr>
      </w:pPr>
      <w:r>
        <w:rPr>
          <w:rFonts w:hint="eastAsia"/>
          <w:highlight w:val="none"/>
        </w:rPr>
        <w:t>1.1.3.4 单位工程：指专用合同条款中指明特定范围的永久工程。</w:t>
      </w:r>
    </w:p>
    <w:p>
      <w:pPr>
        <w:spacing w:line="400" w:lineRule="exact"/>
        <w:ind w:firstLine="718" w:firstLineChars="342"/>
        <w:rPr>
          <w:highlight w:val="none"/>
        </w:rPr>
      </w:pPr>
      <w:r>
        <w:rPr>
          <w:rFonts w:hint="eastAsia"/>
          <w:highlight w:val="none"/>
        </w:rPr>
        <w:t>1.1.3.5 工程设备：指构成或计划构成永久工程一部分的机电设备、金属结构设备、仪器装置及其他类似的设备和装置。</w:t>
      </w:r>
    </w:p>
    <w:p>
      <w:pPr>
        <w:spacing w:line="400" w:lineRule="exact"/>
        <w:ind w:firstLine="718" w:firstLineChars="342"/>
        <w:rPr>
          <w:highlight w:val="none"/>
        </w:rPr>
      </w:pPr>
      <w:r>
        <w:rPr>
          <w:rFonts w:hint="eastAsia"/>
          <w:highlight w:val="none"/>
        </w:rPr>
        <w:t>1.1.3.6 施工设备：指为完成合同约定的各项工作所需的设备、器具和其他物品，不包括临时工程和材料。</w:t>
      </w:r>
    </w:p>
    <w:p>
      <w:pPr>
        <w:spacing w:line="400" w:lineRule="exact"/>
        <w:ind w:firstLine="718" w:firstLineChars="342"/>
        <w:rPr>
          <w:highlight w:val="none"/>
        </w:rPr>
      </w:pPr>
      <w:r>
        <w:rPr>
          <w:rFonts w:hint="eastAsia"/>
          <w:highlight w:val="none"/>
        </w:rPr>
        <w:t>1.1.3.7 临时设施：指为完成合同约定的各项工作所服务的临时性生产和生活设施。</w:t>
      </w:r>
    </w:p>
    <w:p>
      <w:pPr>
        <w:spacing w:line="400" w:lineRule="exact"/>
        <w:ind w:firstLine="718" w:firstLineChars="342"/>
        <w:rPr>
          <w:highlight w:val="none"/>
        </w:rPr>
      </w:pPr>
      <w:r>
        <w:rPr>
          <w:rFonts w:hint="eastAsia"/>
          <w:highlight w:val="none"/>
        </w:rPr>
        <w:t>1.1.3.8 承包人设备：指承包人自带的施工设备。</w:t>
      </w:r>
    </w:p>
    <w:p>
      <w:pPr>
        <w:spacing w:line="400" w:lineRule="exact"/>
        <w:ind w:firstLine="718" w:firstLineChars="342"/>
        <w:rPr>
          <w:highlight w:val="none"/>
        </w:rPr>
      </w:pPr>
      <w:r>
        <w:rPr>
          <w:rFonts w:hint="eastAsia"/>
          <w:highlight w:val="none"/>
        </w:rPr>
        <w:t>1.1.3.9 施工场地（或称工地、现场）：指用于合同工程施工的场所，以及在合同中指定作为施工场地组成部分的其他场所，包括永久占地和临时占地。</w:t>
      </w:r>
    </w:p>
    <w:p>
      <w:pPr>
        <w:spacing w:line="400" w:lineRule="exact"/>
        <w:ind w:firstLine="718" w:firstLineChars="342"/>
        <w:rPr>
          <w:highlight w:val="none"/>
        </w:rPr>
      </w:pPr>
      <w:r>
        <w:rPr>
          <w:rFonts w:hint="eastAsia"/>
          <w:highlight w:val="none"/>
        </w:rPr>
        <w:t>1.1.3.10 永久占地：指专用合同条款中指明为实施合同工程需永久占用的土地。</w:t>
      </w:r>
    </w:p>
    <w:p>
      <w:pPr>
        <w:spacing w:line="400" w:lineRule="exact"/>
        <w:ind w:firstLine="718" w:firstLineChars="342"/>
        <w:rPr>
          <w:highlight w:val="none"/>
        </w:rPr>
      </w:pPr>
      <w:r>
        <w:rPr>
          <w:rFonts w:hint="eastAsia"/>
          <w:highlight w:val="none"/>
        </w:rPr>
        <w:t>1.1.3.11 临时占地：指专用合同条款中指明为实施合同工程需临时占用的土地。</w:t>
      </w:r>
    </w:p>
    <w:p>
      <w:pPr>
        <w:spacing w:line="400" w:lineRule="exact"/>
        <w:ind w:firstLine="420" w:firstLineChars="200"/>
        <w:rPr>
          <w:highlight w:val="none"/>
        </w:rPr>
      </w:pPr>
      <w:r>
        <w:rPr>
          <w:rFonts w:hint="eastAsia"/>
          <w:highlight w:val="none"/>
        </w:rPr>
        <w:t xml:space="preserve">1.1.4 </w:t>
      </w:r>
      <w:r>
        <w:rPr>
          <w:rFonts w:hint="eastAsia" w:ascii="黑体" w:eastAsia="黑体"/>
          <w:highlight w:val="none"/>
        </w:rPr>
        <w:t>日期</w:t>
      </w:r>
    </w:p>
    <w:p>
      <w:pPr>
        <w:spacing w:line="400" w:lineRule="exact"/>
        <w:ind w:firstLine="718" w:firstLineChars="342"/>
        <w:rPr>
          <w:highlight w:val="none"/>
        </w:rPr>
      </w:pPr>
      <w:r>
        <w:rPr>
          <w:rFonts w:hint="eastAsia"/>
          <w:highlight w:val="none"/>
        </w:rPr>
        <w:t>1.1.4.1 开工通知：指监理人按第11.1款通知承包人开工的函件。</w:t>
      </w:r>
    </w:p>
    <w:p>
      <w:pPr>
        <w:spacing w:line="400" w:lineRule="exact"/>
        <w:ind w:firstLine="718" w:firstLineChars="342"/>
        <w:rPr>
          <w:highlight w:val="none"/>
        </w:rPr>
      </w:pPr>
      <w:r>
        <w:rPr>
          <w:rFonts w:hint="eastAsia"/>
          <w:highlight w:val="none"/>
        </w:rPr>
        <w:t>1.1.4.2 开工日期：指监理人按第11.1款发出的开工通知中写明的开工日期。</w:t>
      </w:r>
    </w:p>
    <w:p>
      <w:pPr>
        <w:spacing w:line="400" w:lineRule="exact"/>
        <w:ind w:firstLine="718" w:firstLineChars="342"/>
        <w:rPr>
          <w:highlight w:val="none"/>
        </w:rPr>
      </w:pPr>
      <w:r>
        <w:rPr>
          <w:rFonts w:hint="eastAsia"/>
          <w:highlight w:val="none"/>
        </w:rPr>
        <w:t>1.1.4.3工期：指承包人在投标函中承诺的完成合同工程所需的期限，包括按第11.3款、第11.4款和第11.6款约定所作的变更。</w:t>
      </w:r>
    </w:p>
    <w:p>
      <w:pPr>
        <w:spacing w:line="400" w:lineRule="exact"/>
        <w:ind w:firstLine="718" w:firstLineChars="342"/>
        <w:rPr>
          <w:highlight w:val="none"/>
        </w:rPr>
      </w:pPr>
      <w:r>
        <w:rPr>
          <w:rFonts w:hint="eastAsia"/>
          <w:highlight w:val="none"/>
        </w:rPr>
        <w:t>1.1.4.4 竣工日期：指第1.1.4.3目约定工期届满时的日期。实际竣工日期以工程接收证书中写明的日期为准。</w:t>
      </w:r>
    </w:p>
    <w:p>
      <w:pPr>
        <w:spacing w:line="400" w:lineRule="exact"/>
        <w:ind w:firstLine="718" w:firstLineChars="342"/>
        <w:rPr>
          <w:highlight w:val="none"/>
        </w:rPr>
      </w:pPr>
      <w:r>
        <w:rPr>
          <w:rFonts w:hint="eastAsia"/>
          <w:highlight w:val="none"/>
        </w:rPr>
        <w:t>1.1.4.5 缺陷责任期：指履行第19.2款约定的缺陷责任的期限，具体期限由专用合同条款约定，包括根据第19.3款约定所作的延长。</w:t>
      </w:r>
    </w:p>
    <w:p>
      <w:pPr>
        <w:spacing w:line="400" w:lineRule="exact"/>
        <w:ind w:firstLine="718" w:firstLineChars="342"/>
        <w:rPr>
          <w:highlight w:val="none"/>
        </w:rPr>
      </w:pPr>
      <w:r>
        <w:rPr>
          <w:rFonts w:hint="eastAsia"/>
          <w:highlight w:val="none"/>
        </w:rPr>
        <w:t>1.1.4.6 基准日期：指投标截止时间前28天的日期。</w:t>
      </w:r>
    </w:p>
    <w:p>
      <w:pPr>
        <w:spacing w:line="400" w:lineRule="exact"/>
        <w:ind w:firstLine="718" w:firstLineChars="342"/>
        <w:rPr>
          <w:highlight w:val="none"/>
        </w:rPr>
      </w:pPr>
      <w:r>
        <w:rPr>
          <w:rFonts w:hint="eastAsia"/>
          <w:highlight w:val="none"/>
        </w:rPr>
        <w:t>1.1.4.7 天：除特别指明外，指日历天。合同中按天计算时间的，开始当天不计入，从次日开始计算。期限最后一天的截止时间为当天24:00。</w:t>
      </w:r>
    </w:p>
    <w:p>
      <w:pPr>
        <w:spacing w:line="400" w:lineRule="exact"/>
        <w:ind w:firstLine="420" w:firstLineChars="200"/>
        <w:rPr>
          <w:highlight w:val="none"/>
        </w:rPr>
      </w:pPr>
      <w:r>
        <w:rPr>
          <w:rFonts w:hint="eastAsia"/>
          <w:highlight w:val="none"/>
        </w:rPr>
        <w:t xml:space="preserve">1.1.5 </w:t>
      </w:r>
      <w:r>
        <w:rPr>
          <w:rFonts w:hint="eastAsia" w:ascii="黑体" w:eastAsia="黑体"/>
          <w:highlight w:val="none"/>
        </w:rPr>
        <w:t>合同价格和费用</w:t>
      </w:r>
    </w:p>
    <w:p>
      <w:pPr>
        <w:spacing w:line="400" w:lineRule="exact"/>
        <w:ind w:firstLine="718" w:firstLineChars="342"/>
        <w:rPr>
          <w:highlight w:val="none"/>
        </w:rPr>
      </w:pPr>
      <w:r>
        <w:rPr>
          <w:rFonts w:hint="eastAsia"/>
          <w:highlight w:val="none"/>
        </w:rPr>
        <w:t>1.1.5.1 签约合同价：指签定合同时合同协议书中写明的，包括了暂列金额、暂估价的合同总金额。</w:t>
      </w:r>
    </w:p>
    <w:p>
      <w:pPr>
        <w:spacing w:line="400" w:lineRule="exact"/>
        <w:ind w:firstLine="718" w:firstLineChars="342"/>
        <w:rPr>
          <w:highlight w:val="none"/>
        </w:rPr>
      </w:pPr>
      <w:r>
        <w:rPr>
          <w:rFonts w:hint="eastAsia"/>
          <w:highlight w:val="none"/>
        </w:rPr>
        <w:t>1.1.5.2 合同价格：指承包人按合同约定完成了包括缺陷责任期内的全部承包工作后，发包人应付给承包人的金额，包括在履行合同过程中按合同约定进行的变更和调整。</w:t>
      </w:r>
    </w:p>
    <w:p>
      <w:pPr>
        <w:spacing w:line="400" w:lineRule="exact"/>
        <w:ind w:firstLine="718" w:firstLineChars="342"/>
        <w:rPr>
          <w:highlight w:val="none"/>
        </w:rPr>
      </w:pPr>
      <w:r>
        <w:rPr>
          <w:rFonts w:hint="eastAsia"/>
          <w:highlight w:val="none"/>
        </w:rPr>
        <w:t>1.1.5.3 费用：指为履行合同所发生的或将要发生的所有合理开支，包括管理费和应分摊的其他费用，但不包括利润。</w:t>
      </w:r>
    </w:p>
    <w:p>
      <w:pPr>
        <w:spacing w:line="400" w:lineRule="exact"/>
        <w:ind w:firstLine="718" w:firstLineChars="342"/>
        <w:rPr>
          <w:highlight w:val="none"/>
        </w:rPr>
      </w:pPr>
      <w:r>
        <w:rPr>
          <w:rFonts w:hint="eastAsia"/>
          <w:highlight w:val="none"/>
        </w:rPr>
        <w:t>1.1.5.4 暂列金额：指已标价工程量清单中所列的暂列金额，用于在签订协议书时尚未确定或不可预见变更的施工及其所需材料、工程设备、服务等的金额，包括以计日工方式支付的金额。</w:t>
      </w:r>
    </w:p>
    <w:p>
      <w:pPr>
        <w:spacing w:line="400" w:lineRule="exact"/>
        <w:ind w:firstLine="718" w:firstLineChars="342"/>
        <w:rPr>
          <w:highlight w:val="none"/>
        </w:rPr>
      </w:pPr>
      <w:r>
        <w:rPr>
          <w:rFonts w:hint="eastAsia"/>
          <w:highlight w:val="none"/>
        </w:rPr>
        <w:t>1.1.5.5暂估价：指发包人在工程量清单中给定的用于支付必然发生但暂时不能确定价格的材料、设备以及专业工程的金额。</w:t>
      </w:r>
    </w:p>
    <w:p>
      <w:pPr>
        <w:spacing w:line="400" w:lineRule="exact"/>
        <w:ind w:firstLine="718" w:firstLineChars="342"/>
        <w:rPr>
          <w:highlight w:val="none"/>
        </w:rPr>
      </w:pPr>
      <w:r>
        <w:rPr>
          <w:rFonts w:hint="eastAsia"/>
          <w:highlight w:val="none"/>
        </w:rPr>
        <w:t>1.1.5.6 计日工：指对零星工作采取的一种计价方式，按合同中的计日工子目及其单价计价付款。</w:t>
      </w:r>
    </w:p>
    <w:p>
      <w:pPr>
        <w:spacing w:line="400" w:lineRule="exact"/>
        <w:ind w:firstLine="718" w:firstLineChars="342"/>
        <w:rPr>
          <w:highlight w:val="none"/>
        </w:rPr>
      </w:pPr>
      <w:r>
        <w:rPr>
          <w:rFonts w:hint="eastAsia"/>
          <w:highlight w:val="none"/>
        </w:rPr>
        <w:t>1.1.5.7 质量保证金（或称保留金）：指按第17.4.1项约定用于保证在缺陷责任期内履行缺陷修复义务的金额。</w:t>
      </w:r>
    </w:p>
    <w:p>
      <w:pPr>
        <w:spacing w:line="400" w:lineRule="exact"/>
        <w:ind w:firstLine="420" w:firstLineChars="200"/>
        <w:rPr>
          <w:highlight w:val="none"/>
        </w:rPr>
      </w:pPr>
      <w:r>
        <w:rPr>
          <w:rFonts w:hint="eastAsia"/>
          <w:highlight w:val="none"/>
        </w:rPr>
        <w:t xml:space="preserve">1.1.6 </w:t>
      </w:r>
      <w:r>
        <w:rPr>
          <w:rFonts w:hint="eastAsia" w:ascii="黑体" w:eastAsia="黑体"/>
          <w:highlight w:val="none"/>
        </w:rPr>
        <w:t>其他</w:t>
      </w:r>
    </w:p>
    <w:p>
      <w:pPr>
        <w:spacing w:line="400" w:lineRule="exact"/>
        <w:ind w:firstLine="718" w:firstLineChars="342"/>
        <w:outlineLvl w:val="0"/>
        <w:rPr>
          <w:highlight w:val="none"/>
        </w:rPr>
      </w:pPr>
      <w:bookmarkStart w:id="381" w:name="_Toc45652437"/>
      <w:bookmarkStart w:id="382" w:name="_Toc434331178"/>
      <w:bookmarkStart w:id="383" w:name="_Toc434230488"/>
      <w:bookmarkStart w:id="384" w:name="_Toc3123"/>
      <w:r>
        <w:rPr>
          <w:rFonts w:hint="eastAsia"/>
          <w:highlight w:val="none"/>
        </w:rPr>
        <w:t>1.1.6.1 书面形式：指合同文件、信函、电报、传真等可以有形地表现所载内容的形式。</w:t>
      </w:r>
      <w:bookmarkEnd w:id="381"/>
      <w:bookmarkEnd w:id="382"/>
      <w:bookmarkEnd w:id="383"/>
      <w:bookmarkEnd w:id="384"/>
    </w:p>
    <w:p>
      <w:pPr>
        <w:pStyle w:val="199"/>
        <w:outlineLvl w:val="0"/>
        <w:rPr>
          <w:highlight w:val="none"/>
        </w:rPr>
      </w:pPr>
      <w:bookmarkStart w:id="385" w:name="_Toc342296264"/>
      <w:bookmarkStart w:id="386" w:name="_Toc18983"/>
      <w:bookmarkStart w:id="387" w:name="_Toc144974581"/>
      <w:bookmarkStart w:id="388" w:name="_Toc152045613"/>
      <w:bookmarkStart w:id="389" w:name="_Toc179632631"/>
      <w:bookmarkStart w:id="390" w:name="_Toc152042391"/>
      <w:bookmarkStart w:id="391" w:name="_Toc338944706"/>
      <w:bookmarkStart w:id="392" w:name="_Toc434331179"/>
      <w:r>
        <w:rPr>
          <w:rFonts w:hint="eastAsia"/>
          <w:highlight w:val="none"/>
        </w:rPr>
        <w:t>1.2 语言文字</w:t>
      </w:r>
      <w:bookmarkEnd w:id="385"/>
      <w:bookmarkEnd w:id="386"/>
      <w:bookmarkEnd w:id="387"/>
      <w:bookmarkEnd w:id="388"/>
      <w:bookmarkEnd w:id="389"/>
      <w:bookmarkEnd w:id="390"/>
      <w:bookmarkEnd w:id="391"/>
      <w:bookmarkEnd w:id="392"/>
    </w:p>
    <w:p>
      <w:pPr>
        <w:spacing w:line="400" w:lineRule="exact"/>
        <w:ind w:firstLine="420" w:firstLineChars="200"/>
        <w:rPr>
          <w:highlight w:val="none"/>
        </w:rPr>
      </w:pPr>
      <w:r>
        <w:rPr>
          <w:rFonts w:hint="eastAsia"/>
          <w:highlight w:val="none"/>
        </w:rPr>
        <w:t>除专用术语外，合同使用的语言文字为中文。必要时专用术语应附有中文注释。</w:t>
      </w:r>
    </w:p>
    <w:p>
      <w:pPr>
        <w:pStyle w:val="199"/>
        <w:outlineLvl w:val="0"/>
        <w:rPr>
          <w:highlight w:val="none"/>
        </w:rPr>
      </w:pPr>
      <w:bookmarkStart w:id="393" w:name="_Toc144974582"/>
      <w:bookmarkStart w:id="394" w:name="_Toc434331180"/>
      <w:bookmarkStart w:id="395" w:name="_Toc12949"/>
      <w:bookmarkStart w:id="396" w:name="_Toc152042392"/>
      <w:bookmarkStart w:id="397" w:name="_Toc342296265"/>
      <w:bookmarkStart w:id="398" w:name="_Toc179632632"/>
      <w:bookmarkStart w:id="399" w:name="_Toc152045614"/>
      <w:bookmarkStart w:id="400" w:name="_Toc338944707"/>
      <w:r>
        <w:rPr>
          <w:rFonts w:hint="eastAsia"/>
          <w:highlight w:val="none"/>
        </w:rPr>
        <w:t>1.3 法律</w:t>
      </w:r>
      <w:bookmarkEnd w:id="393"/>
      <w:bookmarkEnd w:id="394"/>
      <w:bookmarkEnd w:id="395"/>
      <w:bookmarkEnd w:id="396"/>
      <w:bookmarkEnd w:id="397"/>
      <w:bookmarkEnd w:id="398"/>
      <w:bookmarkEnd w:id="399"/>
      <w:bookmarkEnd w:id="400"/>
    </w:p>
    <w:p>
      <w:pPr>
        <w:spacing w:line="400" w:lineRule="exact"/>
        <w:ind w:firstLine="420" w:firstLineChars="200"/>
        <w:rPr>
          <w:highlight w:val="none"/>
        </w:rPr>
      </w:pPr>
      <w:r>
        <w:rPr>
          <w:rFonts w:hint="eastAsia"/>
          <w:highlight w:val="none"/>
        </w:rPr>
        <w:t>适用于合同的法律包括中华人民共和国法律、行政法规、部门规章，以及工程所在地的地方法规、自治条例、单行条例和地方政府规章。</w:t>
      </w:r>
    </w:p>
    <w:p>
      <w:pPr>
        <w:pStyle w:val="199"/>
        <w:outlineLvl w:val="0"/>
        <w:rPr>
          <w:highlight w:val="none"/>
        </w:rPr>
      </w:pPr>
      <w:bookmarkStart w:id="401" w:name="_Toc923"/>
      <w:bookmarkStart w:id="402" w:name="_Toc434331181"/>
      <w:bookmarkStart w:id="403" w:name="_Toc342296266"/>
      <w:bookmarkStart w:id="404" w:name="_Toc338944708"/>
      <w:r>
        <w:rPr>
          <w:rFonts w:hint="eastAsia"/>
          <w:highlight w:val="none"/>
        </w:rPr>
        <w:t>1.4 合同文件的优先顺序</w:t>
      </w:r>
      <w:bookmarkEnd w:id="401"/>
      <w:bookmarkEnd w:id="402"/>
      <w:bookmarkEnd w:id="403"/>
      <w:bookmarkEnd w:id="404"/>
    </w:p>
    <w:p>
      <w:pPr>
        <w:spacing w:line="400" w:lineRule="exact"/>
        <w:ind w:firstLine="420" w:firstLineChars="200"/>
        <w:rPr>
          <w:highlight w:val="none"/>
        </w:rPr>
      </w:pPr>
      <w:r>
        <w:rPr>
          <w:rFonts w:hint="eastAsia"/>
          <w:highlight w:val="none"/>
        </w:rPr>
        <w:t>组成合同的各项文件应互相解释，互为说明。除专用合同条款另有约定外，解释合同文件的优先顺序如下：</w:t>
      </w:r>
    </w:p>
    <w:p>
      <w:pPr>
        <w:spacing w:line="400" w:lineRule="exact"/>
        <w:ind w:firstLine="359" w:firstLineChars="171"/>
        <w:rPr>
          <w:highlight w:val="none"/>
        </w:rPr>
      </w:pPr>
      <w:r>
        <w:rPr>
          <w:rFonts w:hint="eastAsia"/>
          <w:highlight w:val="none"/>
        </w:rPr>
        <w:t>（1）合同协议书；</w:t>
      </w:r>
    </w:p>
    <w:p>
      <w:pPr>
        <w:spacing w:line="400" w:lineRule="exact"/>
        <w:ind w:firstLine="359" w:firstLineChars="171"/>
        <w:rPr>
          <w:highlight w:val="none"/>
        </w:rPr>
      </w:pPr>
      <w:r>
        <w:rPr>
          <w:rFonts w:hint="eastAsia"/>
          <w:highlight w:val="none"/>
        </w:rPr>
        <w:t>（2）中标通知书；</w:t>
      </w:r>
    </w:p>
    <w:p>
      <w:pPr>
        <w:spacing w:line="400" w:lineRule="exact"/>
        <w:ind w:firstLine="359" w:firstLineChars="171"/>
        <w:rPr>
          <w:highlight w:val="none"/>
        </w:rPr>
      </w:pPr>
      <w:r>
        <w:rPr>
          <w:rFonts w:hint="eastAsia"/>
          <w:highlight w:val="none"/>
        </w:rPr>
        <w:t>（3）投标函及投标函附录；</w:t>
      </w:r>
    </w:p>
    <w:p>
      <w:pPr>
        <w:spacing w:line="400" w:lineRule="exact"/>
        <w:ind w:firstLine="359" w:firstLineChars="171"/>
        <w:rPr>
          <w:highlight w:val="none"/>
        </w:rPr>
      </w:pPr>
      <w:r>
        <w:rPr>
          <w:rFonts w:hint="eastAsia"/>
          <w:highlight w:val="none"/>
        </w:rPr>
        <w:t>（4）专用合同条款；</w:t>
      </w:r>
    </w:p>
    <w:p>
      <w:pPr>
        <w:spacing w:line="400" w:lineRule="exact"/>
        <w:ind w:firstLine="359" w:firstLineChars="171"/>
        <w:rPr>
          <w:highlight w:val="none"/>
        </w:rPr>
      </w:pPr>
      <w:r>
        <w:rPr>
          <w:rFonts w:hint="eastAsia"/>
          <w:highlight w:val="none"/>
        </w:rPr>
        <w:t>（5）通用合同条款；</w:t>
      </w:r>
    </w:p>
    <w:p>
      <w:pPr>
        <w:spacing w:line="400" w:lineRule="exact"/>
        <w:ind w:firstLine="359" w:firstLineChars="171"/>
        <w:rPr>
          <w:highlight w:val="none"/>
        </w:rPr>
      </w:pPr>
      <w:r>
        <w:rPr>
          <w:rFonts w:hint="eastAsia"/>
          <w:highlight w:val="none"/>
        </w:rPr>
        <w:t>（6）技术标准和要求；</w:t>
      </w:r>
    </w:p>
    <w:p>
      <w:pPr>
        <w:spacing w:line="400" w:lineRule="exact"/>
        <w:ind w:firstLine="359" w:firstLineChars="171"/>
        <w:rPr>
          <w:highlight w:val="none"/>
        </w:rPr>
      </w:pPr>
      <w:r>
        <w:rPr>
          <w:rFonts w:hint="eastAsia"/>
          <w:highlight w:val="none"/>
        </w:rPr>
        <w:t>（7）图纸；</w:t>
      </w:r>
    </w:p>
    <w:p>
      <w:pPr>
        <w:spacing w:line="400" w:lineRule="exact"/>
        <w:ind w:firstLine="359" w:firstLineChars="171"/>
        <w:rPr>
          <w:highlight w:val="none"/>
        </w:rPr>
      </w:pPr>
      <w:r>
        <w:rPr>
          <w:rFonts w:hint="eastAsia"/>
          <w:highlight w:val="none"/>
        </w:rPr>
        <w:t>（8）已标价工程量清单；</w:t>
      </w:r>
    </w:p>
    <w:p>
      <w:pPr>
        <w:spacing w:line="400" w:lineRule="exact"/>
        <w:ind w:firstLine="359" w:firstLineChars="171"/>
        <w:rPr>
          <w:highlight w:val="none"/>
        </w:rPr>
      </w:pPr>
      <w:r>
        <w:rPr>
          <w:rFonts w:hint="eastAsia"/>
          <w:highlight w:val="none"/>
        </w:rPr>
        <w:t>（9）其他合同文件。</w:t>
      </w:r>
    </w:p>
    <w:p>
      <w:pPr>
        <w:pStyle w:val="199"/>
        <w:outlineLvl w:val="0"/>
        <w:rPr>
          <w:highlight w:val="none"/>
        </w:rPr>
      </w:pPr>
      <w:bookmarkStart w:id="405" w:name="_Toc338944709"/>
      <w:bookmarkStart w:id="406" w:name="_Toc434331182"/>
      <w:bookmarkStart w:id="407" w:name="_Toc342296267"/>
      <w:bookmarkStart w:id="408" w:name="_Toc24073"/>
      <w:r>
        <w:rPr>
          <w:rFonts w:hint="eastAsia"/>
          <w:highlight w:val="none"/>
        </w:rPr>
        <w:t>1.5 合同协议书</w:t>
      </w:r>
      <w:bookmarkEnd w:id="405"/>
      <w:bookmarkEnd w:id="406"/>
      <w:bookmarkEnd w:id="407"/>
      <w:bookmarkEnd w:id="408"/>
    </w:p>
    <w:p>
      <w:pPr>
        <w:spacing w:line="400" w:lineRule="exact"/>
        <w:ind w:firstLine="420" w:firstLineChars="200"/>
        <w:rPr>
          <w:highlight w:val="none"/>
        </w:rPr>
      </w:pPr>
      <w:r>
        <w:rPr>
          <w:rFonts w:hint="eastAsia"/>
          <w:highlight w:val="none"/>
        </w:rPr>
        <w:t>承包人按中标通知书规定的时间与发包人签订合同协议书。除法律另有规定或合同另有约定外，发包人和承包人的法定代表人或其委托代理人在合同协议书上签字并盖单位章后，合同生效。</w:t>
      </w:r>
    </w:p>
    <w:p>
      <w:pPr>
        <w:pStyle w:val="199"/>
        <w:outlineLvl w:val="0"/>
        <w:rPr>
          <w:highlight w:val="none"/>
        </w:rPr>
      </w:pPr>
      <w:bookmarkStart w:id="409" w:name="_Toc24818"/>
      <w:bookmarkStart w:id="410" w:name="_Toc342296268"/>
      <w:bookmarkStart w:id="411" w:name="_Toc338944710"/>
      <w:bookmarkStart w:id="412" w:name="_Toc434331183"/>
      <w:r>
        <w:rPr>
          <w:rFonts w:hint="eastAsia"/>
          <w:highlight w:val="none"/>
        </w:rPr>
        <w:t>1.6 图纸和承包人文件</w:t>
      </w:r>
      <w:bookmarkEnd w:id="409"/>
      <w:bookmarkEnd w:id="410"/>
      <w:bookmarkEnd w:id="411"/>
      <w:bookmarkEnd w:id="412"/>
    </w:p>
    <w:p>
      <w:pPr>
        <w:spacing w:line="400" w:lineRule="exact"/>
        <w:ind w:firstLine="420" w:firstLineChars="200"/>
        <w:rPr>
          <w:highlight w:val="none"/>
        </w:rPr>
      </w:pPr>
      <w:r>
        <w:rPr>
          <w:rFonts w:hint="eastAsia"/>
          <w:highlight w:val="none"/>
        </w:rPr>
        <w:t>1.6.1</w:t>
      </w:r>
      <w:r>
        <w:rPr>
          <w:rFonts w:hint="eastAsia" w:ascii="黑体" w:eastAsia="黑体"/>
          <w:highlight w:val="none"/>
        </w:rPr>
        <w:t>图纸的提供</w:t>
      </w:r>
    </w:p>
    <w:p>
      <w:pPr>
        <w:spacing w:line="400" w:lineRule="exact"/>
        <w:ind w:firstLine="420" w:firstLineChars="200"/>
        <w:rPr>
          <w:highlight w:val="none"/>
        </w:rPr>
      </w:pPr>
      <w:r>
        <w:rPr>
          <w:rFonts w:hint="eastAsia"/>
          <w:highlight w:val="none"/>
        </w:rPr>
        <w:t>除专用合同条款另有约定外，图纸应在合理的期限内按照合同约定的数量提供给承包人。由于发包人未按时提供图纸造成工期延误的，按第11.3款的约定办理。</w:t>
      </w:r>
    </w:p>
    <w:p>
      <w:pPr>
        <w:spacing w:line="400" w:lineRule="exact"/>
        <w:ind w:firstLine="420" w:firstLineChars="200"/>
        <w:rPr>
          <w:highlight w:val="none"/>
        </w:rPr>
      </w:pPr>
      <w:r>
        <w:rPr>
          <w:rFonts w:hint="eastAsia"/>
          <w:highlight w:val="none"/>
        </w:rPr>
        <w:t xml:space="preserve">1.6.2 </w:t>
      </w:r>
      <w:r>
        <w:rPr>
          <w:rFonts w:hint="eastAsia" w:ascii="黑体" w:eastAsia="黑体"/>
          <w:highlight w:val="none"/>
        </w:rPr>
        <w:t>承包人提供的文件</w:t>
      </w:r>
    </w:p>
    <w:p>
      <w:pPr>
        <w:spacing w:line="400" w:lineRule="exact"/>
        <w:rPr>
          <w:highlight w:val="none"/>
        </w:rPr>
      </w:pPr>
      <w:r>
        <w:rPr>
          <w:rFonts w:hint="eastAsia"/>
          <w:highlight w:val="none"/>
        </w:rPr>
        <w:t>　　按专用合同条款约定由承包人提供的文件，包括部分工程的大样图、加工图等，承包人应按约定的数量和期限报送监理人。监理人应在专用合同条款约定的期限内批复。</w:t>
      </w:r>
    </w:p>
    <w:p>
      <w:pPr>
        <w:spacing w:line="400" w:lineRule="exact"/>
        <w:ind w:firstLine="420" w:firstLineChars="200"/>
        <w:rPr>
          <w:highlight w:val="none"/>
        </w:rPr>
      </w:pPr>
      <w:r>
        <w:rPr>
          <w:rFonts w:hint="eastAsia"/>
          <w:highlight w:val="none"/>
        </w:rPr>
        <w:t xml:space="preserve">1.6.3 </w:t>
      </w:r>
      <w:r>
        <w:rPr>
          <w:rFonts w:hint="eastAsia" w:ascii="黑体" w:eastAsia="黑体"/>
          <w:highlight w:val="none"/>
        </w:rPr>
        <w:t>图纸的修改</w:t>
      </w:r>
    </w:p>
    <w:p>
      <w:pPr>
        <w:spacing w:line="400" w:lineRule="exact"/>
        <w:ind w:firstLine="420" w:firstLineChars="200"/>
        <w:rPr>
          <w:highlight w:val="none"/>
        </w:rPr>
      </w:pPr>
      <w:r>
        <w:rPr>
          <w:rFonts w:hint="eastAsia"/>
          <w:highlight w:val="none"/>
        </w:rPr>
        <w:t>图纸需要修改和补充的，应由监理人取得发包人同意后，在该工程或工程相应部位施工前的合理期限内签发图纸修改图给承包人，具体签发期限在专用合同条款中约定。承包人应按修改后的图纸施工。</w:t>
      </w:r>
    </w:p>
    <w:p>
      <w:pPr>
        <w:spacing w:line="400" w:lineRule="exact"/>
        <w:ind w:firstLine="420" w:firstLineChars="200"/>
        <w:rPr>
          <w:highlight w:val="none"/>
        </w:rPr>
      </w:pPr>
      <w:r>
        <w:rPr>
          <w:rFonts w:hint="eastAsia"/>
          <w:highlight w:val="none"/>
        </w:rPr>
        <w:t xml:space="preserve">1.6.4 </w:t>
      </w:r>
      <w:r>
        <w:rPr>
          <w:rFonts w:hint="eastAsia" w:ascii="黑体" w:eastAsia="黑体"/>
          <w:highlight w:val="none"/>
        </w:rPr>
        <w:t>图纸的错误</w:t>
      </w:r>
    </w:p>
    <w:p>
      <w:pPr>
        <w:spacing w:line="400" w:lineRule="exact"/>
        <w:ind w:firstLine="420" w:firstLineChars="200"/>
        <w:rPr>
          <w:highlight w:val="none"/>
        </w:rPr>
      </w:pPr>
      <w:r>
        <w:rPr>
          <w:rFonts w:hint="eastAsia"/>
          <w:highlight w:val="none"/>
        </w:rPr>
        <w:t>承包人发现发包人提供的图纸存在明显错误或疏忽，应及时通知监理人。</w:t>
      </w:r>
    </w:p>
    <w:p>
      <w:pPr>
        <w:spacing w:line="400" w:lineRule="exact"/>
        <w:ind w:firstLine="420" w:firstLineChars="200"/>
        <w:rPr>
          <w:highlight w:val="none"/>
        </w:rPr>
      </w:pPr>
      <w:r>
        <w:rPr>
          <w:rFonts w:hint="eastAsia"/>
          <w:highlight w:val="none"/>
        </w:rPr>
        <w:t xml:space="preserve">1.6.5 </w:t>
      </w:r>
      <w:r>
        <w:rPr>
          <w:rFonts w:hint="eastAsia" w:ascii="黑体" w:eastAsia="黑体"/>
          <w:highlight w:val="none"/>
        </w:rPr>
        <w:t>图纸和承包人文件的保管</w:t>
      </w:r>
    </w:p>
    <w:p>
      <w:pPr>
        <w:spacing w:line="400" w:lineRule="exact"/>
        <w:ind w:firstLine="420" w:firstLineChars="200"/>
        <w:rPr>
          <w:highlight w:val="none"/>
        </w:rPr>
      </w:pPr>
      <w:r>
        <w:rPr>
          <w:rFonts w:hint="eastAsia"/>
          <w:highlight w:val="none"/>
        </w:rPr>
        <w:t>监理人和承包人均应在施工场地各保存一套完整的包含第1.6.1项、第1.6.2项、第1.6.3项约定内容的图纸和承包人文件。</w:t>
      </w:r>
    </w:p>
    <w:p>
      <w:pPr>
        <w:pStyle w:val="199"/>
        <w:outlineLvl w:val="0"/>
        <w:rPr>
          <w:highlight w:val="none"/>
        </w:rPr>
      </w:pPr>
      <w:bookmarkStart w:id="413" w:name="_Toc342296269"/>
      <w:bookmarkStart w:id="414" w:name="_Toc434331184"/>
      <w:bookmarkStart w:id="415" w:name="_Toc338944711"/>
      <w:bookmarkStart w:id="416" w:name="_Toc29069"/>
      <w:r>
        <w:rPr>
          <w:rFonts w:hint="eastAsia"/>
          <w:highlight w:val="none"/>
        </w:rPr>
        <w:t>1.7 联络</w:t>
      </w:r>
      <w:bookmarkEnd w:id="413"/>
      <w:bookmarkEnd w:id="414"/>
      <w:bookmarkEnd w:id="415"/>
      <w:bookmarkEnd w:id="416"/>
    </w:p>
    <w:p>
      <w:pPr>
        <w:spacing w:line="400" w:lineRule="exact"/>
        <w:ind w:firstLine="420" w:firstLineChars="200"/>
        <w:rPr>
          <w:highlight w:val="none"/>
        </w:rPr>
      </w:pPr>
      <w:r>
        <w:rPr>
          <w:rFonts w:hint="eastAsia"/>
          <w:highlight w:val="none"/>
        </w:rPr>
        <w:t>1.7.1 与合同有关的通知、批准、证明、证书、指示、要求、请求、同意、意见、确定和决定等，均应采用书面形式。</w:t>
      </w:r>
    </w:p>
    <w:p>
      <w:pPr>
        <w:spacing w:line="400" w:lineRule="exact"/>
        <w:ind w:firstLine="420" w:firstLineChars="200"/>
        <w:rPr>
          <w:highlight w:val="none"/>
        </w:rPr>
      </w:pPr>
      <w:r>
        <w:rPr>
          <w:rFonts w:hint="eastAsia"/>
          <w:highlight w:val="none"/>
        </w:rPr>
        <w:t>1.7.2 第1.7.1项中的通知、批准、证明、证书、指示、要求、请求、同意、意见、确定和决定等来往函件，均应在合同约定的期限内送达指定地点和接收人，并办理签收手续。</w:t>
      </w:r>
    </w:p>
    <w:p>
      <w:pPr>
        <w:pStyle w:val="199"/>
        <w:outlineLvl w:val="0"/>
        <w:rPr>
          <w:highlight w:val="none"/>
        </w:rPr>
      </w:pPr>
      <w:bookmarkStart w:id="417" w:name="_Toc152042397"/>
      <w:bookmarkStart w:id="418" w:name="_Toc338944712"/>
      <w:bookmarkStart w:id="419" w:name="_Toc17384"/>
      <w:bookmarkStart w:id="420" w:name="_Toc144974587"/>
      <w:bookmarkStart w:id="421" w:name="_Toc342296270"/>
      <w:bookmarkStart w:id="422" w:name="_Toc179632637"/>
      <w:bookmarkStart w:id="423" w:name="_Toc434331185"/>
      <w:bookmarkStart w:id="424" w:name="_Toc152045619"/>
      <w:r>
        <w:rPr>
          <w:rFonts w:hint="eastAsia"/>
          <w:highlight w:val="none"/>
        </w:rPr>
        <w:t>1.8 转让</w:t>
      </w:r>
      <w:bookmarkEnd w:id="417"/>
      <w:bookmarkEnd w:id="418"/>
      <w:bookmarkEnd w:id="419"/>
      <w:bookmarkEnd w:id="420"/>
      <w:bookmarkEnd w:id="421"/>
      <w:bookmarkEnd w:id="422"/>
      <w:bookmarkEnd w:id="423"/>
      <w:bookmarkEnd w:id="424"/>
    </w:p>
    <w:p>
      <w:pPr>
        <w:spacing w:line="400" w:lineRule="exact"/>
        <w:ind w:firstLine="420" w:firstLineChars="200"/>
        <w:rPr>
          <w:highlight w:val="none"/>
        </w:rPr>
      </w:pPr>
      <w:r>
        <w:rPr>
          <w:rFonts w:hint="eastAsia"/>
          <w:highlight w:val="none"/>
        </w:rPr>
        <w:t>除合同另有约定外，未经对方当事人同意，一方当事人不得将合同权利全部或部分转让给第三人，也不得全部或部分转移合同义务。</w:t>
      </w:r>
    </w:p>
    <w:p>
      <w:pPr>
        <w:pStyle w:val="199"/>
        <w:outlineLvl w:val="0"/>
        <w:rPr>
          <w:highlight w:val="none"/>
        </w:rPr>
      </w:pPr>
      <w:bookmarkStart w:id="425" w:name="_Toc179632638"/>
      <w:bookmarkStart w:id="426" w:name="_Toc4033"/>
      <w:bookmarkStart w:id="427" w:name="_Toc152042398"/>
      <w:bookmarkStart w:id="428" w:name="_Toc434331186"/>
      <w:bookmarkStart w:id="429" w:name="_Toc338944713"/>
      <w:bookmarkStart w:id="430" w:name="_Toc144974588"/>
      <w:bookmarkStart w:id="431" w:name="_Toc152045620"/>
      <w:bookmarkStart w:id="432" w:name="_Toc342296271"/>
      <w:r>
        <w:rPr>
          <w:rFonts w:hint="eastAsia"/>
          <w:highlight w:val="none"/>
        </w:rPr>
        <w:t>1.9 严禁贿赂</w:t>
      </w:r>
      <w:bookmarkEnd w:id="425"/>
      <w:bookmarkEnd w:id="426"/>
      <w:bookmarkEnd w:id="427"/>
      <w:bookmarkEnd w:id="428"/>
      <w:bookmarkEnd w:id="429"/>
      <w:bookmarkEnd w:id="430"/>
      <w:bookmarkEnd w:id="431"/>
      <w:bookmarkEnd w:id="432"/>
    </w:p>
    <w:p>
      <w:pPr>
        <w:spacing w:line="400" w:lineRule="exact"/>
        <w:ind w:firstLine="420" w:firstLineChars="200"/>
        <w:rPr>
          <w:highlight w:val="none"/>
        </w:rPr>
      </w:pPr>
      <w:r>
        <w:rPr>
          <w:rFonts w:hint="eastAsia"/>
          <w:highlight w:val="none"/>
        </w:rPr>
        <w:t>合同双方当事人不得以贿赂或变相贿赂的方式，谋取不当利益或损害对方权益。因贿赂造成对方损失的，行为人应赔偿损失，并承担相应的法律责任。</w:t>
      </w:r>
    </w:p>
    <w:p>
      <w:pPr>
        <w:pStyle w:val="199"/>
        <w:outlineLvl w:val="0"/>
        <w:rPr>
          <w:highlight w:val="none"/>
        </w:rPr>
      </w:pPr>
      <w:bookmarkStart w:id="433" w:name="_Toc13611"/>
      <w:bookmarkStart w:id="434" w:name="_Toc144974589"/>
      <w:bookmarkStart w:id="435" w:name="_Toc338944714"/>
      <w:bookmarkStart w:id="436" w:name="_Toc434331187"/>
      <w:bookmarkStart w:id="437" w:name="_Toc152045621"/>
      <w:bookmarkStart w:id="438" w:name="_Toc152042399"/>
      <w:bookmarkStart w:id="439" w:name="_Toc342296272"/>
      <w:bookmarkStart w:id="440" w:name="_Toc179632639"/>
      <w:r>
        <w:rPr>
          <w:rFonts w:hint="eastAsia"/>
          <w:highlight w:val="none"/>
        </w:rPr>
        <w:t>1.10 化石、文物</w:t>
      </w:r>
      <w:bookmarkEnd w:id="433"/>
      <w:bookmarkEnd w:id="434"/>
      <w:bookmarkEnd w:id="435"/>
      <w:bookmarkEnd w:id="436"/>
      <w:bookmarkEnd w:id="437"/>
      <w:bookmarkEnd w:id="438"/>
      <w:bookmarkEnd w:id="439"/>
      <w:bookmarkEnd w:id="440"/>
    </w:p>
    <w:p>
      <w:pPr>
        <w:spacing w:line="400" w:lineRule="exact"/>
        <w:ind w:firstLine="420" w:firstLineChars="200"/>
        <w:rPr>
          <w:highlight w:val="none"/>
        </w:rPr>
      </w:pPr>
      <w:r>
        <w:rPr>
          <w:rFonts w:hint="eastAsia"/>
          <w:highlight w:val="none"/>
        </w:rPr>
        <w:t>1.10.1 在施工场地发掘的所有文物、古迹以及具有地质研究或考古价值的其他遗迹、化石、钱币或物品属于国家所有。一旦发现上述文物，承包人应采取有效合理的保护措施，防止任何人员移动或损坏上述物品，并立即报告当地文物行政部门，同时通知监理人。发包人、监理人和承包人应按文物行政部门要求采取妥善保护措施，由此导致费用增加和（或）工期延误由发包人承担。</w:t>
      </w:r>
    </w:p>
    <w:p>
      <w:pPr>
        <w:spacing w:line="400" w:lineRule="exact"/>
        <w:ind w:firstLine="420" w:firstLineChars="200"/>
        <w:rPr>
          <w:highlight w:val="none"/>
        </w:rPr>
      </w:pPr>
      <w:r>
        <w:rPr>
          <w:rFonts w:hint="eastAsia"/>
          <w:highlight w:val="none"/>
        </w:rPr>
        <w:t>1.10.2 承包人发现文物后不及时报告或隐瞒不报，致使文物丢失或损坏的，应赔偿损失，并承担相应的法律责任。</w:t>
      </w:r>
    </w:p>
    <w:p>
      <w:pPr>
        <w:pStyle w:val="199"/>
        <w:outlineLvl w:val="0"/>
        <w:rPr>
          <w:highlight w:val="none"/>
        </w:rPr>
      </w:pPr>
      <w:bookmarkStart w:id="441" w:name="_Toc144974590"/>
      <w:bookmarkStart w:id="442" w:name="_Toc338944715"/>
      <w:bookmarkStart w:id="443" w:name="_Toc152042400"/>
      <w:bookmarkStart w:id="444" w:name="_Toc434331188"/>
      <w:bookmarkStart w:id="445" w:name="_Toc179632640"/>
      <w:bookmarkStart w:id="446" w:name="_Toc29948"/>
      <w:bookmarkStart w:id="447" w:name="_Toc342296273"/>
      <w:bookmarkStart w:id="448" w:name="_Toc152045622"/>
      <w:r>
        <w:rPr>
          <w:rFonts w:hint="eastAsia"/>
          <w:highlight w:val="none"/>
        </w:rPr>
        <w:t>1.11 专利技术</w:t>
      </w:r>
      <w:bookmarkEnd w:id="441"/>
      <w:bookmarkEnd w:id="442"/>
      <w:bookmarkEnd w:id="443"/>
      <w:bookmarkEnd w:id="444"/>
      <w:bookmarkEnd w:id="445"/>
      <w:bookmarkEnd w:id="446"/>
      <w:bookmarkEnd w:id="447"/>
      <w:bookmarkEnd w:id="448"/>
    </w:p>
    <w:p>
      <w:pPr>
        <w:spacing w:line="400" w:lineRule="exact"/>
        <w:ind w:firstLine="420" w:firstLineChars="200"/>
        <w:rPr>
          <w:highlight w:val="none"/>
        </w:rPr>
      </w:pPr>
      <w:r>
        <w:rPr>
          <w:rFonts w:hint="eastAsia"/>
          <w:highlight w:val="none"/>
        </w:rPr>
        <w:t>1.11.1 承包人在使用任何材料、承包人设备、工程设备或采用施工工艺时，因侵犯专利权或其他知识产权所引起的责任，由承包人承担，但由于遵照发包人提供的设计或技术标准和要求引起的除外。</w:t>
      </w:r>
    </w:p>
    <w:p>
      <w:pPr>
        <w:spacing w:line="400" w:lineRule="exact"/>
        <w:ind w:firstLine="420" w:firstLineChars="200"/>
        <w:rPr>
          <w:highlight w:val="none"/>
        </w:rPr>
      </w:pPr>
      <w:r>
        <w:rPr>
          <w:rFonts w:hint="eastAsia"/>
          <w:highlight w:val="none"/>
        </w:rPr>
        <w:t>1.11.2 承包人在投标文件中采用专利技术的，专利技术的使用费包含在投标报价内。</w:t>
      </w:r>
    </w:p>
    <w:p>
      <w:pPr>
        <w:spacing w:line="400" w:lineRule="exact"/>
        <w:ind w:firstLine="420" w:firstLineChars="200"/>
        <w:rPr>
          <w:highlight w:val="none"/>
        </w:rPr>
      </w:pPr>
      <w:r>
        <w:rPr>
          <w:rFonts w:hint="eastAsia"/>
          <w:highlight w:val="none"/>
        </w:rPr>
        <w:t>1.11.3 承包人的技术秘密和声明需要保密的资料和信息，发包人和监理人不得为合同以外的目的泄露给他人。</w:t>
      </w:r>
    </w:p>
    <w:p>
      <w:pPr>
        <w:pStyle w:val="199"/>
        <w:outlineLvl w:val="0"/>
        <w:rPr>
          <w:highlight w:val="none"/>
        </w:rPr>
      </w:pPr>
      <w:bookmarkStart w:id="449" w:name="_Toc179632641"/>
      <w:bookmarkStart w:id="450" w:name="_Toc144974591"/>
      <w:bookmarkStart w:id="451" w:name="_Toc342296274"/>
      <w:bookmarkStart w:id="452" w:name="_Toc152042401"/>
      <w:bookmarkStart w:id="453" w:name="_Toc152045623"/>
      <w:bookmarkStart w:id="454" w:name="_Toc1167"/>
      <w:bookmarkStart w:id="455" w:name="_Toc434331189"/>
      <w:bookmarkStart w:id="456" w:name="_Toc338944716"/>
      <w:r>
        <w:rPr>
          <w:rFonts w:hint="eastAsia"/>
          <w:highlight w:val="none"/>
        </w:rPr>
        <w:t>1.12 图纸和文件的保密</w:t>
      </w:r>
      <w:bookmarkEnd w:id="449"/>
      <w:bookmarkEnd w:id="450"/>
      <w:bookmarkEnd w:id="451"/>
      <w:bookmarkEnd w:id="452"/>
      <w:bookmarkEnd w:id="453"/>
      <w:bookmarkEnd w:id="454"/>
      <w:bookmarkEnd w:id="455"/>
      <w:bookmarkEnd w:id="456"/>
    </w:p>
    <w:p>
      <w:pPr>
        <w:spacing w:line="400" w:lineRule="exact"/>
        <w:ind w:firstLine="420" w:firstLineChars="200"/>
        <w:rPr>
          <w:highlight w:val="none"/>
        </w:rPr>
      </w:pPr>
      <w:r>
        <w:rPr>
          <w:rFonts w:hint="eastAsia"/>
          <w:highlight w:val="none"/>
        </w:rPr>
        <w:t>1.12.1 发包人提供的图纸和文件，未经发包人同意，承包人不得为合同以外的目的泄露给他人或公开发表与引用。</w:t>
      </w:r>
    </w:p>
    <w:p>
      <w:pPr>
        <w:spacing w:line="400" w:lineRule="exact"/>
        <w:ind w:firstLine="420" w:firstLineChars="200"/>
        <w:rPr>
          <w:highlight w:val="none"/>
        </w:rPr>
      </w:pPr>
      <w:r>
        <w:rPr>
          <w:rFonts w:hint="eastAsia"/>
          <w:highlight w:val="none"/>
        </w:rPr>
        <w:t>1.12.2 承包人提供的文件，未经承包人同意，发包人和监理人不得为合同以外的目的泄露给他人或公开发表与引用。</w:t>
      </w:r>
    </w:p>
    <w:p>
      <w:pPr>
        <w:pStyle w:val="282"/>
        <w:spacing w:before="0"/>
        <w:outlineLvl w:val="0"/>
        <w:rPr>
          <w:highlight w:val="none"/>
        </w:rPr>
      </w:pPr>
      <w:bookmarkStart w:id="457" w:name="_Toc434331190"/>
      <w:bookmarkStart w:id="458" w:name="_Toc2868"/>
      <w:bookmarkStart w:id="459" w:name="_Toc338944717"/>
      <w:bookmarkStart w:id="460" w:name="_Toc342296275"/>
      <w:r>
        <w:rPr>
          <w:rFonts w:hint="eastAsia"/>
          <w:highlight w:val="none"/>
        </w:rPr>
        <w:t>2. 发包人义务</w:t>
      </w:r>
      <w:bookmarkEnd w:id="457"/>
      <w:bookmarkEnd w:id="458"/>
      <w:bookmarkEnd w:id="459"/>
      <w:bookmarkEnd w:id="460"/>
    </w:p>
    <w:p>
      <w:pPr>
        <w:pStyle w:val="199"/>
        <w:outlineLvl w:val="0"/>
        <w:rPr>
          <w:highlight w:val="none"/>
        </w:rPr>
      </w:pPr>
      <w:bookmarkStart w:id="461" w:name="_Toc338944718"/>
      <w:bookmarkStart w:id="462" w:name="_Toc152045625"/>
      <w:bookmarkStart w:id="463" w:name="_Toc144974593"/>
      <w:bookmarkStart w:id="464" w:name="_Toc12249"/>
      <w:bookmarkStart w:id="465" w:name="_Toc434331191"/>
      <w:bookmarkStart w:id="466" w:name="_Toc152042403"/>
      <w:bookmarkStart w:id="467" w:name="_Toc342296276"/>
      <w:bookmarkStart w:id="468" w:name="_Toc179632643"/>
      <w:r>
        <w:rPr>
          <w:rFonts w:hint="eastAsia"/>
          <w:highlight w:val="none"/>
        </w:rPr>
        <w:t>2.1 遵守法律</w:t>
      </w:r>
      <w:bookmarkEnd w:id="461"/>
      <w:bookmarkEnd w:id="462"/>
      <w:bookmarkEnd w:id="463"/>
      <w:bookmarkEnd w:id="464"/>
      <w:bookmarkEnd w:id="465"/>
      <w:bookmarkEnd w:id="466"/>
      <w:bookmarkEnd w:id="467"/>
      <w:bookmarkEnd w:id="468"/>
    </w:p>
    <w:p>
      <w:pPr>
        <w:spacing w:line="400" w:lineRule="exact"/>
        <w:ind w:firstLine="420" w:firstLineChars="200"/>
        <w:rPr>
          <w:highlight w:val="none"/>
        </w:rPr>
      </w:pPr>
      <w:r>
        <w:rPr>
          <w:rFonts w:hint="eastAsia"/>
          <w:highlight w:val="none"/>
        </w:rPr>
        <w:t>发包人在履行合同过程中应遵守法律，并保证承包人免于承担因发包人违反法律而引起的任何责任。</w:t>
      </w:r>
    </w:p>
    <w:p>
      <w:pPr>
        <w:pStyle w:val="199"/>
        <w:outlineLvl w:val="0"/>
        <w:rPr>
          <w:highlight w:val="none"/>
        </w:rPr>
      </w:pPr>
      <w:bookmarkStart w:id="469" w:name="_Toc342296277"/>
      <w:bookmarkStart w:id="470" w:name="_Toc179632644"/>
      <w:bookmarkStart w:id="471" w:name="_Toc338944719"/>
      <w:bookmarkStart w:id="472" w:name="_Toc152042404"/>
      <w:bookmarkStart w:id="473" w:name="_Toc434331192"/>
      <w:bookmarkStart w:id="474" w:name="_Toc144974594"/>
      <w:bookmarkStart w:id="475" w:name="_Toc152045626"/>
      <w:bookmarkStart w:id="476" w:name="_Toc19996"/>
      <w:r>
        <w:rPr>
          <w:rFonts w:hint="eastAsia"/>
          <w:highlight w:val="none"/>
        </w:rPr>
        <w:t>2.2 发出开工通知</w:t>
      </w:r>
      <w:bookmarkEnd w:id="469"/>
      <w:bookmarkEnd w:id="470"/>
      <w:bookmarkEnd w:id="471"/>
      <w:bookmarkEnd w:id="472"/>
      <w:bookmarkEnd w:id="473"/>
      <w:bookmarkEnd w:id="474"/>
      <w:bookmarkEnd w:id="475"/>
      <w:bookmarkEnd w:id="476"/>
    </w:p>
    <w:p>
      <w:pPr>
        <w:spacing w:line="400" w:lineRule="exact"/>
        <w:ind w:firstLine="420" w:firstLineChars="200"/>
        <w:rPr>
          <w:highlight w:val="none"/>
        </w:rPr>
      </w:pPr>
      <w:r>
        <w:rPr>
          <w:rFonts w:hint="eastAsia"/>
          <w:highlight w:val="none"/>
        </w:rPr>
        <w:t>发包人应委托监理人按第11.1款的约定向承包人发出开工通知。</w:t>
      </w:r>
    </w:p>
    <w:p>
      <w:pPr>
        <w:pStyle w:val="199"/>
        <w:outlineLvl w:val="0"/>
        <w:rPr>
          <w:highlight w:val="none"/>
        </w:rPr>
      </w:pPr>
      <w:bookmarkStart w:id="477" w:name="_Toc27886"/>
      <w:bookmarkStart w:id="478" w:name="_Toc338944720"/>
      <w:bookmarkStart w:id="479" w:name="_Toc434331193"/>
      <w:bookmarkStart w:id="480" w:name="_Toc342296278"/>
      <w:r>
        <w:rPr>
          <w:rFonts w:hint="eastAsia"/>
          <w:highlight w:val="none"/>
        </w:rPr>
        <w:t>2.3 提供施工场地</w:t>
      </w:r>
      <w:bookmarkEnd w:id="477"/>
      <w:bookmarkEnd w:id="478"/>
      <w:bookmarkEnd w:id="479"/>
      <w:bookmarkEnd w:id="480"/>
    </w:p>
    <w:p>
      <w:pPr>
        <w:spacing w:line="400" w:lineRule="exact"/>
        <w:ind w:firstLine="420" w:firstLineChars="200"/>
        <w:rPr>
          <w:highlight w:val="none"/>
        </w:rPr>
      </w:pPr>
      <w:r>
        <w:rPr>
          <w:rFonts w:hint="eastAsia"/>
          <w:highlight w:val="none"/>
        </w:rPr>
        <w:t>发包人应按专用合同条款约定向承包人提供施工场地，以及施工场地内地下管线和地下设施等有关资料，并保证资料的真实、准确、完整。</w:t>
      </w:r>
    </w:p>
    <w:p>
      <w:pPr>
        <w:pStyle w:val="199"/>
        <w:outlineLvl w:val="0"/>
        <w:rPr>
          <w:highlight w:val="none"/>
        </w:rPr>
      </w:pPr>
      <w:bookmarkStart w:id="481" w:name="_Toc338944721"/>
      <w:bookmarkStart w:id="482" w:name="_Toc342296279"/>
      <w:bookmarkStart w:id="483" w:name="_Toc144974596"/>
      <w:bookmarkStart w:id="484" w:name="_Toc2329"/>
      <w:bookmarkStart w:id="485" w:name="_Toc152045628"/>
      <w:bookmarkStart w:id="486" w:name="_Toc434331194"/>
      <w:bookmarkStart w:id="487" w:name="_Toc152042406"/>
      <w:bookmarkStart w:id="488" w:name="_Toc179632646"/>
      <w:r>
        <w:rPr>
          <w:rFonts w:hint="eastAsia"/>
          <w:highlight w:val="none"/>
        </w:rPr>
        <w:t>2.4 协助承包人办理证件和批件</w:t>
      </w:r>
      <w:bookmarkEnd w:id="481"/>
      <w:bookmarkEnd w:id="482"/>
      <w:bookmarkEnd w:id="483"/>
      <w:bookmarkEnd w:id="484"/>
      <w:bookmarkEnd w:id="485"/>
      <w:bookmarkEnd w:id="486"/>
      <w:bookmarkEnd w:id="487"/>
      <w:bookmarkEnd w:id="488"/>
    </w:p>
    <w:p>
      <w:pPr>
        <w:spacing w:line="400" w:lineRule="exact"/>
        <w:ind w:firstLine="420" w:firstLineChars="200"/>
        <w:rPr>
          <w:highlight w:val="none"/>
        </w:rPr>
      </w:pPr>
      <w:r>
        <w:rPr>
          <w:rFonts w:hint="eastAsia"/>
          <w:highlight w:val="none"/>
        </w:rPr>
        <w:t>发包人应协助承包人办理法律规定的有关施工证件和批件。</w:t>
      </w:r>
    </w:p>
    <w:p>
      <w:pPr>
        <w:pStyle w:val="199"/>
        <w:outlineLvl w:val="0"/>
        <w:rPr>
          <w:highlight w:val="none"/>
        </w:rPr>
      </w:pPr>
      <w:bookmarkStart w:id="489" w:name="_Toc338944722"/>
      <w:bookmarkStart w:id="490" w:name="_Toc434331195"/>
      <w:bookmarkStart w:id="491" w:name="_Toc342296280"/>
      <w:bookmarkStart w:id="492" w:name="_Toc23141"/>
      <w:r>
        <w:rPr>
          <w:rFonts w:hint="eastAsia"/>
          <w:highlight w:val="none"/>
        </w:rPr>
        <w:t>2.5 组织设计交底</w:t>
      </w:r>
      <w:bookmarkEnd w:id="489"/>
      <w:bookmarkEnd w:id="490"/>
      <w:bookmarkEnd w:id="491"/>
      <w:bookmarkEnd w:id="492"/>
    </w:p>
    <w:p>
      <w:pPr>
        <w:spacing w:line="400" w:lineRule="exact"/>
        <w:ind w:firstLine="420" w:firstLineChars="200"/>
        <w:rPr>
          <w:highlight w:val="none"/>
        </w:rPr>
      </w:pPr>
      <w:r>
        <w:rPr>
          <w:rFonts w:hint="eastAsia"/>
          <w:highlight w:val="none"/>
        </w:rPr>
        <w:t>发包人应根据合同进度计划，组织设计单位向承包人进行设计交底。</w:t>
      </w:r>
    </w:p>
    <w:p>
      <w:pPr>
        <w:pStyle w:val="199"/>
        <w:outlineLvl w:val="0"/>
        <w:rPr>
          <w:highlight w:val="none"/>
        </w:rPr>
      </w:pPr>
      <w:bookmarkStart w:id="493" w:name="_Toc1539"/>
      <w:bookmarkStart w:id="494" w:name="_Toc342296281"/>
      <w:bookmarkStart w:id="495" w:name="_Toc434331196"/>
      <w:bookmarkStart w:id="496" w:name="_Toc338944723"/>
      <w:r>
        <w:rPr>
          <w:rFonts w:hint="eastAsia"/>
          <w:highlight w:val="none"/>
        </w:rPr>
        <w:t>2.6 支付合同价款</w:t>
      </w:r>
      <w:bookmarkEnd w:id="493"/>
      <w:bookmarkEnd w:id="494"/>
      <w:bookmarkEnd w:id="495"/>
      <w:bookmarkEnd w:id="496"/>
    </w:p>
    <w:p>
      <w:pPr>
        <w:spacing w:line="400" w:lineRule="exact"/>
        <w:ind w:firstLine="420" w:firstLineChars="200"/>
        <w:rPr>
          <w:highlight w:val="none"/>
        </w:rPr>
      </w:pPr>
      <w:r>
        <w:rPr>
          <w:rFonts w:hint="eastAsia"/>
          <w:highlight w:val="none"/>
        </w:rPr>
        <w:t>发包人应按合同约定向承包人及时支付合同价款。</w:t>
      </w:r>
    </w:p>
    <w:p>
      <w:pPr>
        <w:pStyle w:val="199"/>
        <w:outlineLvl w:val="0"/>
        <w:rPr>
          <w:highlight w:val="none"/>
        </w:rPr>
      </w:pPr>
      <w:bookmarkStart w:id="497" w:name="_Toc338944724"/>
      <w:bookmarkStart w:id="498" w:name="_Toc12757"/>
      <w:bookmarkStart w:id="499" w:name="_Toc342296282"/>
      <w:bookmarkStart w:id="500" w:name="_Toc152045631"/>
      <w:bookmarkStart w:id="501" w:name="_Toc144974599"/>
      <w:bookmarkStart w:id="502" w:name="_Toc434331197"/>
      <w:bookmarkStart w:id="503" w:name="_Toc152042409"/>
      <w:bookmarkStart w:id="504" w:name="_Toc179632649"/>
      <w:r>
        <w:rPr>
          <w:rFonts w:hint="eastAsia"/>
          <w:highlight w:val="none"/>
        </w:rPr>
        <w:t>2.7 组织竣工验收</w:t>
      </w:r>
      <w:bookmarkEnd w:id="497"/>
      <w:bookmarkEnd w:id="498"/>
      <w:bookmarkEnd w:id="499"/>
      <w:bookmarkEnd w:id="500"/>
      <w:bookmarkEnd w:id="501"/>
      <w:bookmarkEnd w:id="502"/>
      <w:bookmarkEnd w:id="503"/>
      <w:bookmarkEnd w:id="504"/>
    </w:p>
    <w:p>
      <w:pPr>
        <w:spacing w:line="400" w:lineRule="exact"/>
        <w:ind w:firstLine="420" w:firstLineChars="200"/>
        <w:rPr>
          <w:highlight w:val="none"/>
        </w:rPr>
      </w:pPr>
      <w:r>
        <w:rPr>
          <w:rFonts w:hint="eastAsia"/>
          <w:highlight w:val="none"/>
        </w:rPr>
        <w:t>发包人应按合同约定及时组织竣工验收。</w:t>
      </w:r>
    </w:p>
    <w:p>
      <w:pPr>
        <w:pStyle w:val="199"/>
        <w:outlineLvl w:val="0"/>
        <w:rPr>
          <w:highlight w:val="none"/>
        </w:rPr>
      </w:pPr>
      <w:bookmarkStart w:id="505" w:name="_Toc338944725"/>
      <w:bookmarkStart w:id="506" w:name="_Toc15052"/>
      <w:bookmarkStart w:id="507" w:name="_Toc434331198"/>
      <w:bookmarkStart w:id="508" w:name="_Toc342296283"/>
      <w:r>
        <w:rPr>
          <w:rFonts w:hint="eastAsia"/>
          <w:highlight w:val="none"/>
        </w:rPr>
        <w:t>2.8 其他义务</w:t>
      </w:r>
      <w:bookmarkEnd w:id="505"/>
      <w:bookmarkEnd w:id="506"/>
      <w:bookmarkEnd w:id="507"/>
      <w:bookmarkEnd w:id="508"/>
    </w:p>
    <w:p>
      <w:pPr>
        <w:spacing w:line="400" w:lineRule="exact"/>
        <w:ind w:firstLine="420" w:firstLineChars="200"/>
        <w:rPr>
          <w:highlight w:val="none"/>
        </w:rPr>
      </w:pPr>
      <w:r>
        <w:rPr>
          <w:rFonts w:hint="eastAsia"/>
          <w:highlight w:val="none"/>
        </w:rPr>
        <w:t>发包人应履行合同约定的其他义务。</w:t>
      </w:r>
    </w:p>
    <w:p>
      <w:pPr>
        <w:pStyle w:val="282"/>
        <w:spacing w:before="0"/>
        <w:outlineLvl w:val="0"/>
        <w:rPr>
          <w:highlight w:val="none"/>
        </w:rPr>
      </w:pPr>
      <w:bookmarkStart w:id="509" w:name="_Toc29007"/>
      <w:bookmarkStart w:id="510" w:name="_Toc434331199"/>
      <w:bookmarkStart w:id="511" w:name="_Toc338944726"/>
      <w:bookmarkStart w:id="512" w:name="_Toc342296284"/>
      <w:r>
        <w:rPr>
          <w:rFonts w:hint="eastAsia"/>
          <w:highlight w:val="none"/>
        </w:rPr>
        <w:t>3. 监理人</w:t>
      </w:r>
      <w:bookmarkEnd w:id="509"/>
      <w:bookmarkEnd w:id="510"/>
      <w:bookmarkEnd w:id="511"/>
      <w:bookmarkEnd w:id="512"/>
    </w:p>
    <w:p>
      <w:pPr>
        <w:pStyle w:val="199"/>
        <w:outlineLvl w:val="0"/>
        <w:rPr>
          <w:highlight w:val="none"/>
        </w:rPr>
      </w:pPr>
      <w:bookmarkStart w:id="513" w:name="_Toc434331200"/>
      <w:bookmarkStart w:id="514" w:name="_Toc342296285"/>
      <w:bookmarkStart w:id="515" w:name="_Toc13698"/>
      <w:bookmarkStart w:id="516" w:name="_Toc338944727"/>
      <w:r>
        <w:rPr>
          <w:rFonts w:hint="eastAsia"/>
          <w:highlight w:val="none"/>
        </w:rPr>
        <w:t>3.1 监理人的职责和权力</w:t>
      </w:r>
      <w:bookmarkEnd w:id="513"/>
      <w:bookmarkEnd w:id="514"/>
      <w:bookmarkEnd w:id="515"/>
      <w:bookmarkEnd w:id="516"/>
    </w:p>
    <w:p>
      <w:pPr>
        <w:spacing w:line="400" w:lineRule="exact"/>
        <w:ind w:firstLine="420" w:firstLineChars="200"/>
        <w:rPr>
          <w:highlight w:val="none"/>
        </w:rPr>
      </w:pPr>
      <w:r>
        <w:rPr>
          <w:rFonts w:hint="eastAsia"/>
          <w:highlight w:val="none"/>
        </w:rPr>
        <w:t>3.1.1 监理人受发包人委托，享有合同约定的权力。监理人在行使某项权力前需要经发包人事先批准而通用合同条款没有指明的，应在专用合同条款中指明。</w:t>
      </w:r>
    </w:p>
    <w:p>
      <w:pPr>
        <w:spacing w:line="400" w:lineRule="exact"/>
        <w:ind w:firstLine="420" w:firstLineChars="200"/>
        <w:rPr>
          <w:highlight w:val="none"/>
        </w:rPr>
      </w:pPr>
      <w:r>
        <w:rPr>
          <w:rFonts w:hint="eastAsia"/>
          <w:highlight w:val="none"/>
        </w:rPr>
        <w:t>3.1.2 监理人发出的任何指示应视为已得到发包人的批准，但监理人无权免除或变更合同约定的发包人和承包人的权利、义务和责任。</w:t>
      </w:r>
    </w:p>
    <w:p>
      <w:pPr>
        <w:spacing w:line="400" w:lineRule="exact"/>
        <w:ind w:firstLine="420" w:firstLineChars="200"/>
        <w:rPr>
          <w:highlight w:val="none"/>
        </w:rPr>
      </w:pPr>
      <w:r>
        <w:rPr>
          <w:rFonts w:hint="eastAsia"/>
          <w:highlight w:val="none"/>
        </w:rPr>
        <w:t>3.1.3 合同约定应由承包人承担的义务和责任，不因监理人对承包人提交文件的审查或批准，对工程、材料和设备的检查和检验，以及为实施监理作出的指示等职务行为而减轻或解除。</w:t>
      </w:r>
    </w:p>
    <w:p>
      <w:pPr>
        <w:pStyle w:val="199"/>
        <w:outlineLvl w:val="0"/>
        <w:rPr>
          <w:highlight w:val="none"/>
        </w:rPr>
      </w:pPr>
      <w:bookmarkStart w:id="517" w:name="_Toc179632653"/>
      <w:bookmarkStart w:id="518" w:name="_Toc144974603"/>
      <w:bookmarkStart w:id="519" w:name="_Toc338944728"/>
      <w:bookmarkStart w:id="520" w:name="_Toc152042413"/>
      <w:bookmarkStart w:id="521" w:name="_Toc342296286"/>
      <w:bookmarkStart w:id="522" w:name="_Toc152045635"/>
      <w:bookmarkStart w:id="523" w:name="_Toc434331201"/>
      <w:bookmarkStart w:id="524" w:name="_Toc24033"/>
      <w:r>
        <w:rPr>
          <w:rFonts w:hint="eastAsia"/>
          <w:highlight w:val="none"/>
        </w:rPr>
        <w:t>3.2 总监理工程师</w:t>
      </w:r>
      <w:bookmarkEnd w:id="517"/>
      <w:bookmarkEnd w:id="518"/>
      <w:bookmarkEnd w:id="519"/>
      <w:bookmarkEnd w:id="520"/>
      <w:bookmarkEnd w:id="521"/>
      <w:bookmarkEnd w:id="522"/>
      <w:bookmarkEnd w:id="523"/>
      <w:bookmarkEnd w:id="524"/>
    </w:p>
    <w:p>
      <w:pPr>
        <w:spacing w:line="400" w:lineRule="exact"/>
        <w:ind w:firstLine="420" w:firstLineChars="200"/>
        <w:rPr>
          <w:highlight w:val="none"/>
        </w:rPr>
      </w:pPr>
      <w:r>
        <w:rPr>
          <w:rFonts w:hint="eastAsia"/>
          <w:highlight w:val="none"/>
        </w:rPr>
        <w:t>发包人应在发出开工通知前将总监理工程师的任命通知承包人。总监理工程师更换时，应在调离14天前通知承包人。总监理工程师短期离开施工场地的，应委派代表代行其职责，并通知承包人。</w:t>
      </w:r>
    </w:p>
    <w:p>
      <w:pPr>
        <w:pStyle w:val="199"/>
        <w:outlineLvl w:val="0"/>
        <w:rPr>
          <w:highlight w:val="none"/>
        </w:rPr>
      </w:pPr>
      <w:bookmarkStart w:id="525" w:name="_Toc434331202"/>
      <w:bookmarkStart w:id="526" w:name="_Toc338944729"/>
      <w:bookmarkStart w:id="527" w:name="_Toc342296287"/>
      <w:bookmarkStart w:id="528" w:name="_Toc16718"/>
      <w:r>
        <w:rPr>
          <w:rFonts w:hint="eastAsia"/>
          <w:highlight w:val="none"/>
        </w:rPr>
        <w:t>3.3 监理人员</w:t>
      </w:r>
      <w:bookmarkEnd w:id="525"/>
      <w:bookmarkEnd w:id="526"/>
      <w:bookmarkEnd w:id="527"/>
      <w:bookmarkEnd w:id="528"/>
    </w:p>
    <w:p>
      <w:pPr>
        <w:spacing w:line="400" w:lineRule="exact"/>
        <w:ind w:firstLine="420" w:firstLineChars="200"/>
        <w:rPr>
          <w:highlight w:val="none"/>
        </w:rPr>
      </w:pPr>
      <w:r>
        <w:rPr>
          <w:rFonts w:hint="eastAsia"/>
          <w:highlight w:val="none"/>
        </w:rPr>
        <w:t>3.3.1 总监理工程师可以授权其他监理人员负责执行其指派的一项或多项监理工作。总监理工程师应将被授权监理人员的姓名及其授权范围通知承包人。被授权的监理人员在授权范围内发出的指示视为已得到总监理工程师的同意，与总监理工程师发出的指示具有同等效力。总监理工程师撤销某项授权时，应将撤销授权的决定及时通知承包人。</w:t>
      </w:r>
    </w:p>
    <w:p>
      <w:pPr>
        <w:spacing w:line="400" w:lineRule="exact"/>
        <w:ind w:firstLine="420" w:firstLineChars="200"/>
        <w:rPr>
          <w:highlight w:val="none"/>
        </w:rPr>
      </w:pPr>
      <w:r>
        <w:rPr>
          <w:rFonts w:hint="eastAsia"/>
          <w:highlight w:val="none"/>
        </w:rPr>
        <w:t>3.3.2 监理人员对承包人的任何工作、工程或其采用的材料和工程设备未在约定的或合理的期限内提出否定意见的，视为已获批准，但不影响监理人在以后拒绝该项工作、工程、材料或工程设备的权利。</w:t>
      </w:r>
    </w:p>
    <w:p>
      <w:pPr>
        <w:spacing w:line="400" w:lineRule="exact"/>
        <w:ind w:firstLine="420" w:firstLineChars="200"/>
        <w:rPr>
          <w:highlight w:val="none"/>
        </w:rPr>
      </w:pPr>
      <w:r>
        <w:rPr>
          <w:rFonts w:hint="eastAsia"/>
          <w:highlight w:val="none"/>
        </w:rPr>
        <w:t>3.3.3 承包人对总监理工程师授权的监理人员发出的指示有疑问的，可向总监理工程师提出书面异议，总监理工程师应在48小时内对该指示予以确认、更改或撤销。</w:t>
      </w:r>
    </w:p>
    <w:p>
      <w:pPr>
        <w:spacing w:line="400" w:lineRule="exact"/>
        <w:ind w:firstLine="420" w:firstLineChars="200"/>
        <w:rPr>
          <w:highlight w:val="none"/>
        </w:rPr>
      </w:pPr>
      <w:r>
        <w:rPr>
          <w:rFonts w:hint="eastAsia"/>
          <w:highlight w:val="none"/>
        </w:rPr>
        <w:t>3.3.4 除专用合同条款另有约定外，总监理工程师不应将第3.5款约定应由总监理工程师作出确定的权力授权或委托给其他监理人员。</w:t>
      </w:r>
    </w:p>
    <w:p>
      <w:pPr>
        <w:pStyle w:val="199"/>
        <w:outlineLvl w:val="0"/>
        <w:rPr>
          <w:highlight w:val="none"/>
        </w:rPr>
      </w:pPr>
      <w:bookmarkStart w:id="529" w:name="_Toc342296288"/>
      <w:bookmarkStart w:id="530" w:name="_Toc434331203"/>
      <w:bookmarkStart w:id="531" w:name="_Toc338944730"/>
      <w:bookmarkStart w:id="532" w:name="_Toc3872"/>
      <w:r>
        <w:rPr>
          <w:rFonts w:hint="eastAsia"/>
          <w:highlight w:val="none"/>
        </w:rPr>
        <w:t>3.4 监理人的指示</w:t>
      </w:r>
      <w:bookmarkEnd w:id="529"/>
      <w:bookmarkEnd w:id="530"/>
      <w:bookmarkEnd w:id="531"/>
      <w:bookmarkEnd w:id="532"/>
    </w:p>
    <w:p>
      <w:pPr>
        <w:spacing w:line="400" w:lineRule="exact"/>
        <w:ind w:firstLine="420" w:firstLineChars="200"/>
        <w:rPr>
          <w:highlight w:val="none"/>
        </w:rPr>
      </w:pPr>
      <w:r>
        <w:rPr>
          <w:rFonts w:hint="eastAsia"/>
          <w:highlight w:val="none"/>
        </w:rPr>
        <w:t>3.4.1 监理人应按第3.1款的约定向承包人发出指示，监理人的指示应盖有监理人授权的施工场地机构章，并由总监理工程师或总监理工程师按第3.3.1项约定授权的监理人员签字。</w:t>
      </w:r>
    </w:p>
    <w:p>
      <w:pPr>
        <w:spacing w:line="400" w:lineRule="exact"/>
        <w:ind w:firstLine="420" w:firstLineChars="200"/>
        <w:rPr>
          <w:highlight w:val="none"/>
        </w:rPr>
      </w:pPr>
      <w:r>
        <w:rPr>
          <w:rFonts w:hint="eastAsia"/>
          <w:highlight w:val="none"/>
        </w:rPr>
        <w:t>3.4.2 承包人收到监理人按第3.4.1项作出的指示后应遵照执行。指示构成变更的，应按第15条处理。</w:t>
      </w:r>
    </w:p>
    <w:p>
      <w:pPr>
        <w:spacing w:line="400" w:lineRule="exact"/>
        <w:ind w:firstLine="420" w:firstLineChars="200"/>
        <w:rPr>
          <w:highlight w:val="none"/>
        </w:rPr>
      </w:pPr>
      <w:r>
        <w:rPr>
          <w:rFonts w:hint="eastAsia"/>
          <w:highlight w:val="none"/>
        </w:rPr>
        <w:t>3.4.3 在紧急情况下，总监理工程师或被授权的监理人员可以当场签发临时书面指示，承包人应遵照执行。承包人应在收到上述临时书面指示后24小时内，向监理人发出书面确认函。监理人在收到书面确认函后24小时内未予答复的，该书面确认函应被视为监理人的正式指示。</w:t>
      </w:r>
    </w:p>
    <w:p>
      <w:pPr>
        <w:spacing w:line="400" w:lineRule="exact"/>
        <w:ind w:firstLine="420" w:firstLineChars="200"/>
        <w:rPr>
          <w:highlight w:val="none"/>
        </w:rPr>
      </w:pPr>
      <w:r>
        <w:rPr>
          <w:rFonts w:hint="eastAsia"/>
          <w:highlight w:val="none"/>
        </w:rPr>
        <w:t>3.4.4 除合同另有约定外，承包人只从总监理工程师或按第3.3.1项被授权的监理人员处取得指示。</w:t>
      </w:r>
    </w:p>
    <w:p>
      <w:pPr>
        <w:spacing w:line="400" w:lineRule="exact"/>
        <w:ind w:firstLine="420" w:firstLineChars="200"/>
        <w:rPr>
          <w:highlight w:val="none"/>
        </w:rPr>
      </w:pPr>
      <w:r>
        <w:rPr>
          <w:rFonts w:hint="eastAsia"/>
          <w:highlight w:val="none"/>
        </w:rPr>
        <w:t xml:space="preserve">3.4.5 由于监理人未能按合同约定发出指示、指示延误或指示错误而导致承包人费用增加和（或）工期延误的，由发包人承担赔偿责任。 </w:t>
      </w:r>
    </w:p>
    <w:p>
      <w:pPr>
        <w:pStyle w:val="199"/>
        <w:outlineLvl w:val="0"/>
        <w:rPr>
          <w:highlight w:val="none"/>
        </w:rPr>
      </w:pPr>
      <w:bookmarkStart w:id="533" w:name="_Toc434331204"/>
      <w:bookmarkStart w:id="534" w:name="_Toc21582"/>
      <w:bookmarkStart w:id="535" w:name="_Toc144974606"/>
      <w:bookmarkStart w:id="536" w:name="_Toc338944731"/>
      <w:bookmarkStart w:id="537" w:name="_Toc342296289"/>
      <w:bookmarkStart w:id="538" w:name="_Toc152042416"/>
      <w:bookmarkStart w:id="539" w:name="_Toc152045638"/>
      <w:bookmarkStart w:id="540" w:name="_Toc179632656"/>
      <w:r>
        <w:rPr>
          <w:rFonts w:hint="eastAsia"/>
          <w:highlight w:val="none"/>
        </w:rPr>
        <w:t>3.5 商定或确定</w:t>
      </w:r>
      <w:bookmarkEnd w:id="533"/>
      <w:bookmarkEnd w:id="534"/>
      <w:bookmarkEnd w:id="535"/>
      <w:bookmarkEnd w:id="536"/>
      <w:bookmarkEnd w:id="537"/>
      <w:bookmarkEnd w:id="538"/>
      <w:bookmarkEnd w:id="539"/>
      <w:bookmarkEnd w:id="540"/>
    </w:p>
    <w:p>
      <w:pPr>
        <w:spacing w:line="400" w:lineRule="exact"/>
        <w:ind w:firstLine="420" w:firstLineChars="200"/>
        <w:rPr>
          <w:highlight w:val="none"/>
        </w:rPr>
      </w:pPr>
      <w:r>
        <w:rPr>
          <w:rFonts w:hint="eastAsia"/>
          <w:highlight w:val="none"/>
        </w:rPr>
        <w:t>3.5.1合同约定总监理工程师应按照本款对任何事项进行商定或确定时，总监理工程师应与合同当事人协商，尽量达成一致。不能达成一致的，总监理工程师应认真研究后审慎确定。</w:t>
      </w:r>
    </w:p>
    <w:p>
      <w:pPr>
        <w:spacing w:line="400" w:lineRule="exact"/>
        <w:ind w:firstLine="420" w:firstLineChars="200"/>
        <w:rPr>
          <w:highlight w:val="none"/>
        </w:rPr>
      </w:pPr>
      <w:r>
        <w:rPr>
          <w:rFonts w:hint="eastAsia"/>
          <w:highlight w:val="none"/>
        </w:rPr>
        <w:t>3.5.2 总监理工程师应将商定或确定的事项通知合同当事人，并附详细依据。对总监理工程师的确定有异议的，构成争议，按照第24条的约定处理。在争议解决前，双方应暂按总监理工程师的确定执行，按照第24条的约定对总监理工程师的确定作出修改的，按修改后的结果执行。</w:t>
      </w:r>
    </w:p>
    <w:p>
      <w:pPr>
        <w:pStyle w:val="282"/>
        <w:spacing w:before="0"/>
        <w:outlineLvl w:val="0"/>
        <w:rPr>
          <w:highlight w:val="none"/>
        </w:rPr>
      </w:pPr>
      <w:bookmarkStart w:id="541" w:name="_Toc29701"/>
      <w:bookmarkStart w:id="542" w:name="_Toc338944732"/>
      <w:bookmarkStart w:id="543" w:name="_Toc434331205"/>
      <w:bookmarkStart w:id="544" w:name="_Toc342296290"/>
      <w:r>
        <w:rPr>
          <w:rFonts w:hint="eastAsia"/>
          <w:highlight w:val="none"/>
        </w:rPr>
        <w:t>4. 承包人</w:t>
      </w:r>
      <w:bookmarkEnd w:id="541"/>
      <w:bookmarkEnd w:id="542"/>
      <w:bookmarkEnd w:id="543"/>
      <w:bookmarkEnd w:id="544"/>
    </w:p>
    <w:p>
      <w:pPr>
        <w:pStyle w:val="199"/>
        <w:outlineLvl w:val="0"/>
        <w:rPr>
          <w:highlight w:val="none"/>
        </w:rPr>
      </w:pPr>
      <w:bookmarkStart w:id="545" w:name="_Toc5516"/>
      <w:bookmarkStart w:id="546" w:name="_Toc338944733"/>
      <w:bookmarkStart w:id="547" w:name="_Toc342296291"/>
      <w:bookmarkStart w:id="548" w:name="_Toc434331206"/>
      <w:r>
        <w:rPr>
          <w:rFonts w:hint="eastAsia"/>
          <w:highlight w:val="none"/>
        </w:rPr>
        <w:t>4.1 承包人的一般义务</w:t>
      </w:r>
      <w:bookmarkEnd w:id="545"/>
      <w:bookmarkEnd w:id="546"/>
      <w:bookmarkEnd w:id="547"/>
      <w:bookmarkEnd w:id="548"/>
    </w:p>
    <w:p>
      <w:pPr>
        <w:spacing w:line="400" w:lineRule="exact"/>
        <w:ind w:firstLine="420" w:firstLineChars="200"/>
        <w:rPr>
          <w:highlight w:val="none"/>
        </w:rPr>
      </w:pPr>
      <w:r>
        <w:rPr>
          <w:rFonts w:hint="eastAsia"/>
          <w:highlight w:val="none"/>
        </w:rPr>
        <w:t xml:space="preserve">4.1.1 </w:t>
      </w:r>
      <w:r>
        <w:rPr>
          <w:rFonts w:hint="eastAsia" w:ascii="黑体" w:eastAsia="黑体"/>
          <w:highlight w:val="none"/>
        </w:rPr>
        <w:t>遵守法律</w:t>
      </w:r>
    </w:p>
    <w:p>
      <w:pPr>
        <w:spacing w:line="400" w:lineRule="exact"/>
        <w:ind w:firstLine="420" w:firstLineChars="200"/>
        <w:rPr>
          <w:highlight w:val="none"/>
        </w:rPr>
      </w:pPr>
      <w:r>
        <w:rPr>
          <w:rFonts w:hint="eastAsia"/>
          <w:highlight w:val="none"/>
        </w:rPr>
        <w:t>承包人在履行合同过程中应遵守法律，并保证发包人免于承担因承包人违反法律而引起的任何责任。</w:t>
      </w:r>
    </w:p>
    <w:p>
      <w:pPr>
        <w:spacing w:line="400" w:lineRule="exact"/>
        <w:ind w:firstLine="420" w:firstLineChars="200"/>
        <w:rPr>
          <w:highlight w:val="none"/>
        </w:rPr>
      </w:pPr>
      <w:r>
        <w:rPr>
          <w:rFonts w:hint="eastAsia"/>
          <w:highlight w:val="none"/>
        </w:rPr>
        <w:t xml:space="preserve">4.1.2 </w:t>
      </w:r>
      <w:r>
        <w:rPr>
          <w:rFonts w:hint="eastAsia" w:ascii="黑体" w:eastAsia="黑体"/>
          <w:highlight w:val="none"/>
        </w:rPr>
        <w:t>依法纳税</w:t>
      </w:r>
    </w:p>
    <w:p>
      <w:pPr>
        <w:spacing w:line="400" w:lineRule="exact"/>
        <w:ind w:firstLine="420" w:firstLineChars="200"/>
        <w:rPr>
          <w:highlight w:val="none"/>
        </w:rPr>
      </w:pPr>
      <w:r>
        <w:rPr>
          <w:rFonts w:hint="eastAsia"/>
          <w:highlight w:val="none"/>
        </w:rPr>
        <w:t>承包人应按有关法律规定纳税，应缴纳的税金包括在合同价格内。</w:t>
      </w:r>
    </w:p>
    <w:p>
      <w:pPr>
        <w:spacing w:line="400" w:lineRule="exact"/>
        <w:ind w:firstLine="420" w:firstLineChars="200"/>
        <w:rPr>
          <w:highlight w:val="none"/>
        </w:rPr>
      </w:pPr>
      <w:r>
        <w:rPr>
          <w:rFonts w:hint="eastAsia"/>
          <w:highlight w:val="none"/>
        </w:rPr>
        <w:t xml:space="preserve">4.1.3 </w:t>
      </w:r>
      <w:r>
        <w:rPr>
          <w:rFonts w:hint="eastAsia" w:ascii="黑体" w:eastAsia="黑体"/>
          <w:highlight w:val="none"/>
        </w:rPr>
        <w:t>完成各项承包工作</w:t>
      </w:r>
    </w:p>
    <w:p>
      <w:pPr>
        <w:spacing w:line="400" w:lineRule="exact"/>
        <w:ind w:firstLine="420" w:firstLineChars="200"/>
        <w:rPr>
          <w:highlight w:val="none"/>
        </w:rPr>
      </w:pPr>
      <w:r>
        <w:rPr>
          <w:rFonts w:hint="eastAsia"/>
          <w:highlight w:val="none"/>
        </w:rPr>
        <w:t>承包人应按合同约定以及监理人根据第3.4款作出的指示，实施、完成全部工程，并修补工程中的任何缺陷。除专用合同条款另有约定外，承包人应提供为完成合同工作所需的劳务、材料、施工设备、工程设备和其他物品，并按合同约定负责临时设施的设计、建造、运行、维护、管理和拆除。</w:t>
      </w:r>
    </w:p>
    <w:p>
      <w:pPr>
        <w:spacing w:line="400" w:lineRule="exact"/>
        <w:ind w:firstLine="420" w:firstLineChars="200"/>
        <w:rPr>
          <w:highlight w:val="none"/>
        </w:rPr>
      </w:pPr>
      <w:r>
        <w:rPr>
          <w:rFonts w:hint="eastAsia"/>
          <w:highlight w:val="none"/>
        </w:rPr>
        <w:t xml:space="preserve">4.1.4 </w:t>
      </w:r>
      <w:r>
        <w:rPr>
          <w:rFonts w:hint="eastAsia" w:ascii="黑体" w:eastAsia="黑体"/>
          <w:highlight w:val="none"/>
        </w:rPr>
        <w:t>对施工作业和施工方法的完备性负责</w:t>
      </w:r>
    </w:p>
    <w:p>
      <w:pPr>
        <w:spacing w:line="400" w:lineRule="exact"/>
        <w:ind w:firstLine="420" w:firstLineChars="200"/>
        <w:rPr>
          <w:highlight w:val="none"/>
        </w:rPr>
      </w:pPr>
      <w:r>
        <w:rPr>
          <w:rFonts w:hint="eastAsia"/>
          <w:highlight w:val="none"/>
        </w:rPr>
        <w:t>承包人应按合同约定的工作内容和施工进度要求，编制施工组织设计和施工措施计划，并对所有施工作业和施工方法的完备性和安全可靠性负责。</w:t>
      </w:r>
    </w:p>
    <w:p>
      <w:pPr>
        <w:spacing w:line="400" w:lineRule="exact"/>
        <w:ind w:firstLine="420" w:firstLineChars="200"/>
        <w:rPr>
          <w:highlight w:val="none"/>
        </w:rPr>
      </w:pPr>
      <w:r>
        <w:rPr>
          <w:rFonts w:hint="eastAsia"/>
          <w:highlight w:val="none"/>
        </w:rPr>
        <w:t xml:space="preserve">4.1.5 </w:t>
      </w:r>
      <w:r>
        <w:rPr>
          <w:rFonts w:hint="eastAsia" w:ascii="黑体" w:eastAsia="黑体"/>
          <w:highlight w:val="none"/>
        </w:rPr>
        <w:t>保证工程施工和人员的安全</w:t>
      </w:r>
    </w:p>
    <w:p>
      <w:pPr>
        <w:spacing w:line="400" w:lineRule="exact"/>
        <w:ind w:firstLine="420" w:firstLineChars="200"/>
        <w:rPr>
          <w:highlight w:val="none"/>
        </w:rPr>
      </w:pPr>
      <w:r>
        <w:rPr>
          <w:rFonts w:hint="eastAsia"/>
          <w:highlight w:val="none"/>
        </w:rPr>
        <w:t>承包人应按第9.2款约定采取施工安全措施，确保工程及其人员、材料、设备和设施的安全，防止因工程施工造成的人身伤害和财产损失。</w:t>
      </w:r>
    </w:p>
    <w:p>
      <w:pPr>
        <w:spacing w:line="400" w:lineRule="exact"/>
        <w:ind w:firstLine="420" w:firstLineChars="200"/>
        <w:rPr>
          <w:highlight w:val="none"/>
        </w:rPr>
      </w:pPr>
      <w:r>
        <w:rPr>
          <w:rFonts w:hint="eastAsia"/>
          <w:highlight w:val="none"/>
        </w:rPr>
        <w:t xml:space="preserve">4.1.6 </w:t>
      </w:r>
      <w:r>
        <w:rPr>
          <w:rFonts w:hint="eastAsia" w:ascii="黑体" w:eastAsia="黑体"/>
          <w:highlight w:val="none"/>
        </w:rPr>
        <w:t>负责施工场地及其周边环境与生态的保护工作</w:t>
      </w:r>
    </w:p>
    <w:p>
      <w:pPr>
        <w:spacing w:line="400" w:lineRule="exact"/>
        <w:ind w:firstLine="420" w:firstLineChars="200"/>
        <w:rPr>
          <w:highlight w:val="none"/>
        </w:rPr>
      </w:pPr>
      <w:r>
        <w:rPr>
          <w:rFonts w:hint="eastAsia"/>
          <w:highlight w:val="none"/>
        </w:rPr>
        <w:t>承包人应按照第9.4款约定负责施工场地及其周边环境与生态的保护工作。</w:t>
      </w:r>
    </w:p>
    <w:p>
      <w:pPr>
        <w:spacing w:line="400" w:lineRule="exact"/>
        <w:ind w:firstLine="420" w:firstLineChars="200"/>
        <w:rPr>
          <w:highlight w:val="none"/>
        </w:rPr>
      </w:pPr>
      <w:r>
        <w:rPr>
          <w:rFonts w:hint="eastAsia"/>
          <w:highlight w:val="none"/>
        </w:rPr>
        <w:t xml:space="preserve">4.1.7 </w:t>
      </w:r>
      <w:r>
        <w:rPr>
          <w:rFonts w:hint="eastAsia" w:ascii="黑体" w:eastAsia="黑体"/>
          <w:highlight w:val="none"/>
        </w:rPr>
        <w:t>避免施工对公众与他人的利益造成损害</w:t>
      </w:r>
    </w:p>
    <w:p>
      <w:pPr>
        <w:spacing w:line="400" w:lineRule="exact"/>
        <w:ind w:firstLine="420" w:firstLineChars="200"/>
        <w:rPr>
          <w:highlight w:val="none"/>
        </w:rPr>
      </w:pPr>
      <w:r>
        <w:rPr>
          <w:rFonts w:hint="eastAsia"/>
          <w:highlight w:val="none"/>
        </w:rPr>
        <w:t>承包人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pPr>
        <w:spacing w:line="400" w:lineRule="exact"/>
        <w:ind w:firstLine="420" w:firstLineChars="200"/>
        <w:rPr>
          <w:highlight w:val="none"/>
        </w:rPr>
      </w:pPr>
      <w:r>
        <w:rPr>
          <w:rFonts w:hint="eastAsia"/>
          <w:highlight w:val="none"/>
        </w:rPr>
        <w:t xml:space="preserve">4.1.8 </w:t>
      </w:r>
      <w:r>
        <w:rPr>
          <w:rFonts w:hint="eastAsia" w:ascii="黑体" w:eastAsia="黑体"/>
          <w:highlight w:val="none"/>
        </w:rPr>
        <w:t>为他人提供方便</w:t>
      </w:r>
    </w:p>
    <w:p>
      <w:pPr>
        <w:spacing w:line="400" w:lineRule="exact"/>
        <w:ind w:firstLine="420" w:firstLineChars="200"/>
        <w:rPr>
          <w:highlight w:val="none"/>
        </w:rPr>
      </w:pPr>
      <w:r>
        <w:rPr>
          <w:rFonts w:hint="eastAsia"/>
          <w:highlight w:val="none"/>
        </w:rPr>
        <w:t>承包人应按监理人的指示为他人在施工场地或附近实施与工程有关的其他各项工作提供可能的条件。除合同另有约定外，提供有关条件的内容和可能发生的费用，由监理人按第3.5款商定或确定。</w:t>
      </w:r>
    </w:p>
    <w:p>
      <w:pPr>
        <w:spacing w:line="400" w:lineRule="exact"/>
        <w:ind w:firstLine="420" w:firstLineChars="200"/>
        <w:rPr>
          <w:highlight w:val="none"/>
        </w:rPr>
      </w:pPr>
      <w:r>
        <w:rPr>
          <w:rFonts w:hint="eastAsia"/>
          <w:highlight w:val="none"/>
        </w:rPr>
        <w:t xml:space="preserve">4.1.9 </w:t>
      </w:r>
      <w:r>
        <w:rPr>
          <w:rFonts w:hint="eastAsia" w:ascii="黑体" w:eastAsia="黑体"/>
          <w:highlight w:val="none"/>
        </w:rPr>
        <w:t>工程的维护和照管</w:t>
      </w:r>
    </w:p>
    <w:p>
      <w:pPr>
        <w:spacing w:line="400" w:lineRule="exact"/>
        <w:ind w:firstLine="420" w:firstLineChars="200"/>
        <w:rPr>
          <w:highlight w:val="none"/>
        </w:rPr>
      </w:pPr>
      <w:r>
        <w:rPr>
          <w:rFonts w:hint="eastAsia"/>
          <w:highlight w:val="none"/>
        </w:rPr>
        <w:t>工程接收证书颁发前，承包人应负责照管和维护工程。工程接收证书颁发时尚有部分未竣工工程的，承包人还应负责该未竣工工程的照管和维护工作，直至竣工后移交给发包人为止。</w:t>
      </w:r>
    </w:p>
    <w:p>
      <w:pPr>
        <w:spacing w:line="400" w:lineRule="exact"/>
        <w:ind w:firstLine="420" w:firstLineChars="200"/>
        <w:rPr>
          <w:highlight w:val="none"/>
        </w:rPr>
      </w:pPr>
      <w:r>
        <w:rPr>
          <w:rFonts w:hint="eastAsia"/>
          <w:highlight w:val="none"/>
        </w:rPr>
        <w:t xml:space="preserve">4.1.10 </w:t>
      </w:r>
      <w:r>
        <w:rPr>
          <w:rFonts w:hint="eastAsia" w:ascii="黑体" w:eastAsia="黑体"/>
          <w:highlight w:val="none"/>
        </w:rPr>
        <w:t>其他义务</w:t>
      </w:r>
    </w:p>
    <w:p>
      <w:pPr>
        <w:spacing w:line="400" w:lineRule="exact"/>
        <w:ind w:firstLine="420" w:firstLineChars="200"/>
        <w:rPr>
          <w:highlight w:val="none"/>
        </w:rPr>
      </w:pPr>
      <w:r>
        <w:rPr>
          <w:rFonts w:hint="eastAsia"/>
          <w:highlight w:val="none"/>
        </w:rPr>
        <w:t>承包人应履行合同约定的其他义务。</w:t>
      </w:r>
    </w:p>
    <w:p>
      <w:pPr>
        <w:pStyle w:val="199"/>
        <w:outlineLvl w:val="0"/>
        <w:rPr>
          <w:highlight w:val="none"/>
        </w:rPr>
      </w:pPr>
      <w:bookmarkStart w:id="549" w:name="_Toc144974609"/>
      <w:bookmarkStart w:id="550" w:name="_Toc434331207"/>
      <w:bookmarkStart w:id="551" w:name="_Toc928"/>
      <w:bookmarkStart w:id="552" w:name="_Toc342296292"/>
      <w:bookmarkStart w:id="553" w:name="_Toc338944734"/>
      <w:bookmarkStart w:id="554" w:name="_Toc179632659"/>
      <w:bookmarkStart w:id="555" w:name="_Toc152042419"/>
      <w:bookmarkStart w:id="556" w:name="_Toc152045641"/>
      <w:r>
        <w:rPr>
          <w:rFonts w:hint="eastAsia"/>
          <w:highlight w:val="none"/>
        </w:rPr>
        <w:t>4.2 履约担保</w:t>
      </w:r>
      <w:bookmarkEnd w:id="549"/>
      <w:bookmarkEnd w:id="550"/>
      <w:bookmarkEnd w:id="551"/>
      <w:bookmarkEnd w:id="552"/>
      <w:bookmarkEnd w:id="553"/>
      <w:bookmarkEnd w:id="554"/>
      <w:bookmarkEnd w:id="555"/>
      <w:bookmarkEnd w:id="556"/>
    </w:p>
    <w:p>
      <w:pPr>
        <w:spacing w:line="400" w:lineRule="exact"/>
        <w:ind w:firstLine="420" w:firstLineChars="200"/>
        <w:rPr>
          <w:highlight w:val="none"/>
        </w:rPr>
      </w:pPr>
      <w:r>
        <w:rPr>
          <w:rFonts w:hint="eastAsia"/>
          <w:highlight w:val="none"/>
        </w:rPr>
        <w:t>承包人应保证其履约担保在发包人颁发工程接收证书前一直有效。发包人应在工程接收证书颁发后28天内把履约担保退还给承包人。</w:t>
      </w:r>
    </w:p>
    <w:p>
      <w:pPr>
        <w:pStyle w:val="199"/>
        <w:outlineLvl w:val="0"/>
        <w:rPr>
          <w:highlight w:val="none"/>
        </w:rPr>
      </w:pPr>
      <w:bookmarkStart w:id="557" w:name="_Toc342296293"/>
      <w:bookmarkStart w:id="558" w:name="_Toc338944735"/>
      <w:bookmarkStart w:id="559" w:name="_Toc434331208"/>
      <w:bookmarkStart w:id="560" w:name="_Toc861"/>
      <w:r>
        <w:rPr>
          <w:rFonts w:hint="eastAsia"/>
          <w:highlight w:val="none"/>
        </w:rPr>
        <w:t>4.3 分包</w:t>
      </w:r>
      <w:bookmarkEnd w:id="557"/>
      <w:bookmarkEnd w:id="558"/>
      <w:bookmarkEnd w:id="559"/>
      <w:bookmarkEnd w:id="560"/>
    </w:p>
    <w:p>
      <w:pPr>
        <w:spacing w:line="400" w:lineRule="exact"/>
        <w:ind w:firstLine="420" w:firstLineChars="200"/>
        <w:rPr>
          <w:highlight w:val="none"/>
        </w:rPr>
      </w:pPr>
      <w:r>
        <w:rPr>
          <w:rFonts w:hint="eastAsia"/>
          <w:highlight w:val="none"/>
        </w:rPr>
        <w:t>4.3.1 承包人不得将其承包的全部工程转包给第三人，或将其承包的全部工程肢解后以分包的名义转包给第三人。</w:t>
      </w:r>
    </w:p>
    <w:p>
      <w:pPr>
        <w:spacing w:line="400" w:lineRule="exact"/>
        <w:ind w:firstLine="420" w:firstLineChars="200"/>
        <w:rPr>
          <w:highlight w:val="none"/>
        </w:rPr>
      </w:pPr>
      <w:r>
        <w:rPr>
          <w:rFonts w:hint="eastAsia"/>
          <w:highlight w:val="none"/>
        </w:rPr>
        <w:t>4.3.2 承包人不得将工程主体、关键性工作分包给第三人。除专用合同条款另有约定外，未经发包人同意，承包人不得将工程的其他部分或工作分包给第三人。</w:t>
      </w:r>
    </w:p>
    <w:p>
      <w:pPr>
        <w:spacing w:line="400" w:lineRule="exact"/>
        <w:ind w:firstLine="420" w:firstLineChars="200"/>
        <w:rPr>
          <w:highlight w:val="none"/>
        </w:rPr>
      </w:pPr>
      <w:r>
        <w:rPr>
          <w:rFonts w:hint="eastAsia"/>
          <w:highlight w:val="none"/>
        </w:rPr>
        <w:t>4.3.3 分包人的资格能力应与其分包工程的标准和规模相适应。</w:t>
      </w:r>
    </w:p>
    <w:p>
      <w:pPr>
        <w:spacing w:line="400" w:lineRule="exact"/>
        <w:ind w:firstLine="420" w:firstLineChars="200"/>
        <w:rPr>
          <w:highlight w:val="none"/>
        </w:rPr>
      </w:pPr>
      <w:r>
        <w:rPr>
          <w:rFonts w:hint="eastAsia"/>
          <w:highlight w:val="none"/>
        </w:rPr>
        <w:t>4.3.4 按投标函附录约定分包工程的，承包人应向发包人和监理人提交分包合同副本。</w:t>
      </w:r>
    </w:p>
    <w:p>
      <w:pPr>
        <w:spacing w:line="400" w:lineRule="exact"/>
        <w:ind w:firstLine="420" w:firstLineChars="200"/>
        <w:rPr>
          <w:highlight w:val="none"/>
        </w:rPr>
      </w:pPr>
      <w:r>
        <w:rPr>
          <w:rFonts w:hint="eastAsia"/>
          <w:highlight w:val="none"/>
        </w:rPr>
        <w:t>4.3.5 承包人应与分包人就分包工程向发包人承担连带责任。</w:t>
      </w:r>
    </w:p>
    <w:p>
      <w:pPr>
        <w:pStyle w:val="199"/>
        <w:outlineLvl w:val="0"/>
        <w:rPr>
          <w:highlight w:val="none"/>
        </w:rPr>
      </w:pPr>
      <w:bookmarkStart w:id="561" w:name="_Toc434331209"/>
      <w:bookmarkStart w:id="562" w:name="_Toc179632661"/>
      <w:bookmarkStart w:id="563" w:name="_Toc8298"/>
      <w:bookmarkStart w:id="564" w:name="_Toc152045643"/>
      <w:bookmarkStart w:id="565" w:name="_Toc152042421"/>
      <w:bookmarkStart w:id="566" w:name="_Toc144974611"/>
      <w:bookmarkStart w:id="567" w:name="_Toc342296294"/>
      <w:bookmarkStart w:id="568" w:name="_Toc338944736"/>
      <w:r>
        <w:rPr>
          <w:rFonts w:hint="eastAsia"/>
          <w:highlight w:val="none"/>
        </w:rPr>
        <w:t>4.4 联合体</w:t>
      </w:r>
      <w:bookmarkEnd w:id="561"/>
      <w:bookmarkEnd w:id="562"/>
      <w:bookmarkEnd w:id="563"/>
      <w:bookmarkEnd w:id="564"/>
      <w:bookmarkEnd w:id="565"/>
      <w:bookmarkEnd w:id="566"/>
      <w:bookmarkEnd w:id="567"/>
      <w:bookmarkEnd w:id="568"/>
    </w:p>
    <w:p>
      <w:pPr>
        <w:spacing w:line="400" w:lineRule="exact"/>
        <w:ind w:firstLine="420" w:firstLineChars="200"/>
        <w:rPr>
          <w:highlight w:val="none"/>
        </w:rPr>
      </w:pPr>
      <w:r>
        <w:rPr>
          <w:rFonts w:hint="eastAsia"/>
          <w:highlight w:val="none"/>
        </w:rPr>
        <w:t>4.4.1 联合体各方应共同与发包人签订合同协议书。联合体各方应为履行合同承担连带责任。</w:t>
      </w:r>
    </w:p>
    <w:p>
      <w:pPr>
        <w:spacing w:line="400" w:lineRule="exact"/>
        <w:ind w:firstLine="420" w:firstLineChars="200"/>
        <w:rPr>
          <w:highlight w:val="none"/>
        </w:rPr>
      </w:pPr>
      <w:r>
        <w:rPr>
          <w:rFonts w:hint="eastAsia"/>
          <w:highlight w:val="none"/>
        </w:rPr>
        <w:t>4.4.2 联合体协议经发包人确认后作为合同附件。在履行合同过程中，未经发包人同意，不得修改联合体协议。</w:t>
      </w:r>
    </w:p>
    <w:p>
      <w:pPr>
        <w:spacing w:line="400" w:lineRule="exact"/>
        <w:ind w:firstLine="420" w:firstLineChars="200"/>
        <w:rPr>
          <w:highlight w:val="none"/>
        </w:rPr>
      </w:pPr>
      <w:r>
        <w:rPr>
          <w:rFonts w:hint="eastAsia"/>
          <w:highlight w:val="none"/>
        </w:rPr>
        <w:t>4.4.3 联合体牵头人负责与发包人和监理人联系，并接受指示，负责组织联合体各成员全面履行合同。</w:t>
      </w:r>
    </w:p>
    <w:p>
      <w:pPr>
        <w:pStyle w:val="199"/>
        <w:outlineLvl w:val="0"/>
        <w:rPr>
          <w:highlight w:val="none"/>
        </w:rPr>
      </w:pPr>
      <w:bookmarkStart w:id="569" w:name="_Toc338944737"/>
      <w:bookmarkStart w:id="570" w:name="_Toc17892"/>
      <w:bookmarkStart w:id="571" w:name="_Toc434331210"/>
      <w:bookmarkStart w:id="572" w:name="_Toc342296295"/>
      <w:r>
        <w:rPr>
          <w:rFonts w:hint="eastAsia"/>
          <w:highlight w:val="none"/>
        </w:rPr>
        <w:t>4.5 承包人项目经理</w:t>
      </w:r>
      <w:bookmarkEnd w:id="569"/>
      <w:bookmarkEnd w:id="570"/>
      <w:bookmarkEnd w:id="571"/>
      <w:bookmarkEnd w:id="572"/>
    </w:p>
    <w:p>
      <w:pPr>
        <w:spacing w:line="400" w:lineRule="exact"/>
        <w:ind w:firstLine="420" w:firstLineChars="200"/>
        <w:rPr>
          <w:highlight w:val="none"/>
        </w:rPr>
      </w:pPr>
      <w:r>
        <w:rPr>
          <w:rFonts w:hint="eastAsia"/>
          <w:highlight w:val="none"/>
        </w:rPr>
        <w:t>4.5.1承包人应按合同约定指派项目经理，并在约定的期限内到职。承包人更换项目经理应事先征得发包人同意，并应在更换14天前通知发包人和监理人。承包人项目经理短期离开施工场地，应事先征得监理人同意，并委派代表代行其职责。</w:t>
      </w:r>
    </w:p>
    <w:p>
      <w:pPr>
        <w:spacing w:line="400" w:lineRule="exact"/>
        <w:ind w:firstLine="420" w:firstLineChars="200"/>
        <w:rPr>
          <w:highlight w:val="none"/>
        </w:rPr>
      </w:pPr>
      <w:r>
        <w:rPr>
          <w:rFonts w:hint="eastAsia"/>
          <w:highlight w:val="none"/>
        </w:rPr>
        <w:t>4.5.2 承包人项目经理应按合同约定以及监理人按第3.4款作出的指示，负责组织合同工程的实施。在情况紧急且无法与监理人取得联系时，可采取保证工程和人员生命财产安全的紧急措施，并在采取措施后24小时内向监理人提交书面报告。</w:t>
      </w:r>
    </w:p>
    <w:p>
      <w:pPr>
        <w:spacing w:line="400" w:lineRule="exact"/>
        <w:ind w:firstLine="420" w:firstLineChars="200"/>
        <w:rPr>
          <w:highlight w:val="none"/>
        </w:rPr>
      </w:pPr>
      <w:r>
        <w:rPr>
          <w:rFonts w:hint="eastAsia"/>
          <w:highlight w:val="none"/>
        </w:rPr>
        <w:t>4.5.3承包人为履行合同发出的一切函件均应盖有承包人授权的施工场地管理机构章，并由承包人项目经理或其授权代表签字。</w:t>
      </w:r>
    </w:p>
    <w:p>
      <w:pPr>
        <w:spacing w:line="400" w:lineRule="exact"/>
        <w:ind w:firstLine="420" w:firstLineChars="200"/>
        <w:rPr>
          <w:highlight w:val="none"/>
        </w:rPr>
      </w:pPr>
      <w:r>
        <w:rPr>
          <w:rFonts w:hint="eastAsia"/>
          <w:highlight w:val="none"/>
        </w:rPr>
        <w:t>4.5.4 承包人项目经理可以授权其下属人员履行其某项职责，但事先应将这些人员的姓名和授权范围通知监理人。</w:t>
      </w:r>
    </w:p>
    <w:p>
      <w:pPr>
        <w:pStyle w:val="199"/>
        <w:outlineLvl w:val="0"/>
        <w:rPr>
          <w:highlight w:val="none"/>
        </w:rPr>
      </w:pPr>
      <w:bookmarkStart w:id="573" w:name="_Toc338944738"/>
      <w:bookmarkStart w:id="574" w:name="_Toc144974613"/>
      <w:bookmarkStart w:id="575" w:name="_Toc152042423"/>
      <w:bookmarkStart w:id="576" w:name="_Toc179632663"/>
      <w:bookmarkStart w:id="577" w:name="_Toc152045645"/>
      <w:bookmarkStart w:id="578" w:name="_Toc342296296"/>
      <w:bookmarkStart w:id="579" w:name="_Toc11080"/>
      <w:bookmarkStart w:id="580" w:name="_Toc434331211"/>
      <w:r>
        <w:rPr>
          <w:rFonts w:hint="eastAsia"/>
          <w:highlight w:val="none"/>
        </w:rPr>
        <w:t>4.6 承包人人员的管理</w:t>
      </w:r>
      <w:bookmarkEnd w:id="573"/>
      <w:bookmarkEnd w:id="574"/>
      <w:bookmarkEnd w:id="575"/>
      <w:bookmarkEnd w:id="576"/>
      <w:bookmarkEnd w:id="577"/>
      <w:bookmarkEnd w:id="578"/>
      <w:bookmarkEnd w:id="579"/>
      <w:bookmarkEnd w:id="580"/>
    </w:p>
    <w:p>
      <w:pPr>
        <w:spacing w:line="400" w:lineRule="exact"/>
        <w:ind w:firstLine="420" w:firstLineChars="200"/>
        <w:rPr>
          <w:highlight w:val="none"/>
        </w:rPr>
      </w:pPr>
      <w:r>
        <w:rPr>
          <w:rFonts w:hint="eastAsia"/>
          <w:highlight w:val="none"/>
        </w:rPr>
        <w:t>4.6.1 承包人应在接到开工通知后28天内，向监理人提交承包人在施工场地的管理机构以及人员安排的报告，其内容应包括管理机构的设置、各主要岗位的技术和管理人员名单及其资格，以及各工种技术工人的安排状况。承包人应向监理人提交施工场地人员变动情况的报告。</w:t>
      </w:r>
    </w:p>
    <w:p>
      <w:pPr>
        <w:spacing w:line="400" w:lineRule="exact"/>
        <w:ind w:firstLine="420" w:firstLineChars="200"/>
        <w:rPr>
          <w:highlight w:val="none"/>
        </w:rPr>
      </w:pPr>
      <w:r>
        <w:rPr>
          <w:rFonts w:hint="eastAsia"/>
          <w:highlight w:val="none"/>
        </w:rPr>
        <w:t>4.6.2 为完成合同约定的各项工作，承包人应向施工场地派遣或雇佣足够数量的下列人员：</w:t>
      </w:r>
    </w:p>
    <w:p>
      <w:pPr>
        <w:spacing w:line="400" w:lineRule="exact"/>
        <w:ind w:firstLine="718" w:firstLineChars="342"/>
        <w:rPr>
          <w:highlight w:val="none"/>
        </w:rPr>
      </w:pPr>
      <w:r>
        <w:rPr>
          <w:rFonts w:hint="eastAsia"/>
          <w:highlight w:val="none"/>
        </w:rPr>
        <w:t>（1）具有相应资格的专业技工和合格的普工；</w:t>
      </w:r>
    </w:p>
    <w:p>
      <w:pPr>
        <w:spacing w:line="400" w:lineRule="exact"/>
        <w:ind w:firstLine="718" w:firstLineChars="342"/>
        <w:rPr>
          <w:highlight w:val="none"/>
        </w:rPr>
      </w:pPr>
      <w:r>
        <w:rPr>
          <w:rFonts w:hint="eastAsia"/>
          <w:highlight w:val="none"/>
        </w:rPr>
        <w:t>（2）具有相应施工经验的技术人员；</w:t>
      </w:r>
    </w:p>
    <w:p>
      <w:pPr>
        <w:spacing w:line="400" w:lineRule="exact"/>
        <w:ind w:firstLine="718" w:firstLineChars="342"/>
        <w:rPr>
          <w:highlight w:val="none"/>
        </w:rPr>
      </w:pPr>
      <w:r>
        <w:rPr>
          <w:rFonts w:hint="eastAsia"/>
          <w:highlight w:val="none"/>
        </w:rPr>
        <w:t>（3）具有相应岗位资格的各级管理人员。</w:t>
      </w:r>
    </w:p>
    <w:p>
      <w:pPr>
        <w:spacing w:line="400" w:lineRule="exact"/>
        <w:ind w:firstLine="420" w:firstLineChars="200"/>
        <w:rPr>
          <w:highlight w:val="none"/>
        </w:rPr>
      </w:pPr>
      <w:r>
        <w:rPr>
          <w:rFonts w:hint="eastAsia"/>
          <w:highlight w:val="none"/>
        </w:rPr>
        <w:t>4.6.3 承包人安排在施工场地的主要管理人员和技术骨干应相对稳定。承包人更换主要管理人员和技术骨干时，应取得监理人的同意。</w:t>
      </w:r>
    </w:p>
    <w:p>
      <w:pPr>
        <w:spacing w:line="400" w:lineRule="exact"/>
        <w:ind w:firstLine="420" w:firstLineChars="200"/>
        <w:rPr>
          <w:highlight w:val="none"/>
        </w:rPr>
      </w:pPr>
      <w:r>
        <w:rPr>
          <w:rFonts w:hint="eastAsia"/>
          <w:highlight w:val="none"/>
        </w:rPr>
        <w:t>4.6.4 特殊岗位的工作人员均应持有相应的资格证明，监理人有权随时检查。监理人认为有必要时，可进行现场考核。</w:t>
      </w:r>
    </w:p>
    <w:p>
      <w:pPr>
        <w:pStyle w:val="199"/>
        <w:outlineLvl w:val="0"/>
        <w:rPr>
          <w:highlight w:val="none"/>
        </w:rPr>
      </w:pPr>
      <w:bookmarkStart w:id="581" w:name="_Toc179632664"/>
      <w:bookmarkStart w:id="582" w:name="_Toc144974614"/>
      <w:bookmarkStart w:id="583" w:name="_Toc152045646"/>
      <w:bookmarkStart w:id="584" w:name="_Toc22163"/>
      <w:bookmarkStart w:id="585" w:name="_Toc152042424"/>
      <w:bookmarkStart w:id="586" w:name="_Toc434331212"/>
      <w:bookmarkStart w:id="587" w:name="_Toc342296297"/>
      <w:bookmarkStart w:id="588" w:name="_Toc338944739"/>
      <w:r>
        <w:rPr>
          <w:rFonts w:hint="eastAsia"/>
          <w:highlight w:val="none"/>
        </w:rPr>
        <w:t>4.7 撤换承包人项目经理和其他人员</w:t>
      </w:r>
      <w:bookmarkEnd w:id="581"/>
      <w:bookmarkEnd w:id="582"/>
      <w:bookmarkEnd w:id="583"/>
      <w:bookmarkEnd w:id="584"/>
      <w:bookmarkEnd w:id="585"/>
      <w:bookmarkEnd w:id="586"/>
      <w:bookmarkEnd w:id="587"/>
      <w:bookmarkEnd w:id="588"/>
    </w:p>
    <w:p>
      <w:pPr>
        <w:spacing w:line="400" w:lineRule="exact"/>
        <w:ind w:firstLine="420" w:firstLineChars="200"/>
        <w:rPr>
          <w:highlight w:val="none"/>
        </w:rPr>
      </w:pPr>
      <w:r>
        <w:rPr>
          <w:rFonts w:hint="eastAsia"/>
          <w:highlight w:val="none"/>
        </w:rPr>
        <w:t>承包人应对其项目经理和其他人员进行有效管理。监理人要求撤换不能胜任本职工作、行为不端或玩忽职守的承包人项目经理和其他人员的，承包人应予以撤换。</w:t>
      </w:r>
    </w:p>
    <w:p>
      <w:pPr>
        <w:pStyle w:val="199"/>
        <w:outlineLvl w:val="0"/>
        <w:rPr>
          <w:highlight w:val="none"/>
        </w:rPr>
      </w:pPr>
      <w:bookmarkStart w:id="589" w:name="_Toc434331213"/>
      <w:bookmarkStart w:id="590" w:name="_Toc152042425"/>
      <w:bookmarkStart w:id="591" w:name="_Toc144974615"/>
      <w:bookmarkStart w:id="592" w:name="_Toc179632665"/>
      <w:bookmarkStart w:id="593" w:name="_Toc342296298"/>
      <w:bookmarkStart w:id="594" w:name="_Toc152045647"/>
      <w:bookmarkStart w:id="595" w:name="_Toc27513"/>
      <w:bookmarkStart w:id="596" w:name="_Toc338944740"/>
      <w:r>
        <w:rPr>
          <w:rFonts w:hint="eastAsia"/>
          <w:highlight w:val="none"/>
        </w:rPr>
        <w:t>4.8 保障承包人人员的合法权益</w:t>
      </w:r>
      <w:bookmarkEnd w:id="589"/>
      <w:bookmarkEnd w:id="590"/>
      <w:bookmarkEnd w:id="591"/>
      <w:bookmarkEnd w:id="592"/>
      <w:bookmarkEnd w:id="593"/>
      <w:bookmarkEnd w:id="594"/>
      <w:bookmarkEnd w:id="595"/>
      <w:bookmarkEnd w:id="596"/>
    </w:p>
    <w:p>
      <w:pPr>
        <w:spacing w:line="400" w:lineRule="exact"/>
        <w:ind w:firstLine="420" w:firstLineChars="200"/>
        <w:rPr>
          <w:highlight w:val="none"/>
        </w:rPr>
      </w:pPr>
      <w:r>
        <w:rPr>
          <w:rFonts w:hint="eastAsia"/>
          <w:highlight w:val="none"/>
        </w:rPr>
        <w:t>4.8.1 承包人应与其雇佣的人员签订劳动合同，并按时发放工资。</w:t>
      </w:r>
    </w:p>
    <w:p>
      <w:pPr>
        <w:spacing w:line="400" w:lineRule="exact"/>
        <w:ind w:firstLine="420" w:firstLineChars="200"/>
        <w:rPr>
          <w:highlight w:val="none"/>
        </w:rPr>
      </w:pPr>
      <w:r>
        <w:rPr>
          <w:rFonts w:hint="eastAsia"/>
          <w:highlight w:val="none"/>
        </w:rPr>
        <w:t>4.8.2 承包人应按劳动法的规定安排工作时间，保证其雇佣人员享有休息和休假的权利。因工程施工的特殊需要占用休假日或延长工作时间的，应不超过法律规定的限度，并按法律规定给予补休或付酬。</w:t>
      </w:r>
    </w:p>
    <w:p>
      <w:pPr>
        <w:spacing w:line="400" w:lineRule="exact"/>
        <w:ind w:firstLine="420" w:firstLineChars="200"/>
        <w:rPr>
          <w:highlight w:val="none"/>
        </w:rPr>
      </w:pPr>
      <w:r>
        <w:rPr>
          <w:rFonts w:hint="eastAsia"/>
          <w:highlight w:val="none"/>
        </w:rPr>
        <w:t>4.8.3 承包人应为其雇佣人员提供必要的食宿条件，以及符合环境保护和卫生要求的生活环境，在远离城镇的施工场地，还应配备必要的伤病防治和急救的医务人员与医疗设施。</w:t>
      </w:r>
    </w:p>
    <w:p>
      <w:pPr>
        <w:spacing w:line="400" w:lineRule="exact"/>
        <w:ind w:firstLine="420" w:firstLineChars="200"/>
        <w:rPr>
          <w:highlight w:val="none"/>
        </w:rPr>
      </w:pPr>
      <w:r>
        <w:rPr>
          <w:rFonts w:hint="eastAsia"/>
          <w:highlight w:val="none"/>
        </w:rPr>
        <w:t>4.8.4 承包人应按国家有关劳动保护的规定，采取有效的防止粉尘、降低噪声、控制有害气体和保障高温、高寒、高空作业安全等劳动保护措施。其雇佣人员在施工中受到伤害的，承包人应立即采取有效措施进行抢救和治疗。</w:t>
      </w:r>
    </w:p>
    <w:p>
      <w:pPr>
        <w:spacing w:line="400" w:lineRule="exact"/>
        <w:ind w:firstLine="420" w:firstLineChars="200"/>
        <w:rPr>
          <w:highlight w:val="none"/>
        </w:rPr>
      </w:pPr>
      <w:r>
        <w:rPr>
          <w:rFonts w:hint="eastAsia"/>
          <w:highlight w:val="none"/>
        </w:rPr>
        <w:t>4.8.5 承包人应按有关法律规定和合同约定，为其雇佣人员办理保险。</w:t>
      </w:r>
    </w:p>
    <w:p>
      <w:pPr>
        <w:spacing w:line="400" w:lineRule="exact"/>
        <w:ind w:firstLine="420" w:firstLineChars="200"/>
        <w:rPr>
          <w:highlight w:val="none"/>
        </w:rPr>
      </w:pPr>
      <w:r>
        <w:rPr>
          <w:rFonts w:hint="eastAsia"/>
          <w:highlight w:val="none"/>
        </w:rPr>
        <w:t>4.8.6 承包人应负责处理其雇佣人员因工伤亡事故的善后事宜。</w:t>
      </w:r>
    </w:p>
    <w:p>
      <w:pPr>
        <w:pStyle w:val="199"/>
        <w:outlineLvl w:val="0"/>
        <w:rPr>
          <w:highlight w:val="none"/>
        </w:rPr>
      </w:pPr>
      <w:bookmarkStart w:id="597" w:name="_Toc434331214"/>
      <w:bookmarkStart w:id="598" w:name="_Toc179632666"/>
      <w:bookmarkStart w:id="599" w:name="_Toc342296299"/>
      <w:bookmarkStart w:id="600" w:name="_Toc144974616"/>
      <w:bookmarkStart w:id="601" w:name="_Toc152042426"/>
      <w:bookmarkStart w:id="602" w:name="_Toc11493"/>
      <w:bookmarkStart w:id="603" w:name="_Toc338944741"/>
      <w:bookmarkStart w:id="604" w:name="_Toc152045648"/>
      <w:r>
        <w:rPr>
          <w:rFonts w:hint="eastAsia"/>
          <w:highlight w:val="none"/>
        </w:rPr>
        <w:t>4.9 工程价款应专款专用</w:t>
      </w:r>
      <w:bookmarkEnd w:id="597"/>
      <w:bookmarkEnd w:id="598"/>
      <w:bookmarkEnd w:id="599"/>
      <w:bookmarkEnd w:id="600"/>
      <w:bookmarkEnd w:id="601"/>
      <w:bookmarkEnd w:id="602"/>
      <w:bookmarkEnd w:id="603"/>
      <w:bookmarkEnd w:id="604"/>
    </w:p>
    <w:p>
      <w:pPr>
        <w:spacing w:line="400" w:lineRule="exact"/>
        <w:ind w:firstLine="420" w:firstLineChars="200"/>
        <w:rPr>
          <w:highlight w:val="none"/>
        </w:rPr>
      </w:pPr>
      <w:r>
        <w:rPr>
          <w:rFonts w:hint="eastAsia"/>
          <w:highlight w:val="none"/>
        </w:rPr>
        <w:t>发包人按合同约定支付给承包人的各项价款应专用于合同工程。</w:t>
      </w:r>
    </w:p>
    <w:p>
      <w:pPr>
        <w:pStyle w:val="199"/>
        <w:outlineLvl w:val="0"/>
        <w:rPr>
          <w:highlight w:val="none"/>
        </w:rPr>
      </w:pPr>
      <w:bookmarkStart w:id="605" w:name="_Toc152042427"/>
      <w:bookmarkStart w:id="606" w:name="_Toc338944742"/>
      <w:bookmarkStart w:id="607" w:name="_Toc152045649"/>
      <w:bookmarkStart w:id="608" w:name="_Toc179632667"/>
      <w:bookmarkStart w:id="609" w:name="_Toc342296300"/>
      <w:bookmarkStart w:id="610" w:name="_Toc23290"/>
      <w:bookmarkStart w:id="611" w:name="_Toc144974617"/>
      <w:bookmarkStart w:id="612" w:name="_Toc434331215"/>
      <w:r>
        <w:rPr>
          <w:rFonts w:hint="eastAsia"/>
          <w:highlight w:val="none"/>
        </w:rPr>
        <w:t>4.10 承包人现场查勘</w:t>
      </w:r>
      <w:bookmarkEnd w:id="605"/>
      <w:bookmarkEnd w:id="606"/>
      <w:bookmarkEnd w:id="607"/>
      <w:bookmarkEnd w:id="608"/>
      <w:bookmarkEnd w:id="609"/>
      <w:bookmarkEnd w:id="610"/>
      <w:bookmarkEnd w:id="611"/>
      <w:bookmarkEnd w:id="612"/>
      <w:r>
        <w:rPr>
          <w:rFonts w:hint="eastAsia"/>
          <w:highlight w:val="none"/>
        </w:rPr>
        <w:t xml:space="preserve">                                                                                                           </w:t>
      </w:r>
    </w:p>
    <w:p>
      <w:pPr>
        <w:spacing w:line="400" w:lineRule="exact"/>
        <w:ind w:firstLine="420" w:firstLineChars="200"/>
        <w:rPr>
          <w:highlight w:val="none"/>
        </w:rPr>
      </w:pPr>
      <w:r>
        <w:rPr>
          <w:rFonts w:hint="eastAsia"/>
          <w:highlight w:val="none"/>
        </w:rPr>
        <w:t>4.10.1 发包人应将其持有的现场地质勘探资料、水文气象资料提供给承包人，并对其准确性负责。但承包人应对其阅读上述有关资料后所作出的解释和推断负责。</w:t>
      </w:r>
    </w:p>
    <w:p>
      <w:pPr>
        <w:spacing w:line="400" w:lineRule="exact"/>
        <w:ind w:firstLine="420" w:firstLineChars="200"/>
        <w:rPr>
          <w:highlight w:val="none"/>
        </w:rPr>
      </w:pPr>
      <w:r>
        <w:rPr>
          <w:rFonts w:hint="eastAsia"/>
          <w:highlight w:val="none"/>
        </w:rPr>
        <w:t>4.10.2 承包人应对施工场地和周围环境进行查勘，并收集有关地质、水文、气象条件、交通条件、风俗习惯以及其他为完成合同工作有关的当地资料。在全部合同工作中，应视为承包人已充分估计了应承担的责任和风险。</w:t>
      </w:r>
    </w:p>
    <w:p>
      <w:pPr>
        <w:pStyle w:val="199"/>
        <w:outlineLvl w:val="0"/>
        <w:rPr>
          <w:highlight w:val="none"/>
        </w:rPr>
      </w:pPr>
      <w:bookmarkStart w:id="613" w:name="_Toc24990"/>
      <w:bookmarkStart w:id="614" w:name="_Toc434331216"/>
      <w:bookmarkStart w:id="615" w:name="_Toc342296301"/>
      <w:bookmarkStart w:id="616" w:name="_Toc338944743"/>
      <w:r>
        <w:rPr>
          <w:rFonts w:hint="eastAsia"/>
          <w:highlight w:val="none"/>
        </w:rPr>
        <w:t>4.11 不利物质条件</w:t>
      </w:r>
      <w:bookmarkEnd w:id="613"/>
      <w:bookmarkEnd w:id="614"/>
      <w:bookmarkEnd w:id="615"/>
      <w:bookmarkEnd w:id="616"/>
    </w:p>
    <w:p>
      <w:pPr>
        <w:spacing w:line="400" w:lineRule="exact"/>
        <w:ind w:firstLine="420" w:firstLineChars="200"/>
        <w:rPr>
          <w:highlight w:val="none"/>
        </w:rPr>
      </w:pPr>
      <w:r>
        <w:rPr>
          <w:rFonts w:hint="eastAsia"/>
          <w:highlight w:val="none"/>
        </w:rPr>
        <w:t>4.11.1 不利物质条件，除专用合同条款另有约定外，是指承包人在施工场地遇到的不可预见的自然物质条件、非自然的物质障碍和污染物，包括地下和水文条件，但不包括气候条件。</w:t>
      </w:r>
    </w:p>
    <w:p>
      <w:pPr>
        <w:spacing w:line="400" w:lineRule="exact"/>
        <w:ind w:firstLine="420" w:firstLineChars="200"/>
        <w:rPr>
          <w:highlight w:val="none"/>
        </w:rPr>
      </w:pPr>
      <w:r>
        <w:rPr>
          <w:rFonts w:hint="eastAsia"/>
          <w:highlight w:val="none"/>
        </w:rPr>
        <w:t>4.11.2 承包人遇到不利物质条件时，应采取适应不利物质条件的合理措施继续施工，并及时通知监理人。监理人应当及时发出指示，指示构成变更的，按第15条约定办理。监理人没有发出指示的，承包人因采取合理措施而增加的费用和（或）工期延误，由发包人承担。</w:t>
      </w:r>
    </w:p>
    <w:p>
      <w:pPr>
        <w:pStyle w:val="282"/>
        <w:spacing w:before="0"/>
        <w:outlineLvl w:val="0"/>
        <w:rPr>
          <w:highlight w:val="none"/>
        </w:rPr>
      </w:pPr>
      <w:bookmarkStart w:id="617" w:name="_Toc9014"/>
      <w:bookmarkStart w:id="618" w:name="_Toc434331217"/>
      <w:bookmarkStart w:id="619" w:name="_Toc338944744"/>
      <w:bookmarkStart w:id="620" w:name="_Toc342296302"/>
      <w:r>
        <w:rPr>
          <w:rFonts w:hint="eastAsia"/>
          <w:highlight w:val="none"/>
        </w:rPr>
        <w:t>5. 材料和工程设备</w:t>
      </w:r>
      <w:bookmarkEnd w:id="617"/>
      <w:bookmarkEnd w:id="618"/>
      <w:bookmarkEnd w:id="619"/>
      <w:bookmarkEnd w:id="620"/>
    </w:p>
    <w:p>
      <w:pPr>
        <w:pStyle w:val="199"/>
        <w:outlineLvl w:val="0"/>
        <w:rPr>
          <w:highlight w:val="none"/>
        </w:rPr>
      </w:pPr>
      <w:bookmarkStart w:id="621" w:name="_Toc342296303"/>
      <w:bookmarkStart w:id="622" w:name="_Toc434331218"/>
      <w:bookmarkStart w:id="623" w:name="_Toc338944745"/>
      <w:bookmarkStart w:id="624" w:name="_Toc1366"/>
      <w:r>
        <w:rPr>
          <w:rFonts w:hint="eastAsia"/>
          <w:highlight w:val="none"/>
        </w:rPr>
        <w:t>5.1 承包人提供的材料和工程设备</w:t>
      </w:r>
      <w:bookmarkEnd w:id="621"/>
      <w:bookmarkEnd w:id="622"/>
      <w:bookmarkEnd w:id="623"/>
      <w:bookmarkEnd w:id="624"/>
    </w:p>
    <w:p>
      <w:pPr>
        <w:spacing w:line="400" w:lineRule="exact"/>
        <w:ind w:firstLine="420" w:firstLineChars="200"/>
        <w:rPr>
          <w:highlight w:val="none"/>
        </w:rPr>
      </w:pPr>
      <w:r>
        <w:rPr>
          <w:rFonts w:hint="eastAsia"/>
          <w:highlight w:val="none"/>
        </w:rPr>
        <w:t>5.1.1 除专用合同条款另有约定外，承包人提供的材料和工程设备均由承包人负责采购、运输和保管。承包人应对其采购的材料和工程设备负责。</w:t>
      </w:r>
    </w:p>
    <w:p>
      <w:pPr>
        <w:spacing w:line="400" w:lineRule="exact"/>
        <w:ind w:firstLine="420" w:firstLineChars="200"/>
        <w:rPr>
          <w:highlight w:val="none"/>
        </w:rPr>
      </w:pPr>
      <w:r>
        <w:rPr>
          <w:rFonts w:hint="eastAsia"/>
          <w:highlight w:val="none"/>
        </w:rPr>
        <w:t>5.1.2 承包人应按专用合同条款的约定，将各项材料和工程设备的供货人及品种、规格、数量和供货时间等报送监理人审批。承包人应向监理人提交其负责提供的材料和工程设备的质量证明文件，并满足合同约定的质量标准。</w:t>
      </w:r>
    </w:p>
    <w:p>
      <w:pPr>
        <w:spacing w:line="400" w:lineRule="exact"/>
        <w:ind w:firstLine="420" w:firstLineChars="200"/>
        <w:rPr>
          <w:highlight w:val="none"/>
        </w:rPr>
      </w:pPr>
      <w:r>
        <w:rPr>
          <w:rFonts w:hint="eastAsia"/>
          <w:highlight w:val="none"/>
        </w:rPr>
        <w:t>5.1.3对承包人提供的材料和工程设备，承包人应会同监理人进行检验和交货验收，查验材料合格证明和产品合格证书，并按合同约定和监理人指示，进行材料的抽样检验和工程设备的检验测试，检验和测试结果应提交监理人，所需费用由承包人承担。</w:t>
      </w:r>
    </w:p>
    <w:p>
      <w:pPr>
        <w:pStyle w:val="199"/>
        <w:outlineLvl w:val="0"/>
        <w:rPr>
          <w:highlight w:val="none"/>
        </w:rPr>
      </w:pPr>
      <w:bookmarkStart w:id="625" w:name="_Toc13296"/>
      <w:bookmarkStart w:id="626" w:name="_Toc434331219"/>
      <w:bookmarkStart w:id="627" w:name="_Toc338944746"/>
      <w:bookmarkStart w:id="628" w:name="_Toc342296304"/>
      <w:r>
        <w:rPr>
          <w:rFonts w:hint="eastAsia"/>
          <w:highlight w:val="none"/>
        </w:rPr>
        <w:t>5.2 发包人提供的材料和工程设备</w:t>
      </w:r>
      <w:bookmarkEnd w:id="625"/>
      <w:bookmarkEnd w:id="626"/>
      <w:bookmarkEnd w:id="627"/>
      <w:bookmarkEnd w:id="628"/>
    </w:p>
    <w:p>
      <w:pPr>
        <w:spacing w:line="400" w:lineRule="exact"/>
        <w:ind w:firstLine="420" w:firstLineChars="200"/>
        <w:rPr>
          <w:highlight w:val="none"/>
        </w:rPr>
      </w:pPr>
      <w:r>
        <w:rPr>
          <w:rFonts w:hint="eastAsia"/>
          <w:highlight w:val="none"/>
        </w:rPr>
        <w:t>5.2.1 发包人提供的材料和工程设备，应在专用合同条款中写明材料和工程设备的名称、规格、数量、价格、交货方式、交货地点和计划交货日期等。</w:t>
      </w:r>
    </w:p>
    <w:p>
      <w:pPr>
        <w:spacing w:line="400" w:lineRule="exact"/>
        <w:ind w:firstLine="420" w:firstLineChars="200"/>
        <w:rPr>
          <w:highlight w:val="none"/>
        </w:rPr>
      </w:pPr>
      <w:r>
        <w:rPr>
          <w:rFonts w:hint="eastAsia"/>
          <w:highlight w:val="none"/>
        </w:rPr>
        <w:t>5.2.2 承包人应根据合同进度计划的安排，向监理人报送要求发包人交货的日期计划。发包人应按照监理人与合同双方当事人商定的交货日期，向承包人提交材料和工程设备。</w:t>
      </w:r>
    </w:p>
    <w:p>
      <w:pPr>
        <w:spacing w:line="400" w:lineRule="exact"/>
        <w:ind w:firstLine="420" w:firstLineChars="200"/>
        <w:rPr>
          <w:highlight w:val="none"/>
        </w:rPr>
      </w:pPr>
      <w:r>
        <w:rPr>
          <w:rFonts w:hint="eastAsia"/>
          <w:highlight w:val="none"/>
        </w:rPr>
        <w:t>5.2.3 发包人应在材料和工程设备到货7天前通知承包人，承包人应会同监理人在约定的时间内，赴交货地点共同进行验收。除专用合同条款另有约定外，发包人提供的材料和工程设备验收后，由承包人负责接收、运输和保管。</w:t>
      </w:r>
    </w:p>
    <w:p>
      <w:pPr>
        <w:spacing w:line="400" w:lineRule="exact"/>
        <w:ind w:firstLine="420" w:firstLineChars="200"/>
        <w:rPr>
          <w:highlight w:val="none"/>
        </w:rPr>
      </w:pPr>
      <w:r>
        <w:rPr>
          <w:rFonts w:hint="eastAsia"/>
          <w:highlight w:val="none"/>
        </w:rPr>
        <w:t xml:space="preserve">5.2.4 发包人要求向承包人提前交货的，承包人不得拒绝，但发包人应承担承包人由此增加的费用。 </w:t>
      </w:r>
    </w:p>
    <w:p>
      <w:pPr>
        <w:spacing w:line="400" w:lineRule="exact"/>
        <w:ind w:firstLine="420" w:firstLineChars="200"/>
        <w:rPr>
          <w:highlight w:val="none"/>
        </w:rPr>
      </w:pPr>
      <w:r>
        <w:rPr>
          <w:rFonts w:hint="eastAsia"/>
          <w:highlight w:val="none"/>
        </w:rPr>
        <w:t xml:space="preserve">5.2.5 承包人要求更改交货日期或地点的，应事先报请监理人批准。由于承包人要求更改交货时间或地点所增加的费用和（或）工期延误由承包人承担。 </w:t>
      </w:r>
    </w:p>
    <w:p>
      <w:pPr>
        <w:spacing w:line="400" w:lineRule="exact"/>
        <w:ind w:firstLine="420" w:firstLineChars="200"/>
        <w:rPr>
          <w:highlight w:val="none"/>
        </w:rPr>
      </w:pPr>
      <w:r>
        <w:rPr>
          <w:rFonts w:hint="eastAsia"/>
          <w:highlight w:val="none"/>
        </w:rPr>
        <w:t>5.2.6 发包人提供的材料和工程设备的规格、数量或质量不符合合同要求，或由于发包人原因发生交货日期延误及交货地点变更等情况的，发包人应承担由此增加的费用和（或）工期延误，并向承包人支付合理利润。</w:t>
      </w:r>
    </w:p>
    <w:p>
      <w:pPr>
        <w:pStyle w:val="199"/>
        <w:outlineLvl w:val="0"/>
        <w:rPr>
          <w:highlight w:val="none"/>
        </w:rPr>
      </w:pPr>
      <w:bookmarkStart w:id="629" w:name="_Toc144974622"/>
      <w:bookmarkStart w:id="630" w:name="_Toc152042432"/>
      <w:bookmarkStart w:id="631" w:name="_Toc338944747"/>
      <w:bookmarkStart w:id="632" w:name="_Toc152045654"/>
      <w:bookmarkStart w:id="633" w:name="_Toc3103"/>
      <w:bookmarkStart w:id="634" w:name="_Toc434331220"/>
      <w:bookmarkStart w:id="635" w:name="_Toc179632672"/>
      <w:bookmarkStart w:id="636" w:name="_Toc342296305"/>
      <w:r>
        <w:rPr>
          <w:rFonts w:hint="eastAsia"/>
          <w:highlight w:val="none"/>
        </w:rPr>
        <w:t>5.3 材料和工程设备专用于合同工程</w:t>
      </w:r>
      <w:bookmarkEnd w:id="629"/>
      <w:bookmarkEnd w:id="630"/>
      <w:bookmarkEnd w:id="631"/>
      <w:bookmarkEnd w:id="632"/>
      <w:bookmarkEnd w:id="633"/>
      <w:bookmarkEnd w:id="634"/>
      <w:bookmarkEnd w:id="635"/>
      <w:bookmarkEnd w:id="636"/>
    </w:p>
    <w:p>
      <w:pPr>
        <w:spacing w:line="400" w:lineRule="exact"/>
        <w:ind w:firstLine="420" w:firstLineChars="200"/>
        <w:rPr>
          <w:highlight w:val="none"/>
        </w:rPr>
      </w:pPr>
      <w:r>
        <w:rPr>
          <w:rFonts w:hint="eastAsia"/>
          <w:highlight w:val="none"/>
        </w:rPr>
        <w:t>5.3.1运入施工场地的材料、工程设备，包括备品备件、安装专用工器具与随机资料，必须专用于合同工程，未经监理人同意，承包人不得运出施工场地或挪作他用。</w:t>
      </w:r>
    </w:p>
    <w:p>
      <w:pPr>
        <w:spacing w:line="400" w:lineRule="exact"/>
        <w:ind w:firstLine="420" w:firstLineChars="200"/>
        <w:rPr>
          <w:highlight w:val="none"/>
        </w:rPr>
      </w:pPr>
      <w:r>
        <w:rPr>
          <w:rFonts w:hint="eastAsia"/>
          <w:highlight w:val="none"/>
        </w:rPr>
        <w:t>5.3.2 随同工程设备运入施工场地的备品备件、专用工器具与随机资料，应由承包人会同监理人按供货人的装箱单清点后共同封存，未经监理人同意不得启用。承包人因合同工作需要使用上述物品时，应向监理人提出申请。</w:t>
      </w:r>
    </w:p>
    <w:p>
      <w:pPr>
        <w:pStyle w:val="199"/>
        <w:outlineLvl w:val="0"/>
        <w:rPr>
          <w:highlight w:val="none"/>
        </w:rPr>
      </w:pPr>
      <w:bookmarkStart w:id="637" w:name="_Toc152045655"/>
      <w:bookmarkStart w:id="638" w:name="_Toc338944748"/>
      <w:bookmarkStart w:id="639" w:name="_Toc342296306"/>
      <w:bookmarkStart w:id="640" w:name="_Toc434331221"/>
      <w:bookmarkStart w:id="641" w:name="_Toc28367"/>
      <w:bookmarkStart w:id="642" w:name="_Toc144974623"/>
      <w:bookmarkStart w:id="643" w:name="_Toc152042433"/>
      <w:bookmarkStart w:id="644" w:name="_Toc179632673"/>
      <w:r>
        <w:rPr>
          <w:rFonts w:hint="eastAsia"/>
          <w:highlight w:val="none"/>
        </w:rPr>
        <w:t>5.4 禁止使用不合格的材料和工程设备</w:t>
      </w:r>
      <w:bookmarkEnd w:id="637"/>
      <w:bookmarkEnd w:id="638"/>
      <w:bookmarkEnd w:id="639"/>
      <w:bookmarkEnd w:id="640"/>
      <w:bookmarkEnd w:id="641"/>
      <w:bookmarkEnd w:id="642"/>
      <w:bookmarkEnd w:id="643"/>
      <w:bookmarkEnd w:id="644"/>
    </w:p>
    <w:p>
      <w:pPr>
        <w:spacing w:line="400" w:lineRule="exact"/>
        <w:ind w:firstLine="420" w:firstLineChars="200"/>
        <w:rPr>
          <w:highlight w:val="none"/>
        </w:rPr>
      </w:pPr>
      <w:r>
        <w:rPr>
          <w:rFonts w:hint="eastAsia"/>
          <w:highlight w:val="none"/>
        </w:rPr>
        <w:t>5.4.1 监理人有权拒绝承包人提供的不合格材料或工程设备，并要求承包人立即进行更换。监理人应在更换后再次进行检查和检验，由此增加的费用和（或）工期延误由承包人承担。</w:t>
      </w:r>
    </w:p>
    <w:p>
      <w:pPr>
        <w:spacing w:line="400" w:lineRule="exact"/>
        <w:ind w:firstLine="420" w:firstLineChars="200"/>
        <w:rPr>
          <w:highlight w:val="none"/>
        </w:rPr>
      </w:pPr>
      <w:r>
        <w:rPr>
          <w:rFonts w:hint="eastAsia"/>
          <w:highlight w:val="none"/>
        </w:rPr>
        <w:t>5.4.2 监理人发现承包人使用了不合格的材料和工程设备，应即时发出指示要求承包人立即改正，并禁止在工程中继续使用不合格的材料和工程设备。</w:t>
      </w:r>
    </w:p>
    <w:p>
      <w:pPr>
        <w:spacing w:line="400" w:lineRule="exact"/>
        <w:ind w:firstLine="420" w:firstLineChars="200"/>
        <w:rPr>
          <w:highlight w:val="none"/>
        </w:rPr>
      </w:pPr>
      <w:r>
        <w:rPr>
          <w:rFonts w:hint="eastAsia"/>
          <w:highlight w:val="none"/>
        </w:rPr>
        <w:t>5.4.3 发包人提供的材料或工程设备不符合合同要求的，承包人有权拒绝，并可要求发包人更换，由此增加的费用和（或）工期延误由发包人承担。</w:t>
      </w:r>
    </w:p>
    <w:p>
      <w:pPr>
        <w:pStyle w:val="282"/>
        <w:spacing w:before="0"/>
        <w:outlineLvl w:val="0"/>
        <w:rPr>
          <w:highlight w:val="none"/>
        </w:rPr>
      </w:pPr>
      <w:bookmarkStart w:id="645" w:name="_Toc434331222"/>
      <w:bookmarkStart w:id="646" w:name="_Toc338944749"/>
      <w:bookmarkStart w:id="647" w:name="_Toc342296307"/>
      <w:bookmarkStart w:id="648" w:name="_Toc32634"/>
      <w:r>
        <w:rPr>
          <w:rFonts w:hint="eastAsia"/>
          <w:highlight w:val="none"/>
        </w:rPr>
        <w:t>6. 施工设备和临时设施</w:t>
      </w:r>
      <w:bookmarkEnd w:id="645"/>
      <w:bookmarkEnd w:id="646"/>
      <w:bookmarkEnd w:id="647"/>
      <w:bookmarkEnd w:id="648"/>
    </w:p>
    <w:p>
      <w:pPr>
        <w:pStyle w:val="199"/>
        <w:outlineLvl w:val="0"/>
        <w:rPr>
          <w:highlight w:val="none"/>
        </w:rPr>
      </w:pPr>
      <w:bookmarkStart w:id="649" w:name="_Toc434331223"/>
      <w:bookmarkStart w:id="650" w:name="_Toc342296308"/>
      <w:bookmarkStart w:id="651" w:name="_Toc338944750"/>
      <w:bookmarkStart w:id="652" w:name="_Toc29683"/>
      <w:r>
        <w:rPr>
          <w:rFonts w:hint="eastAsia"/>
          <w:highlight w:val="none"/>
        </w:rPr>
        <w:t>6.1 承包人提供的施工设备和临时设施</w:t>
      </w:r>
      <w:bookmarkEnd w:id="649"/>
      <w:bookmarkEnd w:id="650"/>
      <w:bookmarkEnd w:id="651"/>
      <w:bookmarkEnd w:id="652"/>
    </w:p>
    <w:p>
      <w:pPr>
        <w:spacing w:line="400" w:lineRule="exact"/>
        <w:ind w:firstLine="420" w:firstLineChars="200"/>
        <w:rPr>
          <w:highlight w:val="none"/>
        </w:rPr>
      </w:pPr>
      <w:r>
        <w:rPr>
          <w:rFonts w:hint="eastAsia"/>
          <w:highlight w:val="none"/>
        </w:rPr>
        <w:t>6.1.1 承包人应按合同进度计划的要求，及时配置施工设备和修建临时设施。进入施工场地的承包人设备需经监理人核查后才能投入使用。承包人更换合同约定的承包人设备的，应报监理人批准。</w:t>
      </w:r>
    </w:p>
    <w:p>
      <w:pPr>
        <w:spacing w:line="400" w:lineRule="exact"/>
        <w:ind w:firstLine="420" w:firstLineChars="200"/>
        <w:rPr>
          <w:highlight w:val="none"/>
        </w:rPr>
      </w:pPr>
      <w:r>
        <w:rPr>
          <w:rFonts w:hint="eastAsia"/>
          <w:highlight w:val="none"/>
        </w:rPr>
        <w:t>6.1.2除专用合同条款另有约定外，承包人应自行承担修建临时设施的费用，需要临时占地的，应由发包人办理申请手续并承担相应费用。</w:t>
      </w:r>
    </w:p>
    <w:p>
      <w:pPr>
        <w:pStyle w:val="199"/>
        <w:outlineLvl w:val="0"/>
        <w:rPr>
          <w:highlight w:val="none"/>
        </w:rPr>
      </w:pPr>
      <w:bookmarkStart w:id="653" w:name="_Toc434331224"/>
      <w:bookmarkStart w:id="654" w:name="_Toc28938"/>
      <w:bookmarkStart w:id="655" w:name="_Toc342296309"/>
      <w:bookmarkStart w:id="656" w:name="_Toc338944751"/>
      <w:r>
        <w:rPr>
          <w:rFonts w:hint="eastAsia"/>
          <w:highlight w:val="none"/>
        </w:rPr>
        <w:t>6.2 发包人提供的施工设备和临时设施</w:t>
      </w:r>
      <w:bookmarkEnd w:id="653"/>
      <w:bookmarkEnd w:id="654"/>
      <w:bookmarkEnd w:id="655"/>
      <w:bookmarkEnd w:id="656"/>
    </w:p>
    <w:p>
      <w:pPr>
        <w:spacing w:line="400" w:lineRule="exact"/>
        <w:ind w:firstLine="420" w:firstLineChars="200"/>
        <w:rPr>
          <w:highlight w:val="none"/>
        </w:rPr>
      </w:pPr>
      <w:r>
        <w:rPr>
          <w:rFonts w:hint="eastAsia"/>
          <w:highlight w:val="none"/>
        </w:rPr>
        <w:t>发包人提供的施工设备或临时设施在专用合同条款中约定。</w:t>
      </w:r>
    </w:p>
    <w:p>
      <w:pPr>
        <w:pStyle w:val="199"/>
        <w:outlineLvl w:val="0"/>
        <w:rPr>
          <w:highlight w:val="none"/>
        </w:rPr>
      </w:pPr>
      <w:bookmarkStart w:id="657" w:name="_Toc144974627"/>
      <w:bookmarkStart w:id="658" w:name="_Toc434331225"/>
      <w:bookmarkStart w:id="659" w:name="_Toc16500"/>
      <w:bookmarkStart w:id="660" w:name="_Toc152042437"/>
      <w:bookmarkStart w:id="661" w:name="_Toc179632677"/>
      <w:bookmarkStart w:id="662" w:name="_Toc152045659"/>
      <w:bookmarkStart w:id="663" w:name="_Toc338944752"/>
      <w:bookmarkStart w:id="664" w:name="_Toc342296310"/>
      <w:r>
        <w:rPr>
          <w:rFonts w:hint="eastAsia"/>
          <w:highlight w:val="none"/>
        </w:rPr>
        <w:t>6.3 要求承包人增加或更换施工设备</w:t>
      </w:r>
      <w:bookmarkEnd w:id="657"/>
      <w:bookmarkEnd w:id="658"/>
      <w:bookmarkEnd w:id="659"/>
      <w:bookmarkEnd w:id="660"/>
      <w:bookmarkEnd w:id="661"/>
      <w:bookmarkEnd w:id="662"/>
      <w:bookmarkEnd w:id="663"/>
      <w:bookmarkEnd w:id="664"/>
    </w:p>
    <w:p>
      <w:pPr>
        <w:spacing w:line="400" w:lineRule="exact"/>
        <w:ind w:firstLine="420" w:firstLineChars="200"/>
        <w:rPr>
          <w:highlight w:val="none"/>
        </w:rPr>
      </w:pPr>
      <w:r>
        <w:rPr>
          <w:rFonts w:hint="eastAsia"/>
          <w:highlight w:val="none"/>
        </w:rPr>
        <w:t>承包人使用的施工设备不能满足合同进度计划和（或）质量要求时，监理人有权要求承包人增加或更换施工设备，承包人应及时增加或更换，由此增加的费用和（或）工期延误由承包人承担。</w:t>
      </w:r>
    </w:p>
    <w:p>
      <w:pPr>
        <w:pStyle w:val="199"/>
        <w:outlineLvl w:val="0"/>
        <w:rPr>
          <w:highlight w:val="none"/>
        </w:rPr>
      </w:pPr>
      <w:bookmarkStart w:id="665" w:name="_Toc434331226"/>
      <w:bookmarkStart w:id="666" w:name="_Toc15251"/>
      <w:bookmarkStart w:id="667" w:name="_Toc338944753"/>
      <w:bookmarkStart w:id="668" w:name="_Toc342296311"/>
      <w:r>
        <w:rPr>
          <w:rFonts w:hint="eastAsia"/>
          <w:highlight w:val="none"/>
        </w:rPr>
        <w:t>6.4 施工设备和临时设施专用于合同工程</w:t>
      </w:r>
      <w:bookmarkEnd w:id="665"/>
      <w:bookmarkEnd w:id="666"/>
      <w:bookmarkEnd w:id="667"/>
      <w:bookmarkEnd w:id="668"/>
    </w:p>
    <w:p>
      <w:pPr>
        <w:spacing w:line="400" w:lineRule="exact"/>
        <w:ind w:firstLine="420" w:firstLineChars="200"/>
        <w:rPr>
          <w:highlight w:val="none"/>
        </w:rPr>
      </w:pPr>
      <w:r>
        <w:rPr>
          <w:rFonts w:hint="eastAsia"/>
          <w:highlight w:val="none"/>
        </w:rPr>
        <w:t>6.4.1除合同另有约定外，运入施工场地的所有施工设备以及在施工场地建设的临时设施应专用于合同工程。未经监理人同意，不得将上述施工设备和临时设施中的任何部分运出施工场地或挪作他用。</w:t>
      </w:r>
    </w:p>
    <w:p>
      <w:pPr>
        <w:spacing w:line="400" w:lineRule="exact"/>
        <w:ind w:firstLine="420" w:firstLineChars="200"/>
        <w:rPr>
          <w:highlight w:val="none"/>
        </w:rPr>
      </w:pPr>
      <w:r>
        <w:rPr>
          <w:rFonts w:hint="eastAsia"/>
          <w:highlight w:val="none"/>
        </w:rPr>
        <w:t>6.4.2 经监理人同意，承包人可根据合同进度计划撤走闲置的施工设备。</w:t>
      </w:r>
    </w:p>
    <w:p>
      <w:pPr>
        <w:pStyle w:val="282"/>
        <w:spacing w:before="0"/>
        <w:outlineLvl w:val="0"/>
        <w:rPr>
          <w:highlight w:val="none"/>
        </w:rPr>
      </w:pPr>
      <w:bookmarkStart w:id="669" w:name="_Toc342296312"/>
      <w:bookmarkStart w:id="670" w:name="_Toc338944754"/>
      <w:bookmarkStart w:id="671" w:name="_Toc5581"/>
      <w:bookmarkStart w:id="672" w:name="_Toc434331227"/>
      <w:r>
        <w:rPr>
          <w:rFonts w:hint="eastAsia"/>
          <w:highlight w:val="none"/>
        </w:rPr>
        <w:t>7. 交通运输</w:t>
      </w:r>
      <w:bookmarkEnd w:id="669"/>
      <w:bookmarkEnd w:id="670"/>
      <w:bookmarkEnd w:id="671"/>
      <w:bookmarkEnd w:id="672"/>
    </w:p>
    <w:p>
      <w:pPr>
        <w:pStyle w:val="199"/>
        <w:outlineLvl w:val="0"/>
        <w:rPr>
          <w:highlight w:val="none"/>
        </w:rPr>
      </w:pPr>
      <w:bookmarkStart w:id="673" w:name="_Toc342296313"/>
      <w:bookmarkStart w:id="674" w:name="_Toc19791"/>
      <w:bookmarkStart w:id="675" w:name="_Toc338944755"/>
      <w:bookmarkStart w:id="676" w:name="_Toc434331228"/>
      <w:r>
        <w:rPr>
          <w:rFonts w:hint="eastAsia"/>
          <w:highlight w:val="none"/>
        </w:rPr>
        <w:t>7.1 道路通行权和场外设施</w:t>
      </w:r>
      <w:bookmarkEnd w:id="673"/>
      <w:bookmarkEnd w:id="674"/>
      <w:bookmarkEnd w:id="675"/>
      <w:bookmarkEnd w:id="676"/>
    </w:p>
    <w:p>
      <w:pPr>
        <w:spacing w:line="400" w:lineRule="exact"/>
        <w:ind w:firstLine="420" w:firstLineChars="200"/>
        <w:rPr>
          <w:highlight w:val="none"/>
        </w:rPr>
      </w:pPr>
      <w:r>
        <w:rPr>
          <w:rFonts w:hint="eastAsia"/>
          <w:highlight w:val="none"/>
        </w:rPr>
        <w:t>除专用合同条款另有约定外，发包人应根据合同工程的施工需要，负责办理取得出入施工场地的专用和临时道路的通行权，以及取得为工程建设所需修建场外设施的权利，并承担有关费用。承包人应协助发包人办理上述手续。</w:t>
      </w:r>
    </w:p>
    <w:p>
      <w:pPr>
        <w:pStyle w:val="199"/>
        <w:outlineLvl w:val="0"/>
        <w:rPr>
          <w:highlight w:val="none"/>
        </w:rPr>
      </w:pPr>
      <w:bookmarkStart w:id="677" w:name="_Toc434331229"/>
      <w:bookmarkStart w:id="678" w:name="_Toc342296314"/>
      <w:bookmarkStart w:id="679" w:name="_Toc6506"/>
      <w:bookmarkStart w:id="680" w:name="_Toc338944756"/>
      <w:r>
        <w:rPr>
          <w:rFonts w:hint="eastAsia"/>
          <w:highlight w:val="none"/>
        </w:rPr>
        <w:t>7.2 场内施工道路</w:t>
      </w:r>
      <w:bookmarkEnd w:id="677"/>
      <w:bookmarkEnd w:id="678"/>
      <w:bookmarkEnd w:id="679"/>
      <w:bookmarkEnd w:id="680"/>
    </w:p>
    <w:p>
      <w:pPr>
        <w:spacing w:line="400" w:lineRule="exact"/>
        <w:ind w:firstLine="420" w:firstLineChars="200"/>
        <w:rPr>
          <w:highlight w:val="none"/>
        </w:rPr>
      </w:pPr>
      <w:r>
        <w:rPr>
          <w:rFonts w:hint="eastAsia"/>
          <w:highlight w:val="none"/>
        </w:rPr>
        <w:t>7.2.1 除专用合同条款另有约定外，承包人应负责修建、维修、养护和管理施工所需的临时道路和交通设施，包括维修、养护和管理发包人提供的道路和交通设施，并承担相应费用。</w:t>
      </w:r>
    </w:p>
    <w:p>
      <w:pPr>
        <w:spacing w:line="400" w:lineRule="exact"/>
        <w:ind w:firstLine="420" w:firstLineChars="200"/>
        <w:rPr>
          <w:highlight w:val="none"/>
        </w:rPr>
      </w:pPr>
      <w:r>
        <w:rPr>
          <w:rFonts w:hint="eastAsia"/>
          <w:highlight w:val="none"/>
        </w:rPr>
        <w:t>7.2.2 除专用合同条款另有约定外，承包人修建的临时道路和交通设施应免费提供发包人和监理人使用。</w:t>
      </w:r>
    </w:p>
    <w:p>
      <w:pPr>
        <w:pStyle w:val="199"/>
        <w:outlineLvl w:val="0"/>
        <w:rPr>
          <w:highlight w:val="none"/>
        </w:rPr>
      </w:pPr>
      <w:bookmarkStart w:id="681" w:name="_Toc342296315"/>
      <w:bookmarkStart w:id="682" w:name="_Toc179632682"/>
      <w:bookmarkStart w:id="683" w:name="_Toc144974632"/>
      <w:bookmarkStart w:id="684" w:name="_Toc338944757"/>
      <w:bookmarkStart w:id="685" w:name="_Toc434331230"/>
      <w:bookmarkStart w:id="686" w:name="_Toc152042442"/>
      <w:bookmarkStart w:id="687" w:name="_Toc19877"/>
      <w:bookmarkStart w:id="688" w:name="_Toc152045664"/>
      <w:r>
        <w:rPr>
          <w:rFonts w:hint="eastAsia"/>
          <w:highlight w:val="none"/>
        </w:rPr>
        <w:t>7.3 场外交通</w:t>
      </w:r>
      <w:bookmarkEnd w:id="681"/>
      <w:bookmarkEnd w:id="682"/>
      <w:bookmarkEnd w:id="683"/>
      <w:bookmarkEnd w:id="684"/>
      <w:bookmarkEnd w:id="685"/>
      <w:bookmarkEnd w:id="686"/>
      <w:bookmarkEnd w:id="687"/>
      <w:bookmarkEnd w:id="688"/>
    </w:p>
    <w:p>
      <w:pPr>
        <w:spacing w:line="400" w:lineRule="exact"/>
        <w:ind w:firstLine="420" w:firstLineChars="200"/>
        <w:rPr>
          <w:highlight w:val="none"/>
        </w:rPr>
      </w:pPr>
      <w:r>
        <w:rPr>
          <w:rFonts w:hint="eastAsia"/>
          <w:highlight w:val="none"/>
        </w:rPr>
        <w:t>7.3.1 承包人车辆外出行驶所需的场外公共道路的通行费、养路费和税款等由承包人承担。</w:t>
      </w:r>
    </w:p>
    <w:p>
      <w:pPr>
        <w:spacing w:line="400" w:lineRule="exact"/>
        <w:ind w:firstLine="420" w:firstLineChars="200"/>
        <w:rPr>
          <w:highlight w:val="none"/>
        </w:rPr>
      </w:pPr>
      <w:r>
        <w:rPr>
          <w:rFonts w:hint="eastAsia"/>
          <w:highlight w:val="none"/>
        </w:rPr>
        <w:t>7.3.2 承包人应遵守有关交通法规，严格按照道路和桥梁的限制荷重安全行驶，并服从交通管理部门的检查和监督。</w:t>
      </w:r>
    </w:p>
    <w:p>
      <w:pPr>
        <w:pStyle w:val="199"/>
        <w:outlineLvl w:val="0"/>
        <w:rPr>
          <w:highlight w:val="none"/>
        </w:rPr>
      </w:pPr>
      <w:bookmarkStart w:id="689" w:name="_Toc338944758"/>
      <w:bookmarkStart w:id="690" w:name="_Toc434331231"/>
      <w:bookmarkStart w:id="691" w:name="_Toc342296316"/>
      <w:bookmarkStart w:id="692" w:name="_Toc22016"/>
      <w:r>
        <w:rPr>
          <w:rFonts w:hint="eastAsia"/>
          <w:highlight w:val="none"/>
        </w:rPr>
        <w:t>7.4 超大件和超重件的运输</w:t>
      </w:r>
      <w:bookmarkEnd w:id="689"/>
      <w:bookmarkEnd w:id="690"/>
      <w:bookmarkEnd w:id="691"/>
      <w:bookmarkEnd w:id="692"/>
    </w:p>
    <w:p>
      <w:pPr>
        <w:spacing w:line="400" w:lineRule="exact"/>
        <w:ind w:firstLine="420" w:firstLineChars="200"/>
        <w:rPr>
          <w:highlight w:val="none"/>
        </w:rPr>
      </w:pPr>
      <w:r>
        <w:rPr>
          <w:rFonts w:hint="eastAsia"/>
          <w:highlight w:val="none"/>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pPr>
        <w:pStyle w:val="199"/>
        <w:outlineLvl w:val="0"/>
        <w:rPr>
          <w:highlight w:val="none"/>
        </w:rPr>
      </w:pPr>
      <w:bookmarkStart w:id="693" w:name="_Toc342296317"/>
      <w:bookmarkStart w:id="694" w:name="_Toc16826"/>
      <w:bookmarkStart w:id="695" w:name="_Toc338944759"/>
      <w:bookmarkStart w:id="696" w:name="_Toc434331232"/>
      <w:r>
        <w:rPr>
          <w:rFonts w:hint="eastAsia"/>
          <w:highlight w:val="none"/>
        </w:rPr>
        <w:t>7.5 道路和桥梁的损坏责任</w:t>
      </w:r>
      <w:bookmarkEnd w:id="693"/>
      <w:bookmarkEnd w:id="694"/>
      <w:bookmarkEnd w:id="695"/>
      <w:bookmarkEnd w:id="696"/>
    </w:p>
    <w:p>
      <w:pPr>
        <w:spacing w:line="400" w:lineRule="exact"/>
        <w:ind w:firstLine="420" w:firstLineChars="200"/>
        <w:rPr>
          <w:highlight w:val="none"/>
        </w:rPr>
      </w:pPr>
      <w:r>
        <w:rPr>
          <w:rFonts w:hint="eastAsia"/>
          <w:highlight w:val="none"/>
        </w:rPr>
        <w:t>因承包人运输造成施工场地内外公共道路和桥梁损坏的，由承包人承担修复损坏的全部费用和可能引起的赔偿。</w:t>
      </w:r>
    </w:p>
    <w:p>
      <w:pPr>
        <w:pStyle w:val="199"/>
        <w:outlineLvl w:val="0"/>
        <w:rPr>
          <w:highlight w:val="none"/>
        </w:rPr>
      </w:pPr>
      <w:bookmarkStart w:id="697" w:name="_Toc338944760"/>
      <w:bookmarkStart w:id="698" w:name="_Toc152042445"/>
      <w:bookmarkStart w:id="699" w:name="_Toc21595"/>
      <w:bookmarkStart w:id="700" w:name="_Toc179632685"/>
      <w:bookmarkStart w:id="701" w:name="_Toc342296318"/>
      <w:bookmarkStart w:id="702" w:name="_Toc152045667"/>
      <w:bookmarkStart w:id="703" w:name="_Toc144974635"/>
      <w:bookmarkStart w:id="704" w:name="_Toc434331233"/>
      <w:r>
        <w:rPr>
          <w:rFonts w:hint="eastAsia"/>
          <w:highlight w:val="none"/>
        </w:rPr>
        <w:t>7.6 水路和航空运输</w:t>
      </w:r>
      <w:bookmarkEnd w:id="697"/>
      <w:bookmarkEnd w:id="698"/>
      <w:bookmarkEnd w:id="699"/>
      <w:bookmarkEnd w:id="700"/>
      <w:bookmarkEnd w:id="701"/>
      <w:bookmarkEnd w:id="702"/>
      <w:bookmarkEnd w:id="703"/>
      <w:bookmarkEnd w:id="704"/>
    </w:p>
    <w:p>
      <w:pPr>
        <w:spacing w:line="400" w:lineRule="exact"/>
        <w:ind w:firstLine="420" w:firstLineChars="200"/>
        <w:rPr>
          <w:highlight w:val="none"/>
        </w:rPr>
      </w:pPr>
      <w:r>
        <w:rPr>
          <w:rFonts w:hint="eastAsia"/>
          <w:highlight w:val="none"/>
        </w:rPr>
        <w:t xml:space="preserve">本条上述各款的内容适用于水路运输和航空运输，其中“道路”一词的涵义包括河道、航线、船闸、机场、码头、堤防以及水路或航空运输中其他相似结构物；“车辆”一词的涵义包括船舶和飞机等。 </w:t>
      </w:r>
    </w:p>
    <w:p>
      <w:pPr>
        <w:pStyle w:val="282"/>
        <w:spacing w:before="0"/>
        <w:outlineLvl w:val="0"/>
        <w:rPr>
          <w:highlight w:val="none"/>
        </w:rPr>
      </w:pPr>
      <w:bookmarkStart w:id="705" w:name="_Toc11900"/>
      <w:bookmarkStart w:id="706" w:name="_Toc338944761"/>
      <w:bookmarkStart w:id="707" w:name="_Toc342296319"/>
      <w:bookmarkStart w:id="708" w:name="_Toc434331234"/>
      <w:r>
        <w:rPr>
          <w:rFonts w:hint="eastAsia"/>
          <w:highlight w:val="none"/>
        </w:rPr>
        <w:t>8. 测量放线</w:t>
      </w:r>
      <w:bookmarkEnd w:id="705"/>
      <w:bookmarkEnd w:id="706"/>
      <w:bookmarkEnd w:id="707"/>
      <w:bookmarkEnd w:id="708"/>
    </w:p>
    <w:p>
      <w:pPr>
        <w:pStyle w:val="199"/>
        <w:outlineLvl w:val="0"/>
        <w:rPr>
          <w:highlight w:val="none"/>
        </w:rPr>
      </w:pPr>
      <w:bookmarkStart w:id="709" w:name="_Toc28600"/>
      <w:bookmarkStart w:id="710" w:name="_Toc342296320"/>
      <w:bookmarkStart w:id="711" w:name="_Toc338944762"/>
      <w:bookmarkStart w:id="712" w:name="_Toc434331235"/>
      <w:r>
        <w:rPr>
          <w:rFonts w:hint="eastAsia"/>
          <w:highlight w:val="none"/>
        </w:rPr>
        <w:t>8.1 施工控制网</w:t>
      </w:r>
      <w:bookmarkEnd w:id="709"/>
      <w:bookmarkEnd w:id="710"/>
      <w:bookmarkEnd w:id="711"/>
      <w:bookmarkEnd w:id="712"/>
    </w:p>
    <w:p>
      <w:pPr>
        <w:spacing w:line="400" w:lineRule="exact"/>
        <w:ind w:firstLine="420" w:firstLineChars="200"/>
        <w:rPr>
          <w:highlight w:val="none"/>
        </w:rPr>
      </w:pPr>
      <w:r>
        <w:rPr>
          <w:rFonts w:hint="eastAsia"/>
          <w:highlight w:val="none"/>
        </w:rPr>
        <w:t>8.1.1发包人应在专用合同条款约定的期限内，通过监理人向承包人提供测量基准点、基准线和水准点及其书面资料。除专用合同条款另有约定外，承包人应根据国家测绘基准、测绘系统和工程测量技术规范，按上述基准点（线）以及合同工程精度要求，测设施工控制网，并在专用合同条款约定的期限内，将施工控制网资料报送监理人审批。</w:t>
      </w:r>
    </w:p>
    <w:p>
      <w:pPr>
        <w:spacing w:line="400" w:lineRule="exact"/>
        <w:ind w:firstLine="420" w:firstLineChars="200"/>
        <w:rPr>
          <w:highlight w:val="none"/>
        </w:rPr>
      </w:pPr>
      <w:r>
        <w:rPr>
          <w:rFonts w:hint="eastAsia"/>
          <w:highlight w:val="none"/>
        </w:rPr>
        <w:t>8.1.2承包人应负责管理施工控制网点。施工控制网点丢失或损坏的，承包人应及时修复。承包人应承担施工控制网点的管理与修复费用，并在工程竣工后将施工控制网点移交发包人。</w:t>
      </w:r>
    </w:p>
    <w:p>
      <w:pPr>
        <w:pStyle w:val="199"/>
        <w:outlineLvl w:val="0"/>
        <w:rPr>
          <w:highlight w:val="none"/>
        </w:rPr>
      </w:pPr>
      <w:bookmarkStart w:id="713" w:name="_Toc152045670"/>
      <w:bookmarkStart w:id="714" w:name="_Toc144974638"/>
      <w:bookmarkStart w:id="715" w:name="_Toc342296321"/>
      <w:bookmarkStart w:id="716" w:name="_Toc152042448"/>
      <w:bookmarkStart w:id="717" w:name="_Toc434331236"/>
      <w:bookmarkStart w:id="718" w:name="_Toc338944763"/>
      <w:bookmarkStart w:id="719" w:name="_Toc179632688"/>
      <w:bookmarkStart w:id="720" w:name="_Toc27671"/>
      <w:r>
        <w:rPr>
          <w:rFonts w:hint="eastAsia"/>
          <w:highlight w:val="none"/>
        </w:rPr>
        <w:t>8.2 施工测量</w:t>
      </w:r>
      <w:bookmarkEnd w:id="713"/>
      <w:bookmarkEnd w:id="714"/>
      <w:bookmarkEnd w:id="715"/>
      <w:bookmarkEnd w:id="716"/>
      <w:bookmarkEnd w:id="717"/>
      <w:bookmarkEnd w:id="718"/>
      <w:bookmarkEnd w:id="719"/>
      <w:bookmarkEnd w:id="720"/>
    </w:p>
    <w:p>
      <w:pPr>
        <w:spacing w:line="400" w:lineRule="exact"/>
        <w:ind w:firstLine="420" w:firstLineChars="200"/>
        <w:rPr>
          <w:highlight w:val="none"/>
        </w:rPr>
      </w:pPr>
      <w:r>
        <w:rPr>
          <w:rFonts w:hint="eastAsia"/>
          <w:highlight w:val="none"/>
        </w:rPr>
        <w:t>8.2.1承包人应负责施工过程中的全部施工测量放线工作，并配置合格的人员、仪器、设备和其他物品。</w:t>
      </w:r>
    </w:p>
    <w:p>
      <w:pPr>
        <w:spacing w:line="400" w:lineRule="exact"/>
        <w:ind w:firstLine="420" w:firstLineChars="200"/>
        <w:rPr>
          <w:highlight w:val="none"/>
        </w:rPr>
      </w:pPr>
      <w:r>
        <w:rPr>
          <w:rFonts w:hint="eastAsia"/>
          <w:highlight w:val="none"/>
        </w:rPr>
        <w:t>8.2.2监理人可以指示承包人进行抽样复测，当复测中发现错误或出现超过合同约定的误差时，承包人应按监理人指示进行修正或补测，并承担相应的复测费用。</w:t>
      </w:r>
    </w:p>
    <w:p>
      <w:pPr>
        <w:pStyle w:val="199"/>
        <w:outlineLvl w:val="0"/>
        <w:rPr>
          <w:highlight w:val="none"/>
        </w:rPr>
      </w:pPr>
      <w:bookmarkStart w:id="721" w:name="_Toc27121"/>
      <w:bookmarkStart w:id="722" w:name="_Toc342296322"/>
      <w:bookmarkStart w:id="723" w:name="_Toc152042449"/>
      <w:bookmarkStart w:id="724" w:name="_Toc434331237"/>
      <w:bookmarkStart w:id="725" w:name="_Toc338944764"/>
      <w:bookmarkStart w:id="726" w:name="_Toc144974639"/>
      <w:bookmarkStart w:id="727" w:name="_Toc179632689"/>
      <w:bookmarkStart w:id="728" w:name="_Toc152045671"/>
      <w:r>
        <w:rPr>
          <w:rFonts w:hint="eastAsia"/>
          <w:highlight w:val="none"/>
        </w:rPr>
        <w:t>8.3 基准资料错误的责任</w:t>
      </w:r>
      <w:bookmarkEnd w:id="721"/>
      <w:bookmarkEnd w:id="722"/>
      <w:bookmarkEnd w:id="723"/>
      <w:bookmarkEnd w:id="724"/>
      <w:bookmarkEnd w:id="725"/>
      <w:bookmarkEnd w:id="726"/>
      <w:bookmarkEnd w:id="727"/>
      <w:bookmarkEnd w:id="728"/>
    </w:p>
    <w:p>
      <w:pPr>
        <w:spacing w:line="400" w:lineRule="exact"/>
        <w:ind w:firstLine="420" w:firstLineChars="200"/>
        <w:rPr>
          <w:highlight w:val="none"/>
        </w:rPr>
      </w:pPr>
      <w:r>
        <w:rPr>
          <w:rFonts w:hint="eastAsia"/>
          <w:highlight w:val="none"/>
        </w:rPr>
        <w:t>发包人应对其提供的测量基准点、基准线和水准点及其书面资料的真实性、准确性和完整性负责。发包人提供上述基准资料错误导致承包人测量放线工作的返工或造成工程损失的，发包人应当承担由此增加的费用和（或）工期延误，并向承包人支付合理利润。承包人发现发包人提供的上述基准资料存在明显错误或疏忽的，应及时通知监理人。</w:t>
      </w:r>
    </w:p>
    <w:p>
      <w:pPr>
        <w:pStyle w:val="199"/>
        <w:outlineLvl w:val="0"/>
        <w:rPr>
          <w:highlight w:val="none"/>
        </w:rPr>
      </w:pPr>
      <w:bookmarkStart w:id="729" w:name="_Toc152045672"/>
      <w:bookmarkStart w:id="730" w:name="_Toc338944765"/>
      <w:bookmarkStart w:id="731" w:name="_Toc342296323"/>
      <w:bookmarkStart w:id="732" w:name="_Toc152042450"/>
      <w:bookmarkStart w:id="733" w:name="_Toc144974640"/>
      <w:bookmarkStart w:id="734" w:name="_Toc179632690"/>
      <w:bookmarkStart w:id="735" w:name="_Toc434331238"/>
      <w:bookmarkStart w:id="736" w:name="_Toc15856"/>
      <w:r>
        <w:rPr>
          <w:rFonts w:hint="eastAsia"/>
          <w:highlight w:val="none"/>
        </w:rPr>
        <w:t>8.4 监理人使用施工控制网</w:t>
      </w:r>
      <w:bookmarkEnd w:id="729"/>
      <w:bookmarkEnd w:id="730"/>
      <w:bookmarkEnd w:id="731"/>
      <w:bookmarkEnd w:id="732"/>
      <w:bookmarkEnd w:id="733"/>
      <w:bookmarkEnd w:id="734"/>
      <w:bookmarkEnd w:id="735"/>
      <w:bookmarkEnd w:id="736"/>
    </w:p>
    <w:p>
      <w:pPr>
        <w:spacing w:line="400" w:lineRule="exact"/>
        <w:ind w:firstLine="420" w:firstLineChars="200"/>
        <w:rPr>
          <w:dstrike/>
          <w:szCs w:val="21"/>
          <w:highlight w:val="none"/>
        </w:rPr>
      </w:pPr>
      <w:r>
        <w:rPr>
          <w:rFonts w:hint="eastAsia"/>
          <w:highlight w:val="none"/>
        </w:rPr>
        <w:t>监理人需要使用施工控制网的，承包人应提供必要的协助，发包人不再为此支付费用。</w:t>
      </w:r>
    </w:p>
    <w:p>
      <w:pPr>
        <w:pStyle w:val="282"/>
        <w:spacing w:before="0"/>
        <w:outlineLvl w:val="0"/>
        <w:rPr>
          <w:highlight w:val="none"/>
        </w:rPr>
      </w:pPr>
      <w:bookmarkStart w:id="737" w:name="_Toc9727"/>
      <w:bookmarkStart w:id="738" w:name="_Toc434331239"/>
      <w:bookmarkStart w:id="739" w:name="_Toc342296324"/>
      <w:bookmarkStart w:id="740" w:name="_Toc338944766"/>
      <w:r>
        <w:rPr>
          <w:rFonts w:hint="eastAsia"/>
          <w:highlight w:val="none"/>
        </w:rPr>
        <w:t>9. 施工安全、治安保卫和环境保护</w:t>
      </w:r>
      <w:bookmarkEnd w:id="737"/>
      <w:bookmarkEnd w:id="738"/>
      <w:bookmarkEnd w:id="739"/>
      <w:bookmarkEnd w:id="740"/>
    </w:p>
    <w:p>
      <w:pPr>
        <w:pStyle w:val="199"/>
        <w:outlineLvl w:val="0"/>
        <w:rPr>
          <w:highlight w:val="none"/>
        </w:rPr>
      </w:pPr>
      <w:bookmarkStart w:id="741" w:name="_Toc434331240"/>
      <w:bookmarkStart w:id="742" w:name="_Toc7067"/>
      <w:bookmarkStart w:id="743" w:name="_Toc152042452"/>
      <w:bookmarkStart w:id="744" w:name="_Toc152045674"/>
      <w:bookmarkStart w:id="745" w:name="_Toc338944767"/>
      <w:bookmarkStart w:id="746" w:name="_Toc144974642"/>
      <w:bookmarkStart w:id="747" w:name="_Toc179632692"/>
      <w:bookmarkStart w:id="748" w:name="_Toc342296325"/>
      <w:r>
        <w:rPr>
          <w:rFonts w:hint="eastAsia"/>
          <w:highlight w:val="none"/>
        </w:rPr>
        <w:t>9.1 发包人的施工安全责任</w:t>
      </w:r>
      <w:bookmarkEnd w:id="741"/>
      <w:bookmarkEnd w:id="742"/>
      <w:bookmarkEnd w:id="743"/>
      <w:bookmarkEnd w:id="744"/>
      <w:bookmarkEnd w:id="745"/>
      <w:bookmarkEnd w:id="746"/>
      <w:bookmarkEnd w:id="747"/>
      <w:bookmarkEnd w:id="748"/>
    </w:p>
    <w:p>
      <w:pPr>
        <w:spacing w:line="400" w:lineRule="exact"/>
        <w:ind w:firstLine="420" w:firstLineChars="200"/>
        <w:rPr>
          <w:highlight w:val="none"/>
        </w:rPr>
      </w:pPr>
      <w:r>
        <w:rPr>
          <w:rFonts w:hint="eastAsia"/>
          <w:highlight w:val="none"/>
        </w:rPr>
        <w:t>9.1.1 发包人应按合同约定履行安全职责，授权监理人按合同约定的安全工作内容监督、检查承包人安全工作的实施，组织承包人和有关单位进行安全检查。</w:t>
      </w:r>
    </w:p>
    <w:p>
      <w:pPr>
        <w:spacing w:line="400" w:lineRule="exact"/>
        <w:ind w:firstLine="420" w:firstLineChars="200"/>
        <w:rPr>
          <w:highlight w:val="none"/>
        </w:rPr>
      </w:pPr>
      <w:r>
        <w:rPr>
          <w:rFonts w:hint="eastAsia"/>
          <w:highlight w:val="none"/>
        </w:rPr>
        <w:t>9.1.2 发包人应对其现场机构雇佣的全部人员的工伤事故承担责任，但由于承包人原因造成发包人人员工伤的，应由承包人承担责任。</w:t>
      </w:r>
    </w:p>
    <w:p>
      <w:pPr>
        <w:spacing w:line="400" w:lineRule="exact"/>
        <w:ind w:firstLine="420" w:firstLineChars="200"/>
        <w:rPr>
          <w:highlight w:val="none"/>
        </w:rPr>
      </w:pPr>
      <w:r>
        <w:rPr>
          <w:rFonts w:hint="eastAsia"/>
          <w:highlight w:val="none"/>
        </w:rPr>
        <w:t>9.1.3 发包人应负责赔偿以下各种情况造成的第三者人身伤亡和财产损失：</w:t>
      </w:r>
    </w:p>
    <w:p>
      <w:pPr>
        <w:spacing w:line="400" w:lineRule="exact"/>
        <w:ind w:firstLine="420" w:firstLineChars="200"/>
        <w:rPr>
          <w:highlight w:val="none"/>
        </w:rPr>
      </w:pPr>
      <w:r>
        <w:rPr>
          <w:rFonts w:hint="eastAsia"/>
          <w:highlight w:val="none"/>
        </w:rPr>
        <w:t>（1） 工程或工程的任何部分对土地的占用所造成的第三者财产损失；</w:t>
      </w:r>
    </w:p>
    <w:p>
      <w:pPr>
        <w:spacing w:line="400" w:lineRule="exact"/>
        <w:ind w:firstLine="420" w:firstLineChars="200"/>
        <w:rPr>
          <w:highlight w:val="none"/>
        </w:rPr>
      </w:pPr>
      <w:r>
        <w:rPr>
          <w:rFonts w:hint="eastAsia"/>
          <w:highlight w:val="none"/>
        </w:rPr>
        <w:t>（2） 由于发包人原因在施工场地及其毗邻地带造成的第三者人身伤亡和财产损失。</w:t>
      </w:r>
    </w:p>
    <w:p>
      <w:pPr>
        <w:pStyle w:val="199"/>
        <w:outlineLvl w:val="0"/>
        <w:rPr>
          <w:highlight w:val="none"/>
        </w:rPr>
      </w:pPr>
      <w:bookmarkStart w:id="749" w:name="_Toc338944768"/>
      <w:bookmarkStart w:id="750" w:name="_Toc25507"/>
      <w:bookmarkStart w:id="751" w:name="_Toc342296326"/>
      <w:bookmarkStart w:id="752" w:name="_Toc434331241"/>
      <w:r>
        <w:rPr>
          <w:rFonts w:hint="eastAsia"/>
          <w:highlight w:val="none"/>
        </w:rPr>
        <w:t>9.2 承包人的施工安全责任</w:t>
      </w:r>
      <w:bookmarkEnd w:id="749"/>
      <w:bookmarkEnd w:id="750"/>
      <w:bookmarkEnd w:id="751"/>
      <w:bookmarkEnd w:id="752"/>
    </w:p>
    <w:p>
      <w:pPr>
        <w:spacing w:line="400" w:lineRule="exact"/>
        <w:ind w:firstLine="420" w:firstLineChars="200"/>
        <w:rPr>
          <w:highlight w:val="none"/>
        </w:rPr>
      </w:pPr>
      <w:r>
        <w:rPr>
          <w:rFonts w:hint="eastAsia"/>
          <w:highlight w:val="none"/>
        </w:rPr>
        <w:t>9.2.1 承包人应按合同约定履行安全职责,执行监理人有关安全工作的指示,并在专用合同条款约定的期限内，按合同约定的安全工作内容，编制施工安全措施计划报送监理人审批。</w:t>
      </w:r>
    </w:p>
    <w:p>
      <w:pPr>
        <w:spacing w:line="400" w:lineRule="exact"/>
        <w:ind w:firstLine="420" w:firstLineChars="200"/>
        <w:rPr>
          <w:highlight w:val="none"/>
        </w:rPr>
      </w:pPr>
      <w:r>
        <w:rPr>
          <w:rFonts w:hint="eastAsia"/>
          <w:highlight w:val="none"/>
        </w:rPr>
        <w:t>9.2.2 承包人应加强施工作业安全管理，特别应加强易燃、易爆材料、火工器材、有毒与腐蚀性材料和其他危险品的管理，以及对爆破作业和地下工程施工等危险作业的管理。</w:t>
      </w:r>
    </w:p>
    <w:p>
      <w:pPr>
        <w:spacing w:line="400" w:lineRule="exact"/>
        <w:ind w:firstLine="420" w:firstLineChars="200"/>
        <w:rPr>
          <w:highlight w:val="none"/>
        </w:rPr>
      </w:pPr>
      <w:r>
        <w:rPr>
          <w:rFonts w:hint="eastAsia"/>
          <w:highlight w:val="none"/>
        </w:rPr>
        <w:t>9.2.3 承包人应严格按照国家安全标准制定施工安全操作规程，配备必要的安全生产和劳动保护设施，加强对承包人人员的安全教育，并发放安全工作手册和劳动保护用具。</w:t>
      </w:r>
    </w:p>
    <w:p>
      <w:pPr>
        <w:spacing w:line="400" w:lineRule="exact"/>
        <w:ind w:firstLine="420" w:firstLineChars="200"/>
        <w:rPr>
          <w:highlight w:val="none"/>
        </w:rPr>
      </w:pPr>
      <w:r>
        <w:rPr>
          <w:rFonts w:hint="eastAsia"/>
          <w:highlight w:val="none"/>
        </w:rPr>
        <w:t>9.2.4 承包人应按监理人的指示制定应对灾害的紧急预案，报送监理人审批。承包人还应按预案做好安全检查，配置必要的救助物资和器材，切实保护好有关人员的人身和财产安全。</w:t>
      </w:r>
    </w:p>
    <w:p>
      <w:pPr>
        <w:spacing w:line="400" w:lineRule="exact"/>
        <w:ind w:firstLine="420" w:firstLineChars="200"/>
        <w:rPr>
          <w:highlight w:val="none"/>
        </w:rPr>
      </w:pPr>
      <w:r>
        <w:rPr>
          <w:rFonts w:hint="eastAsia"/>
          <w:highlight w:val="none"/>
        </w:rPr>
        <w:t>9.2.5 合同约定的安全作业环境及安全施工措施所需费用应遵守有关规定，并包括在相关工作的合同价格中。因采取合同未约定的安全作业环境及安全施工措施增加的费用，由监理人按第3.5款商定或确定。</w:t>
      </w:r>
    </w:p>
    <w:p>
      <w:pPr>
        <w:spacing w:line="400" w:lineRule="exact"/>
        <w:ind w:firstLine="420" w:firstLineChars="200"/>
        <w:rPr>
          <w:highlight w:val="none"/>
        </w:rPr>
      </w:pPr>
      <w:r>
        <w:rPr>
          <w:rFonts w:hint="eastAsia"/>
          <w:highlight w:val="none"/>
        </w:rPr>
        <w:t>9.2.6 承包人应对其履行合同所雇佣的全部人员，包括分包人人员的工伤事故承担责任，但由于发包人原因造成承包人人员工伤事故的，应由发包人承担责任。</w:t>
      </w:r>
    </w:p>
    <w:p>
      <w:pPr>
        <w:spacing w:line="400" w:lineRule="exact"/>
        <w:ind w:firstLine="420" w:firstLineChars="200"/>
        <w:rPr>
          <w:highlight w:val="none"/>
        </w:rPr>
      </w:pPr>
      <w:r>
        <w:rPr>
          <w:rFonts w:hint="eastAsia"/>
          <w:highlight w:val="none"/>
        </w:rPr>
        <w:t>9.2.7 由于承包人原因在施工场地内及其毗邻地带造成的第三者人员伤亡和财产损失，由承包人负责赔偿。</w:t>
      </w:r>
    </w:p>
    <w:p>
      <w:pPr>
        <w:pStyle w:val="199"/>
        <w:outlineLvl w:val="0"/>
        <w:rPr>
          <w:highlight w:val="none"/>
        </w:rPr>
      </w:pPr>
      <w:bookmarkStart w:id="753" w:name="_Toc14952"/>
      <w:bookmarkStart w:id="754" w:name="_Toc338944769"/>
      <w:bookmarkStart w:id="755" w:name="_Toc434331242"/>
      <w:bookmarkStart w:id="756" w:name="_Toc342296327"/>
      <w:r>
        <w:rPr>
          <w:rFonts w:hint="eastAsia"/>
          <w:highlight w:val="none"/>
        </w:rPr>
        <w:t>9.3 治安保卫</w:t>
      </w:r>
      <w:bookmarkEnd w:id="753"/>
      <w:bookmarkEnd w:id="754"/>
      <w:bookmarkEnd w:id="755"/>
      <w:bookmarkEnd w:id="756"/>
    </w:p>
    <w:p>
      <w:pPr>
        <w:spacing w:line="400" w:lineRule="exact"/>
        <w:ind w:firstLine="420" w:firstLineChars="200"/>
        <w:rPr>
          <w:highlight w:val="none"/>
        </w:rPr>
      </w:pPr>
      <w:r>
        <w:rPr>
          <w:rFonts w:hint="eastAsia"/>
          <w:highlight w:val="none"/>
        </w:rPr>
        <w:t>9.3.1 除合同另有约定外，发包人应与当地公安部门协商，在现场建立治安管理机构或联防组织，统一管理施工场地的治安保卫事项，履行合同工程的治安保卫职责。</w:t>
      </w:r>
    </w:p>
    <w:p>
      <w:pPr>
        <w:spacing w:line="400" w:lineRule="exact"/>
        <w:ind w:firstLine="420" w:firstLineChars="200"/>
        <w:rPr>
          <w:highlight w:val="none"/>
        </w:rPr>
      </w:pPr>
      <w:r>
        <w:rPr>
          <w:rFonts w:hint="eastAsia"/>
          <w:highlight w:val="none"/>
        </w:rPr>
        <w:t>9.3.2 发包人和承包人除应协助现场治安管理机构或联防组织维护施工场地的社会治安外，还应做好包括生活区在内的各自管辖区的治安保卫工作。</w:t>
      </w:r>
    </w:p>
    <w:p>
      <w:pPr>
        <w:spacing w:line="400" w:lineRule="exact"/>
        <w:ind w:firstLine="420" w:firstLineChars="200"/>
        <w:rPr>
          <w:highlight w:val="none"/>
        </w:rPr>
      </w:pPr>
      <w:r>
        <w:rPr>
          <w:rFonts w:hint="eastAsia"/>
          <w:highlight w:val="none"/>
        </w:rPr>
        <w:t>9.3.3 除合同另有约定外，发包人和承包人应在工程开工后，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减少财产损失和避免人员伤亡。</w:t>
      </w:r>
    </w:p>
    <w:p>
      <w:pPr>
        <w:pStyle w:val="199"/>
        <w:outlineLvl w:val="0"/>
        <w:rPr>
          <w:highlight w:val="none"/>
        </w:rPr>
      </w:pPr>
      <w:bookmarkStart w:id="757" w:name="_Toc434331243"/>
      <w:bookmarkStart w:id="758" w:name="_Toc27952"/>
      <w:bookmarkStart w:id="759" w:name="_Toc338944770"/>
      <w:bookmarkStart w:id="760" w:name="_Toc342296328"/>
      <w:r>
        <w:rPr>
          <w:rFonts w:hint="eastAsia"/>
          <w:highlight w:val="none"/>
        </w:rPr>
        <w:t>9.4 环境保护</w:t>
      </w:r>
      <w:bookmarkEnd w:id="757"/>
      <w:bookmarkEnd w:id="758"/>
      <w:bookmarkEnd w:id="759"/>
      <w:bookmarkEnd w:id="760"/>
    </w:p>
    <w:p>
      <w:pPr>
        <w:spacing w:line="400" w:lineRule="exact"/>
        <w:ind w:firstLine="420" w:firstLineChars="200"/>
        <w:rPr>
          <w:highlight w:val="none"/>
        </w:rPr>
      </w:pPr>
      <w:r>
        <w:rPr>
          <w:rFonts w:hint="eastAsia"/>
          <w:highlight w:val="none"/>
        </w:rPr>
        <w:t>9.4.1 承包人在施工过程中，应遵守有关环境保护的法律，履行合同约定的环境保护义务，并对违反法律和合同约定义务所造成的环境破坏、人身伤害和财产损失负责。</w:t>
      </w:r>
    </w:p>
    <w:p>
      <w:pPr>
        <w:spacing w:line="400" w:lineRule="exact"/>
        <w:ind w:firstLine="420" w:firstLineChars="200"/>
        <w:rPr>
          <w:highlight w:val="none"/>
        </w:rPr>
      </w:pPr>
      <w:r>
        <w:rPr>
          <w:rFonts w:hint="eastAsia"/>
          <w:highlight w:val="none"/>
        </w:rPr>
        <w:t>9.4.2 承包人应按合同约定的环保工作内容，编制施工环保措施计划，报送监理人审批。</w:t>
      </w:r>
    </w:p>
    <w:p>
      <w:pPr>
        <w:spacing w:line="400" w:lineRule="exact"/>
        <w:ind w:firstLine="420" w:firstLineChars="200"/>
        <w:rPr>
          <w:highlight w:val="none"/>
        </w:rPr>
      </w:pPr>
      <w:r>
        <w:rPr>
          <w:rFonts w:hint="eastAsia"/>
          <w:highlight w:val="none"/>
        </w:rPr>
        <w:t>9.4.3 承包人应按照批准的施工环保措施计划有序地堆放和处理施工废弃物，避免对环境造成破坏。因承包人任意堆放或弃置施工废弃物造成妨碍公共交通、影响城镇居民生活、降低河流行洪能力、危及居民安全、破坏周边环境，或者影响其他承包人施工等后果的，承包人应承担责任。</w:t>
      </w:r>
    </w:p>
    <w:p>
      <w:pPr>
        <w:spacing w:line="400" w:lineRule="exact"/>
        <w:ind w:firstLine="420" w:firstLineChars="200"/>
        <w:rPr>
          <w:highlight w:val="none"/>
        </w:rPr>
      </w:pPr>
      <w:r>
        <w:rPr>
          <w:rFonts w:hint="eastAsia"/>
          <w:highlight w:val="none"/>
        </w:rPr>
        <w:t>9.4.4 承包人应按合同约定采取有效措施，对施工开挖的边坡及时进行支护,维护排水设施，并进行水土保护，避免因施工造成的地质灾害。</w:t>
      </w:r>
    </w:p>
    <w:p>
      <w:pPr>
        <w:spacing w:line="400" w:lineRule="exact"/>
        <w:ind w:firstLine="420" w:firstLineChars="200"/>
        <w:rPr>
          <w:highlight w:val="none"/>
        </w:rPr>
      </w:pPr>
      <w:r>
        <w:rPr>
          <w:rFonts w:hint="eastAsia"/>
          <w:highlight w:val="none"/>
        </w:rPr>
        <w:t>9.4.5 承包人应按国家饮用水管理标准定期对饮用水源进行监测，防止施工活动污染饮用水源。</w:t>
      </w:r>
    </w:p>
    <w:p>
      <w:pPr>
        <w:spacing w:line="400" w:lineRule="exact"/>
        <w:ind w:firstLine="420" w:firstLineChars="200"/>
        <w:rPr>
          <w:highlight w:val="none"/>
        </w:rPr>
      </w:pPr>
      <w:r>
        <w:rPr>
          <w:rFonts w:hint="eastAsia"/>
          <w:highlight w:val="none"/>
        </w:rPr>
        <w:t>9.4.6 承包人应按合同约定，加强对噪声、粉尘、废气、废水和废油的控制，努力降低噪声，控制粉尘和废气浓度，做好废水和废油的治理和排放。</w:t>
      </w:r>
    </w:p>
    <w:p>
      <w:pPr>
        <w:pStyle w:val="199"/>
        <w:outlineLvl w:val="0"/>
        <w:rPr>
          <w:highlight w:val="none"/>
        </w:rPr>
      </w:pPr>
      <w:bookmarkStart w:id="761" w:name="_Toc152045678"/>
      <w:bookmarkStart w:id="762" w:name="_Toc144974646"/>
      <w:bookmarkStart w:id="763" w:name="_Toc9343"/>
      <w:bookmarkStart w:id="764" w:name="_Toc342296329"/>
      <w:bookmarkStart w:id="765" w:name="_Toc179632696"/>
      <w:bookmarkStart w:id="766" w:name="_Toc338944771"/>
      <w:bookmarkStart w:id="767" w:name="_Toc152042456"/>
      <w:bookmarkStart w:id="768" w:name="_Toc434331244"/>
      <w:r>
        <w:rPr>
          <w:rFonts w:hint="eastAsia"/>
          <w:highlight w:val="none"/>
        </w:rPr>
        <w:t>9.5 事故处理</w:t>
      </w:r>
      <w:bookmarkEnd w:id="761"/>
      <w:bookmarkEnd w:id="762"/>
      <w:bookmarkEnd w:id="763"/>
      <w:bookmarkEnd w:id="764"/>
      <w:bookmarkEnd w:id="765"/>
      <w:bookmarkEnd w:id="766"/>
      <w:bookmarkEnd w:id="767"/>
      <w:bookmarkEnd w:id="768"/>
    </w:p>
    <w:p>
      <w:pPr>
        <w:spacing w:line="400" w:lineRule="exact"/>
        <w:ind w:firstLine="420" w:firstLineChars="200"/>
        <w:rPr>
          <w:highlight w:val="none"/>
        </w:rPr>
      </w:pPr>
      <w:r>
        <w:rPr>
          <w:rFonts w:hint="eastAsia"/>
          <w:highlight w:val="none"/>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pPr>
        <w:pStyle w:val="282"/>
        <w:spacing w:before="0"/>
        <w:outlineLvl w:val="0"/>
        <w:rPr>
          <w:highlight w:val="none"/>
        </w:rPr>
      </w:pPr>
      <w:bookmarkStart w:id="769" w:name="_Toc434331245"/>
      <w:bookmarkStart w:id="770" w:name="_Toc338944772"/>
      <w:bookmarkStart w:id="771" w:name="_Toc28878"/>
      <w:bookmarkStart w:id="772" w:name="_Toc342296330"/>
      <w:r>
        <w:rPr>
          <w:rFonts w:hint="eastAsia"/>
          <w:highlight w:val="none"/>
        </w:rPr>
        <w:t>10. 进度计划</w:t>
      </w:r>
      <w:bookmarkEnd w:id="769"/>
      <w:bookmarkEnd w:id="770"/>
      <w:bookmarkEnd w:id="771"/>
      <w:bookmarkEnd w:id="772"/>
    </w:p>
    <w:p>
      <w:pPr>
        <w:pStyle w:val="199"/>
        <w:outlineLvl w:val="0"/>
        <w:rPr>
          <w:highlight w:val="none"/>
        </w:rPr>
      </w:pPr>
      <w:bookmarkStart w:id="773" w:name="_Toc338944773"/>
      <w:bookmarkStart w:id="774" w:name="_Toc20893"/>
      <w:bookmarkStart w:id="775" w:name="_Toc342296331"/>
      <w:bookmarkStart w:id="776" w:name="_Toc434331246"/>
      <w:r>
        <w:rPr>
          <w:rFonts w:hint="eastAsia"/>
          <w:highlight w:val="none"/>
        </w:rPr>
        <w:t>10.1 合同进度计划</w:t>
      </w:r>
      <w:bookmarkEnd w:id="773"/>
      <w:bookmarkEnd w:id="774"/>
      <w:bookmarkEnd w:id="775"/>
      <w:bookmarkEnd w:id="776"/>
    </w:p>
    <w:p>
      <w:pPr>
        <w:spacing w:line="400" w:lineRule="exact"/>
        <w:ind w:firstLine="420" w:firstLineChars="200"/>
        <w:rPr>
          <w:highlight w:val="none"/>
        </w:rPr>
      </w:pPr>
      <w:r>
        <w:rPr>
          <w:rFonts w:hint="eastAsia"/>
          <w:highlight w:val="none"/>
        </w:rPr>
        <w:t>承包人应按专用合同条款约定的内容和期限，编制详细的施工进度计划和施工方案说明报送监理人。监理人应在专用合同条款约定的期限内批复或提出修改意见，否则该进度计划视为已得到批准。经监理人批准的施工进度计划称合同进度计划，是控制合同工程进度的依据。承包人还应根据合同进度计划，编制更为详细的分阶段或分项进度计划，报监理人审批。</w:t>
      </w:r>
    </w:p>
    <w:p>
      <w:pPr>
        <w:pStyle w:val="199"/>
        <w:outlineLvl w:val="0"/>
        <w:rPr>
          <w:highlight w:val="none"/>
        </w:rPr>
      </w:pPr>
      <w:bookmarkStart w:id="777" w:name="_Toc434331247"/>
      <w:bookmarkStart w:id="778" w:name="_Toc18606"/>
      <w:bookmarkStart w:id="779" w:name="_Toc338944774"/>
      <w:bookmarkStart w:id="780" w:name="_Toc342296332"/>
      <w:r>
        <w:rPr>
          <w:rFonts w:hint="eastAsia"/>
          <w:highlight w:val="none"/>
        </w:rPr>
        <w:t>10.2 合同进度计划的修订</w:t>
      </w:r>
      <w:bookmarkEnd w:id="777"/>
      <w:bookmarkEnd w:id="778"/>
      <w:bookmarkEnd w:id="779"/>
      <w:bookmarkEnd w:id="780"/>
    </w:p>
    <w:p>
      <w:pPr>
        <w:spacing w:line="400" w:lineRule="exact"/>
        <w:ind w:firstLine="420" w:firstLineChars="200"/>
        <w:rPr>
          <w:highlight w:val="none"/>
        </w:rPr>
      </w:pPr>
      <w:r>
        <w:rPr>
          <w:rFonts w:hint="eastAsia"/>
          <w:highlight w:val="none"/>
        </w:rPr>
        <w:t>不论何种原因造成工程的实际进度与第10.1款的合同进度计划不符时，承包人可以在专用合同条款约定的期限内向监理人提交修订合同进度计划的申请报告，并附有关措施和相关资料，报监理人审批；监理人也可以直接向承包人作出修订合同进度计划的指示，承包人应按该指示修订合同进度计划，报监理人审批。监理人应在专用合同条款约定的期限内批复。监理人在批复前应获得发包人同意。</w:t>
      </w:r>
    </w:p>
    <w:p>
      <w:pPr>
        <w:pStyle w:val="282"/>
        <w:spacing w:before="0"/>
        <w:outlineLvl w:val="0"/>
        <w:rPr>
          <w:highlight w:val="none"/>
        </w:rPr>
      </w:pPr>
      <w:bookmarkStart w:id="781" w:name="_Toc434331248"/>
      <w:bookmarkStart w:id="782" w:name="_Toc5870"/>
      <w:bookmarkStart w:id="783" w:name="_Toc338944775"/>
      <w:bookmarkStart w:id="784" w:name="_Toc342296333"/>
      <w:r>
        <w:rPr>
          <w:rFonts w:hint="eastAsia"/>
          <w:highlight w:val="none"/>
        </w:rPr>
        <w:t>11. 开工和竣工</w:t>
      </w:r>
      <w:bookmarkEnd w:id="781"/>
      <w:bookmarkEnd w:id="782"/>
      <w:bookmarkEnd w:id="783"/>
      <w:bookmarkEnd w:id="784"/>
    </w:p>
    <w:p>
      <w:pPr>
        <w:pStyle w:val="199"/>
        <w:outlineLvl w:val="0"/>
        <w:rPr>
          <w:highlight w:val="none"/>
        </w:rPr>
      </w:pPr>
      <w:bookmarkStart w:id="785" w:name="_Toc152042461"/>
      <w:bookmarkStart w:id="786" w:name="_Toc434331249"/>
      <w:bookmarkStart w:id="787" w:name="_Toc179632701"/>
      <w:bookmarkStart w:id="788" w:name="_Toc342296334"/>
      <w:bookmarkStart w:id="789" w:name="_Toc20999"/>
      <w:bookmarkStart w:id="790" w:name="_Toc152045683"/>
      <w:bookmarkStart w:id="791" w:name="_Toc144974651"/>
      <w:bookmarkStart w:id="792" w:name="_Toc338944776"/>
      <w:r>
        <w:rPr>
          <w:rFonts w:hint="eastAsia"/>
          <w:highlight w:val="none"/>
        </w:rPr>
        <w:t>11.1 开工</w:t>
      </w:r>
      <w:bookmarkEnd w:id="785"/>
      <w:bookmarkEnd w:id="786"/>
      <w:bookmarkEnd w:id="787"/>
      <w:bookmarkEnd w:id="788"/>
      <w:bookmarkEnd w:id="789"/>
      <w:bookmarkEnd w:id="790"/>
      <w:bookmarkEnd w:id="791"/>
      <w:bookmarkEnd w:id="792"/>
    </w:p>
    <w:p>
      <w:pPr>
        <w:spacing w:line="400" w:lineRule="exact"/>
        <w:ind w:firstLine="420" w:firstLineChars="200"/>
        <w:rPr>
          <w:highlight w:val="none"/>
        </w:rPr>
      </w:pPr>
      <w:r>
        <w:rPr>
          <w:rFonts w:hint="eastAsia"/>
          <w:highlight w:val="none"/>
        </w:rPr>
        <w:t>11.1.1 监理人应在开工日期7天前向承包人发出开工通知。监理人在发出开工通知前应获得发包人同意。工期自监理人发出的开工通知中载明的开工日期起计算。承包人应在开工日期后尽快施工。</w:t>
      </w:r>
    </w:p>
    <w:p>
      <w:pPr>
        <w:spacing w:line="400" w:lineRule="exact"/>
        <w:ind w:firstLine="420" w:firstLineChars="200"/>
        <w:rPr>
          <w:highlight w:val="none"/>
          <w:shd w:val="pct10" w:color="auto" w:fill="FFFFFF"/>
        </w:rPr>
      </w:pPr>
      <w:r>
        <w:rPr>
          <w:rFonts w:hint="eastAsia"/>
          <w:highlight w:val="none"/>
        </w:rPr>
        <w:t>11.1.2 承包人应按第10.1款约定的合同进度计划，向监理人提交工程开工报审表，经监理人审批后执行。开工报审表应详细说明按合同进度计划正常施工所需的施工道路、临时设施、材料设备、施工人员等施工组织措施的落实情况以及工程的进度安排。</w:t>
      </w:r>
    </w:p>
    <w:p>
      <w:pPr>
        <w:pStyle w:val="199"/>
        <w:outlineLvl w:val="0"/>
        <w:rPr>
          <w:highlight w:val="none"/>
        </w:rPr>
      </w:pPr>
      <w:bookmarkStart w:id="793" w:name="_Toc342296335"/>
      <w:bookmarkStart w:id="794" w:name="_Toc434331250"/>
      <w:bookmarkStart w:id="795" w:name="_Toc11937"/>
      <w:bookmarkStart w:id="796" w:name="_Toc152045684"/>
      <w:bookmarkStart w:id="797" w:name="_Toc152042462"/>
      <w:bookmarkStart w:id="798" w:name="_Toc179632702"/>
      <w:bookmarkStart w:id="799" w:name="_Toc144974652"/>
      <w:bookmarkStart w:id="800" w:name="_Toc338944777"/>
      <w:r>
        <w:rPr>
          <w:rFonts w:hint="eastAsia"/>
          <w:highlight w:val="none"/>
        </w:rPr>
        <w:t>11.2 竣工</w:t>
      </w:r>
      <w:bookmarkEnd w:id="793"/>
      <w:bookmarkEnd w:id="794"/>
      <w:bookmarkEnd w:id="795"/>
      <w:bookmarkEnd w:id="796"/>
      <w:bookmarkEnd w:id="797"/>
      <w:bookmarkEnd w:id="798"/>
      <w:bookmarkEnd w:id="799"/>
      <w:bookmarkEnd w:id="800"/>
    </w:p>
    <w:p>
      <w:pPr>
        <w:spacing w:line="400" w:lineRule="exact"/>
        <w:ind w:firstLine="420" w:firstLineChars="200"/>
        <w:rPr>
          <w:highlight w:val="none"/>
        </w:rPr>
      </w:pPr>
      <w:r>
        <w:rPr>
          <w:rFonts w:hint="eastAsia"/>
          <w:highlight w:val="none"/>
        </w:rPr>
        <w:t>承包人应在第1.1.4.3目约定的期限内完成合同工程。实际竣工日期在接收证书中写明。</w:t>
      </w:r>
    </w:p>
    <w:p>
      <w:pPr>
        <w:pStyle w:val="199"/>
        <w:outlineLvl w:val="0"/>
        <w:rPr>
          <w:highlight w:val="none"/>
        </w:rPr>
      </w:pPr>
      <w:bookmarkStart w:id="801" w:name="_Toc338944778"/>
      <w:bookmarkStart w:id="802" w:name="_Toc12501"/>
      <w:bookmarkStart w:id="803" w:name="_Toc342296336"/>
      <w:bookmarkStart w:id="804" w:name="_Toc434331251"/>
      <w:r>
        <w:rPr>
          <w:rFonts w:hint="eastAsia"/>
          <w:highlight w:val="none"/>
        </w:rPr>
        <w:t>11.3 发包人的工期延误</w:t>
      </w:r>
      <w:bookmarkEnd w:id="801"/>
      <w:bookmarkEnd w:id="802"/>
      <w:bookmarkEnd w:id="803"/>
      <w:bookmarkEnd w:id="804"/>
    </w:p>
    <w:p>
      <w:pPr>
        <w:spacing w:line="400" w:lineRule="exact"/>
        <w:ind w:firstLine="420" w:firstLineChars="200"/>
        <w:rPr>
          <w:highlight w:val="none"/>
        </w:rPr>
      </w:pPr>
      <w:r>
        <w:rPr>
          <w:rFonts w:hint="eastAsia"/>
          <w:highlight w:val="none"/>
        </w:rPr>
        <w:t>在履行合同过程中，由于发包人的下列原因造成工期延误的，承包人有权要求发包人延长工期和（或）增加费用，并支付合理利润。需要修订合同进度计划的，按照第10.2款的约定办理。</w:t>
      </w:r>
    </w:p>
    <w:p>
      <w:pPr>
        <w:spacing w:line="400" w:lineRule="exact"/>
        <w:ind w:firstLine="359" w:firstLineChars="171"/>
        <w:rPr>
          <w:highlight w:val="none"/>
        </w:rPr>
      </w:pPr>
      <w:r>
        <w:rPr>
          <w:rFonts w:hint="eastAsia"/>
          <w:highlight w:val="none"/>
        </w:rPr>
        <w:t>（1）增加合同工作内容；</w:t>
      </w:r>
    </w:p>
    <w:p>
      <w:pPr>
        <w:spacing w:line="400" w:lineRule="exact"/>
        <w:ind w:firstLine="359" w:firstLineChars="171"/>
        <w:rPr>
          <w:highlight w:val="none"/>
        </w:rPr>
      </w:pPr>
      <w:r>
        <w:rPr>
          <w:rFonts w:hint="eastAsia"/>
          <w:highlight w:val="none"/>
        </w:rPr>
        <w:t>（2）改变合同中任何一项工作的质量要求或其他特性；</w:t>
      </w:r>
    </w:p>
    <w:p>
      <w:pPr>
        <w:spacing w:line="400" w:lineRule="exact"/>
        <w:ind w:firstLine="359" w:firstLineChars="171"/>
        <w:rPr>
          <w:highlight w:val="none"/>
        </w:rPr>
      </w:pPr>
      <w:r>
        <w:rPr>
          <w:rFonts w:hint="eastAsia"/>
          <w:highlight w:val="none"/>
        </w:rPr>
        <w:t>（3）发包人迟延提供材料、工程设备或变更交货地点的；</w:t>
      </w:r>
    </w:p>
    <w:p>
      <w:pPr>
        <w:spacing w:line="400" w:lineRule="exact"/>
        <w:ind w:firstLine="359" w:firstLineChars="171"/>
        <w:rPr>
          <w:highlight w:val="none"/>
        </w:rPr>
      </w:pPr>
      <w:r>
        <w:rPr>
          <w:rFonts w:hint="eastAsia"/>
          <w:highlight w:val="none"/>
        </w:rPr>
        <w:t>（4）因发包人原因导致的暂停施工；</w:t>
      </w:r>
    </w:p>
    <w:p>
      <w:pPr>
        <w:spacing w:line="400" w:lineRule="exact"/>
        <w:ind w:firstLine="359" w:firstLineChars="171"/>
        <w:rPr>
          <w:highlight w:val="none"/>
        </w:rPr>
      </w:pPr>
      <w:r>
        <w:rPr>
          <w:rFonts w:hint="eastAsia"/>
          <w:highlight w:val="none"/>
        </w:rPr>
        <w:t>（5）提供图纸延误；</w:t>
      </w:r>
    </w:p>
    <w:p>
      <w:pPr>
        <w:spacing w:line="400" w:lineRule="exact"/>
        <w:ind w:firstLine="359" w:firstLineChars="171"/>
        <w:rPr>
          <w:highlight w:val="none"/>
        </w:rPr>
      </w:pPr>
      <w:r>
        <w:rPr>
          <w:rFonts w:hint="eastAsia"/>
          <w:highlight w:val="none"/>
        </w:rPr>
        <w:t>（6）未按合同约定及时支付预付款、进度款；</w:t>
      </w:r>
    </w:p>
    <w:p>
      <w:pPr>
        <w:spacing w:line="400" w:lineRule="exact"/>
        <w:ind w:firstLine="359" w:firstLineChars="171"/>
        <w:rPr>
          <w:highlight w:val="none"/>
        </w:rPr>
      </w:pPr>
      <w:r>
        <w:rPr>
          <w:rFonts w:hint="eastAsia"/>
          <w:highlight w:val="none"/>
        </w:rPr>
        <w:t>（7）发包人造成工期延误的其他原因。</w:t>
      </w:r>
    </w:p>
    <w:p>
      <w:pPr>
        <w:pStyle w:val="199"/>
        <w:outlineLvl w:val="0"/>
        <w:rPr>
          <w:highlight w:val="none"/>
        </w:rPr>
      </w:pPr>
      <w:bookmarkStart w:id="805" w:name="_Toc338944779"/>
      <w:bookmarkStart w:id="806" w:name="_Toc23841"/>
      <w:bookmarkStart w:id="807" w:name="_Toc342296337"/>
      <w:bookmarkStart w:id="808" w:name="_Toc434331252"/>
      <w:r>
        <w:rPr>
          <w:rFonts w:hint="eastAsia"/>
          <w:highlight w:val="none"/>
        </w:rPr>
        <w:t>11.4 异常恶劣的气候条件</w:t>
      </w:r>
      <w:bookmarkEnd w:id="805"/>
      <w:bookmarkEnd w:id="806"/>
      <w:bookmarkEnd w:id="807"/>
      <w:bookmarkEnd w:id="808"/>
    </w:p>
    <w:p>
      <w:pPr>
        <w:spacing w:line="400" w:lineRule="exact"/>
        <w:ind w:firstLine="359" w:firstLineChars="171"/>
        <w:rPr>
          <w:highlight w:val="none"/>
        </w:rPr>
      </w:pPr>
      <w:r>
        <w:rPr>
          <w:rFonts w:hint="eastAsia"/>
          <w:highlight w:val="none"/>
        </w:rPr>
        <w:t>由于出现专用合同条款规定的异常恶劣气候的条件导致工期延误的，承包人有权要求发包人延长工期。</w:t>
      </w:r>
    </w:p>
    <w:p>
      <w:pPr>
        <w:pStyle w:val="199"/>
        <w:outlineLvl w:val="0"/>
        <w:rPr>
          <w:highlight w:val="none"/>
        </w:rPr>
      </w:pPr>
      <w:bookmarkStart w:id="809" w:name="_Toc342296338"/>
      <w:bookmarkStart w:id="810" w:name="_Toc434331253"/>
      <w:bookmarkStart w:id="811" w:name="_Toc3760"/>
      <w:bookmarkStart w:id="812" w:name="_Toc338944780"/>
      <w:r>
        <w:rPr>
          <w:rFonts w:hint="eastAsia"/>
          <w:highlight w:val="none"/>
        </w:rPr>
        <w:t>11.5 承包人的工期延误</w:t>
      </w:r>
      <w:bookmarkEnd w:id="809"/>
      <w:bookmarkEnd w:id="810"/>
      <w:bookmarkEnd w:id="811"/>
      <w:bookmarkEnd w:id="812"/>
    </w:p>
    <w:p>
      <w:pPr>
        <w:spacing w:line="400" w:lineRule="exact"/>
        <w:ind w:firstLine="420" w:firstLineChars="200"/>
        <w:rPr>
          <w:highlight w:val="none"/>
        </w:rPr>
      </w:pPr>
      <w:r>
        <w:rPr>
          <w:rFonts w:hint="eastAsia"/>
          <w:highlight w:val="none"/>
        </w:rPr>
        <w:t>由于承包人原因，未能按合同进度计划完成工作，或监理人认为承包人施工进度不能满足合同工期要求的，承包人应采取措施加快进度，并承担加快进度所增加的费用。由于承包人原因造成工期延误，承包人应支付逾期竣工违约金。逾期竣工违约金的计算方法在专用合同条款中约定。承包人支付逾期竣工违约金，不免除承包人完成工程及修补缺陷的义务。</w:t>
      </w:r>
    </w:p>
    <w:p>
      <w:pPr>
        <w:pStyle w:val="199"/>
        <w:outlineLvl w:val="0"/>
        <w:rPr>
          <w:highlight w:val="none"/>
        </w:rPr>
      </w:pPr>
      <w:bookmarkStart w:id="813" w:name="_Toc10527"/>
      <w:bookmarkStart w:id="814" w:name="_Toc434331254"/>
      <w:bookmarkStart w:id="815" w:name="_Toc338944781"/>
      <w:bookmarkStart w:id="816" w:name="_Toc342296339"/>
      <w:r>
        <w:rPr>
          <w:rFonts w:hint="eastAsia"/>
          <w:highlight w:val="none"/>
        </w:rPr>
        <w:t>11.6 工期提前</w:t>
      </w:r>
      <w:bookmarkEnd w:id="813"/>
      <w:bookmarkEnd w:id="814"/>
      <w:bookmarkEnd w:id="815"/>
      <w:bookmarkEnd w:id="816"/>
    </w:p>
    <w:p>
      <w:pPr>
        <w:spacing w:line="400" w:lineRule="exact"/>
        <w:ind w:firstLine="420" w:firstLineChars="200"/>
        <w:rPr>
          <w:highlight w:val="none"/>
        </w:rPr>
      </w:pPr>
      <w:r>
        <w:rPr>
          <w:rFonts w:hint="eastAsia"/>
          <w:highlight w:val="none"/>
        </w:rPr>
        <w:t xml:space="preserve">发包人要求承包人提前竣工，或承包人提出提前竣工的建议能够给发包人带来效益的，应由监理人与承包人共同协商采取加快工程进度的措施和修订合同进度计划。发包人应承担承包人由此增加的费用，并向承包人支付专用合同条款约定的相应奖金。 </w:t>
      </w:r>
    </w:p>
    <w:p>
      <w:pPr>
        <w:pStyle w:val="282"/>
        <w:spacing w:before="0"/>
        <w:outlineLvl w:val="0"/>
        <w:rPr>
          <w:highlight w:val="none"/>
        </w:rPr>
      </w:pPr>
      <w:bookmarkStart w:id="817" w:name="_Toc338944782"/>
      <w:bookmarkStart w:id="818" w:name="_Toc5425"/>
      <w:bookmarkStart w:id="819" w:name="_Toc342296340"/>
      <w:bookmarkStart w:id="820" w:name="_Toc434331255"/>
      <w:r>
        <w:rPr>
          <w:rFonts w:hint="eastAsia"/>
          <w:highlight w:val="none"/>
        </w:rPr>
        <w:t>12. 暂停施工</w:t>
      </w:r>
      <w:bookmarkEnd w:id="817"/>
      <w:bookmarkEnd w:id="818"/>
      <w:bookmarkEnd w:id="819"/>
      <w:bookmarkEnd w:id="820"/>
    </w:p>
    <w:p>
      <w:pPr>
        <w:pStyle w:val="199"/>
        <w:outlineLvl w:val="0"/>
        <w:rPr>
          <w:highlight w:val="none"/>
        </w:rPr>
      </w:pPr>
      <w:bookmarkStart w:id="821" w:name="_Toc1225"/>
      <w:bookmarkStart w:id="822" w:name="_Toc342296341"/>
      <w:bookmarkStart w:id="823" w:name="_Toc434331256"/>
      <w:bookmarkStart w:id="824" w:name="_Toc338944783"/>
      <w:r>
        <w:rPr>
          <w:rFonts w:hint="eastAsia"/>
          <w:highlight w:val="none"/>
        </w:rPr>
        <w:t>12.1 承包人暂停施工的责任</w:t>
      </w:r>
      <w:bookmarkEnd w:id="821"/>
      <w:bookmarkEnd w:id="822"/>
      <w:bookmarkEnd w:id="823"/>
      <w:bookmarkEnd w:id="824"/>
    </w:p>
    <w:p>
      <w:pPr>
        <w:spacing w:line="400" w:lineRule="exact"/>
        <w:ind w:firstLine="420" w:firstLineChars="200"/>
        <w:rPr>
          <w:highlight w:val="none"/>
        </w:rPr>
      </w:pPr>
      <w:r>
        <w:rPr>
          <w:rFonts w:hint="eastAsia"/>
          <w:highlight w:val="none"/>
        </w:rPr>
        <w:t>因下列暂停施工增加的费用和（或）工期延误由承包人承担：</w:t>
      </w:r>
    </w:p>
    <w:p>
      <w:pPr>
        <w:spacing w:line="400" w:lineRule="exact"/>
        <w:ind w:firstLine="359" w:firstLineChars="171"/>
        <w:rPr>
          <w:highlight w:val="none"/>
        </w:rPr>
      </w:pPr>
      <w:r>
        <w:rPr>
          <w:rFonts w:hint="eastAsia"/>
          <w:highlight w:val="none"/>
        </w:rPr>
        <w:t>（1）承包人违约引起的暂停施工；</w:t>
      </w:r>
    </w:p>
    <w:p>
      <w:pPr>
        <w:spacing w:line="400" w:lineRule="exact"/>
        <w:ind w:firstLine="359" w:firstLineChars="171"/>
        <w:rPr>
          <w:highlight w:val="none"/>
        </w:rPr>
      </w:pPr>
      <w:r>
        <w:rPr>
          <w:rFonts w:hint="eastAsia"/>
          <w:highlight w:val="none"/>
        </w:rPr>
        <w:t>（2）由于承包人原因为工程合理施工和安全保障所必需的暂停施工；</w:t>
      </w:r>
    </w:p>
    <w:p>
      <w:pPr>
        <w:spacing w:line="400" w:lineRule="exact"/>
        <w:ind w:firstLine="359" w:firstLineChars="171"/>
        <w:rPr>
          <w:highlight w:val="none"/>
        </w:rPr>
      </w:pPr>
      <w:r>
        <w:rPr>
          <w:rFonts w:hint="eastAsia"/>
          <w:highlight w:val="none"/>
        </w:rPr>
        <w:t>（3）承包人擅自暂停施工；</w:t>
      </w:r>
    </w:p>
    <w:p>
      <w:pPr>
        <w:spacing w:line="400" w:lineRule="exact"/>
        <w:ind w:firstLine="359" w:firstLineChars="171"/>
        <w:rPr>
          <w:highlight w:val="none"/>
        </w:rPr>
      </w:pPr>
      <w:r>
        <w:rPr>
          <w:rFonts w:hint="eastAsia"/>
          <w:highlight w:val="none"/>
        </w:rPr>
        <w:t>（4）承包人其他原因引起的暂停施工；</w:t>
      </w:r>
    </w:p>
    <w:p>
      <w:pPr>
        <w:spacing w:line="400" w:lineRule="exact"/>
        <w:ind w:firstLine="359" w:firstLineChars="171"/>
        <w:rPr>
          <w:highlight w:val="none"/>
        </w:rPr>
      </w:pPr>
      <w:r>
        <w:rPr>
          <w:rFonts w:hint="eastAsia"/>
          <w:highlight w:val="none"/>
        </w:rPr>
        <w:t>（5）专用合同条款约定由承包人承担的其他暂停施工。</w:t>
      </w:r>
    </w:p>
    <w:p>
      <w:pPr>
        <w:pStyle w:val="199"/>
        <w:outlineLvl w:val="0"/>
        <w:rPr>
          <w:highlight w:val="none"/>
        </w:rPr>
      </w:pPr>
      <w:bookmarkStart w:id="825" w:name="_Toc10441"/>
      <w:bookmarkStart w:id="826" w:name="_Toc179632709"/>
      <w:bookmarkStart w:id="827" w:name="_Toc342296342"/>
      <w:bookmarkStart w:id="828" w:name="_Toc144974660"/>
      <w:bookmarkStart w:id="829" w:name="_Toc152042469"/>
      <w:bookmarkStart w:id="830" w:name="_Toc152045691"/>
      <w:bookmarkStart w:id="831" w:name="_Toc434331257"/>
      <w:bookmarkStart w:id="832" w:name="_Toc338944784"/>
      <w:r>
        <w:rPr>
          <w:rFonts w:hint="eastAsia"/>
          <w:highlight w:val="none"/>
        </w:rPr>
        <w:t>12.2 发包人暂停施工的责任</w:t>
      </w:r>
      <w:bookmarkEnd w:id="825"/>
      <w:bookmarkEnd w:id="826"/>
      <w:bookmarkEnd w:id="827"/>
      <w:bookmarkEnd w:id="828"/>
      <w:bookmarkEnd w:id="829"/>
      <w:bookmarkEnd w:id="830"/>
      <w:bookmarkEnd w:id="831"/>
      <w:bookmarkEnd w:id="832"/>
    </w:p>
    <w:p>
      <w:pPr>
        <w:spacing w:line="400" w:lineRule="exact"/>
        <w:ind w:firstLine="420" w:firstLineChars="200"/>
        <w:rPr>
          <w:highlight w:val="none"/>
        </w:rPr>
      </w:pPr>
      <w:r>
        <w:rPr>
          <w:rFonts w:hint="eastAsia"/>
          <w:highlight w:val="none"/>
        </w:rPr>
        <w:t>由于发包人原因引起的暂停施工造成工期延误的，承包人有权要求发包人延长工期和（或）增加费用，并支付合理利润。</w:t>
      </w:r>
    </w:p>
    <w:p>
      <w:pPr>
        <w:pStyle w:val="199"/>
        <w:outlineLvl w:val="0"/>
        <w:rPr>
          <w:highlight w:val="none"/>
        </w:rPr>
      </w:pPr>
      <w:bookmarkStart w:id="833" w:name="_Toc152042470"/>
      <w:bookmarkStart w:id="834" w:name="_Toc152045692"/>
      <w:bookmarkStart w:id="835" w:name="_Toc31204"/>
      <w:bookmarkStart w:id="836" w:name="_Toc434331258"/>
      <w:bookmarkStart w:id="837" w:name="_Toc179632710"/>
      <w:bookmarkStart w:id="838" w:name="_Toc144974661"/>
      <w:bookmarkStart w:id="839" w:name="_Toc342296343"/>
      <w:bookmarkStart w:id="840" w:name="_Toc338944785"/>
      <w:r>
        <w:rPr>
          <w:rFonts w:hint="eastAsia"/>
          <w:highlight w:val="none"/>
        </w:rPr>
        <w:t>12.3 监理人暂停施工指示</w:t>
      </w:r>
      <w:bookmarkEnd w:id="833"/>
      <w:bookmarkEnd w:id="834"/>
      <w:bookmarkEnd w:id="835"/>
      <w:bookmarkEnd w:id="836"/>
      <w:bookmarkEnd w:id="837"/>
      <w:bookmarkEnd w:id="838"/>
      <w:bookmarkEnd w:id="839"/>
      <w:bookmarkEnd w:id="840"/>
    </w:p>
    <w:p>
      <w:pPr>
        <w:spacing w:line="400" w:lineRule="exact"/>
        <w:ind w:firstLine="420" w:firstLineChars="200"/>
        <w:rPr>
          <w:highlight w:val="none"/>
        </w:rPr>
      </w:pPr>
      <w:r>
        <w:rPr>
          <w:rFonts w:hint="eastAsia"/>
          <w:highlight w:val="none"/>
        </w:rPr>
        <w:t>12.3.1 监理人认为有必要时，可向承包人作出暂停施工的指示，承包人应按监理人指示暂停施工。不论由于何种原因引起的暂停施工，暂停施工期间承包人应负责妥善保护工程并提供安全保障。</w:t>
      </w:r>
    </w:p>
    <w:p>
      <w:pPr>
        <w:spacing w:line="400" w:lineRule="exact"/>
        <w:ind w:firstLine="420" w:firstLineChars="200"/>
        <w:rPr>
          <w:highlight w:val="none"/>
        </w:rPr>
      </w:pPr>
      <w:r>
        <w:rPr>
          <w:rFonts w:hint="eastAsia"/>
          <w:highlight w:val="none"/>
        </w:rPr>
        <w:t>12.3.2 由于发包人的原因发生暂停施工的紧急情况，且监理人未及时下达暂停施工指示的，承包人可先暂停施工，并及时向监理人提出暂停施工的书面请求。监理人应在接到书面请求后的24小时内予以答复，逾期未答复的，视为同意承包人的暂停施工请求。</w:t>
      </w:r>
    </w:p>
    <w:p>
      <w:pPr>
        <w:pStyle w:val="199"/>
        <w:outlineLvl w:val="0"/>
        <w:rPr>
          <w:highlight w:val="none"/>
        </w:rPr>
      </w:pPr>
      <w:bookmarkStart w:id="841" w:name="_Toc338944786"/>
      <w:bookmarkStart w:id="842" w:name="_Toc434331259"/>
      <w:bookmarkStart w:id="843" w:name="_Toc342296344"/>
      <w:bookmarkStart w:id="844" w:name="_Toc144974662"/>
      <w:bookmarkStart w:id="845" w:name="_Toc152042471"/>
      <w:bookmarkStart w:id="846" w:name="_Toc20206"/>
      <w:bookmarkStart w:id="847" w:name="_Toc179632711"/>
      <w:bookmarkStart w:id="848" w:name="_Toc152045693"/>
      <w:r>
        <w:rPr>
          <w:rFonts w:hint="eastAsia"/>
          <w:highlight w:val="none"/>
        </w:rPr>
        <w:t>12.4 暂停施工后的复工</w:t>
      </w:r>
      <w:bookmarkEnd w:id="841"/>
      <w:bookmarkEnd w:id="842"/>
      <w:bookmarkEnd w:id="843"/>
      <w:bookmarkEnd w:id="844"/>
      <w:bookmarkEnd w:id="845"/>
      <w:bookmarkEnd w:id="846"/>
      <w:bookmarkEnd w:id="847"/>
      <w:bookmarkEnd w:id="848"/>
    </w:p>
    <w:p>
      <w:pPr>
        <w:spacing w:line="400" w:lineRule="exact"/>
        <w:ind w:firstLine="420" w:firstLineChars="200"/>
        <w:rPr>
          <w:highlight w:val="none"/>
        </w:rPr>
      </w:pPr>
      <w:r>
        <w:rPr>
          <w:rFonts w:hint="eastAsia"/>
          <w:highlight w:val="none"/>
        </w:rPr>
        <w:t>12.4.1 暂停施工后，监理人应与发包人和承包人协商，采取有效措施积极消除暂停施工的影响。当工程具备复工条件时，监理人应立即向承包人发出复工通知。承包人收到复工通知后，应在监理人指定的期限内复工。</w:t>
      </w:r>
    </w:p>
    <w:p>
      <w:pPr>
        <w:spacing w:line="400" w:lineRule="exact"/>
        <w:ind w:firstLine="420" w:firstLineChars="200"/>
        <w:rPr>
          <w:highlight w:val="none"/>
        </w:rPr>
      </w:pPr>
      <w:r>
        <w:rPr>
          <w:rFonts w:hint="eastAsia"/>
          <w:highlight w:val="none"/>
        </w:rPr>
        <w:t>12.4.2 承包人无故拖延和拒绝复工的，由此增加的费用和工期延误由承包人承担；因发包人原因无法按时复工的，承包人有权要求发包人延长工期和（或）增加费用，并支付合理利润。</w:t>
      </w:r>
    </w:p>
    <w:p>
      <w:pPr>
        <w:pStyle w:val="199"/>
        <w:outlineLvl w:val="0"/>
        <w:rPr>
          <w:highlight w:val="none"/>
        </w:rPr>
      </w:pPr>
      <w:bookmarkStart w:id="849" w:name="_Toc434331260"/>
      <w:bookmarkStart w:id="850" w:name="_Toc152042472"/>
      <w:bookmarkStart w:id="851" w:name="_Toc14253"/>
      <w:bookmarkStart w:id="852" w:name="_Toc152045694"/>
      <w:bookmarkStart w:id="853" w:name="_Toc342296345"/>
      <w:bookmarkStart w:id="854" w:name="_Toc338944787"/>
      <w:bookmarkStart w:id="855" w:name="_Toc144974663"/>
      <w:bookmarkStart w:id="856" w:name="_Toc179632712"/>
      <w:r>
        <w:rPr>
          <w:rFonts w:hint="eastAsia"/>
          <w:highlight w:val="none"/>
        </w:rPr>
        <w:t xml:space="preserve">12.5 </w:t>
      </w:r>
      <w:r>
        <w:rPr>
          <w:highlight w:val="none"/>
        </w:rPr>
        <w:t>暂停施工</w:t>
      </w:r>
      <w:r>
        <w:rPr>
          <w:rFonts w:hint="eastAsia"/>
          <w:highlight w:val="none"/>
        </w:rPr>
        <w:t>持续56天以上</w:t>
      </w:r>
      <w:bookmarkEnd w:id="849"/>
      <w:bookmarkEnd w:id="850"/>
      <w:bookmarkEnd w:id="851"/>
      <w:bookmarkEnd w:id="852"/>
      <w:bookmarkEnd w:id="853"/>
      <w:bookmarkEnd w:id="854"/>
      <w:bookmarkEnd w:id="855"/>
      <w:bookmarkEnd w:id="856"/>
    </w:p>
    <w:p>
      <w:pPr>
        <w:spacing w:line="400" w:lineRule="exact"/>
        <w:ind w:firstLine="411" w:firstLineChars="196"/>
        <w:rPr>
          <w:highlight w:val="none"/>
        </w:rPr>
      </w:pPr>
      <w:r>
        <w:rPr>
          <w:rFonts w:hint="eastAsia"/>
          <w:highlight w:val="none"/>
        </w:rPr>
        <w:t xml:space="preserve">12.5.1 </w:t>
      </w:r>
      <w:r>
        <w:rPr>
          <w:highlight w:val="none"/>
        </w:rPr>
        <w:t>监理人</w:t>
      </w:r>
      <w:r>
        <w:rPr>
          <w:rFonts w:hint="eastAsia"/>
          <w:highlight w:val="none"/>
        </w:rPr>
        <w:t>发出</w:t>
      </w:r>
      <w:r>
        <w:rPr>
          <w:highlight w:val="none"/>
        </w:rPr>
        <w:t>暂停施工指示</w:t>
      </w:r>
      <w:r>
        <w:rPr>
          <w:rFonts w:hint="eastAsia"/>
          <w:highlight w:val="none"/>
        </w:rPr>
        <w:t>后56天内未向</w:t>
      </w:r>
      <w:r>
        <w:rPr>
          <w:highlight w:val="none"/>
        </w:rPr>
        <w:t>承包人</w:t>
      </w:r>
      <w:r>
        <w:rPr>
          <w:rFonts w:hint="eastAsia"/>
          <w:highlight w:val="none"/>
        </w:rPr>
        <w:t>发出复工通知，除了该项停工属于第12.1款的情况外，</w:t>
      </w:r>
      <w:r>
        <w:rPr>
          <w:highlight w:val="none"/>
        </w:rPr>
        <w:t>承包人</w:t>
      </w:r>
      <w:r>
        <w:rPr>
          <w:rFonts w:hint="eastAsia"/>
          <w:highlight w:val="none"/>
        </w:rPr>
        <w:t>可向</w:t>
      </w:r>
      <w:r>
        <w:rPr>
          <w:highlight w:val="none"/>
        </w:rPr>
        <w:t>监理人</w:t>
      </w:r>
      <w:r>
        <w:rPr>
          <w:rFonts w:hint="eastAsia"/>
          <w:highlight w:val="none"/>
        </w:rPr>
        <w:t>提交书面通知，要求</w:t>
      </w:r>
      <w:r>
        <w:rPr>
          <w:highlight w:val="none"/>
        </w:rPr>
        <w:t>监理人</w:t>
      </w:r>
      <w:r>
        <w:rPr>
          <w:rFonts w:hint="eastAsia"/>
          <w:highlight w:val="none"/>
        </w:rPr>
        <w:t>在收到书面通知后28天内准许已</w:t>
      </w:r>
      <w:r>
        <w:rPr>
          <w:highlight w:val="none"/>
        </w:rPr>
        <w:t>暂停施工</w:t>
      </w:r>
      <w:r>
        <w:rPr>
          <w:rFonts w:hint="eastAsia"/>
          <w:highlight w:val="none"/>
        </w:rPr>
        <w:t>的工程或其中一部分工程继续施工。如</w:t>
      </w:r>
      <w:r>
        <w:rPr>
          <w:highlight w:val="none"/>
        </w:rPr>
        <w:t>监理人</w:t>
      </w:r>
      <w:r>
        <w:rPr>
          <w:rFonts w:hint="eastAsia"/>
          <w:highlight w:val="none"/>
        </w:rPr>
        <w:t>逾期不予批准，则承包人可以通知</w:t>
      </w:r>
      <w:r>
        <w:rPr>
          <w:highlight w:val="none"/>
        </w:rPr>
        <w:t>监理人</w:t>
      </w:r>
      <w:r>
        <w:rPr>
          <w:rFonts w:hint="eastAsia"/>
          <w:highlight w:val="none"/>
        </w:rPr>
        <w:t>，将工程受影响的部分视为按第15.1（1）项的可取消工作。如</w:t>
      </w:r>
      <w:r>
        <w:rPr>
          <w:highlight w:val="none"/>
        </w:rPr>
        <w:t>暂停施工</w:t>
      </w:r>
      <w:r>
        <w:rPr>
          <w:rFonts w:hint="eastAsia"/>
          <w:highlight w:val="none"/>
        </w:rPr>
        <w:t>影响到整个工程，可视为发包人违约，应按第22.2款的规定办理。</w:t>
      </w:r>
    </w:p>
    <w:p>
      <w:pPr>
        <w:spacing w:line="400" w:lineRule="exact"/>
        <w:ind w:firstLine="420" w:firstLineChars="200"/>
        <w:rPr>
          <w:highlight w:val="none"/>
        </w:rPr>
      </w:pPr>
      <w:r>
        <w:rPr>
          <w:rFonts w:hint="eastAsia"/>
          <w:highlight w:val="none"/>
        </w:rPr>
        <w:t>12.5.2 由于</w:t>
      </w:r>
      <w:r>
        <w:rPr>
          <w:highlight w:val="none"/>
        </w:rPr>
        <w:t>承包人</w:t>
      </w:r>
      <w:r>
        <w:rPr>
          <w:rFonts w:hint="eastAsia"/>
          <w:highlight w:val="none"/>
        </w:rPr>
        <w:t>责任引起的</w:t>
      </w:r>
      <w:r>
        <w:rPr>
          <w:highlight w:val="none"/>
        </w:rPr>
        <w:t>暂停施工</w:t>
      </w:r>
      <w:r>
        <w:rPr>
          <w:rFonts w:hint="eastAsia"/>
          <w:highlight w:val="none"/>
        </w:rPr>
        <w:t>，如</w:t>
      </w:r>
      <w:r>
        <w:rPr>
          <w:highlight w:val="none"/>
        </w:rPr>
        <w:t>承包人</w:t>
      </w:r>
      <w:r>
        <w:rPr>
          <w:rFonts w:hint="eastAsia"/>
          <w:highlight w:val="none"/>
        </w:rPr>
        <w:t>在收到</w:t>
      </w:r>
      <w:r>
        <w:rPr>
          <w:highlight w:val="none"/>
        </w:rPr>
        <w:t>监理人暂停施工指示</w:t>
      </w:r>
      <w:r>
        <w:rPr>
          <w:rFonts w:hint="eastAsia"/>
          <w:highlight w:val="none"/>
        </w:rPr>
        <w:t>后56天内不认真采取有效的复工措施，造成工期延误，可视为</w:t>
      </w:r>
      <w:r>
        <w:rPr>
          <w:highlight w:val="none"/>
        </w:rPr>
        <w:t>承包人</w:t>
      </w:r>
      <w:r>
        <w:rPr>
          <w:rFonts w:hint="eastAsia"/>
          <w:highlight w:val="none"/>
        </w:rPr>
        <w:t>违约，应按第22.1款的规定办理。</w:t>
      </w:r>
    </w:p>
    <w:p>
      <w:pPr>
        <w:pStyle w:val="282"/>
        <w:spacing w:before="0"/>
        <w:outlineLvl w:val="0"/>
        <w:rPr>
          <w:highlight w:val="none"/>
        </w:rPr>
      </w:pPr>
      <w:bookmarkStart w:id="857" w:name="_Toc342296346"/>
      <w:bookmarkStart w:id="858" w:name="_Toc17161"/>
      <w:bookmarkStart w:id="859" w:name="_Toc338944788"/>
      <w:bookmarkStart w:id="860" w:name="_Toc434331261"/>
      <w:r>
        <w:rPr>
          <w:rFonts w:hint="eastAsia"/>
          <w:highlight w:val="none"/>
        </w:rPr>
        <w:t>13. 工程质量</w:t>
      </w:r>
      <w:bookmarkEnd w:id="857"/>
      <w:bookmarkEnd w:id="858"/>
      <w:bookmarkEnd w:id="859"/>
      <w:bookmarkEnd w:id="860"/>
    </w:p>
    <w:p>
      <w:pPr>
        <w:pStyle w:val="199"/>
        <w:outlineLvl w:val="0"/>
        <w:rPr>
          <w:highlight w:val="none"/>
        </w:rPr>
      </w:pPr>
      <w:bookmarkStart w:id="861" w:name="_Toc342296347"/>
      <w:bookmarkStart w:id="862" w:name="_Toc338944789"/>
      <w:bookmarkStart w:id="863" w:name="_Toc434331262"/>
      <w:bookmarkStart w:id="864" w:name="_Toc6302"/>
      <w:bookmarkStart w:id="865" w:name="_Toc152042474"/>
      <w:bookmarkStart w:id="866" w:name="_Toc152045696"/>
      <w:bookmarkStart w:id="867" w:name="_Toc179632714"/>
      <w:bookmarkStart w:id="868" w:name="_Toc144974665"/>
      <w:r>
        <w:rPr>
          <w:rFonts w:hint="eastAsia"/>
          <w:highlight w:val="none"/>
        </w:rPr>
        <w:t>13.1 工程质量要求</w:t>
      </w:r>
      <w:bookmarkEnd w:id="861"/>
      <w:bookmarkEnd w:id="862"/>
      <w:bookmarkEnd w:id="863"/>
      <w:bookmarkEnd w:id="864"/>
      <w:bookmarkEnd w:id="865"/>
      <w:bookmarkEnd w:id="866"/>
      <w:bookmarkEnd w:id="867"/>
      <w:bookmarkEnd w:id="868"/>
    </w:p>
    <w:p>
      <w:pPr>
        <w:spacing w:line="400" w:lineRule="exact"/>
        <w:ind w:firstLine="420" w:firstLineChars="200"/>
        <w:rPr>
          <w:highlight w:val="none"/>
        </w:rPr>
      </w:pPr>
      <w:r>
        <w:rPr>
          <w:rFonts w:hint="eastAsia"/>
          <w:highlight w:val="none"/>
        </w:rPr>
        <w:t>13.1.1 工程质量验收按合同约定验收标准执行。</w:t>
      </w:r>
    </w:p>
    <w:p>
      <w:pPr>
        <w:spacing w:line="400" w:lineRule="exact"/>
        <w:ind w:firstLine="420" w:firstLineChars="200"/>
        <w:rPr>
          <w:highlight w:val="none"/>
        </w:rPr>
      </w:pPr>
      <w:r>
        <w:rPr>
          <w:rFonts w:hint="eastAsia"/>
          <w:highlight w:val="none"/>
        </w:rPr>
        <w:t>13.1.2 因承包人原因造成工程质量达不到合同约定验收标准的，监理人有权要求承包人返工直至符合合同要求为止，由此造成的费用增加和（或）工期延误由承包人承担。</w:t>
      </w:r>
    </w:p>
    <w:p>
      <w:pPr>
        <w:spacing w:line="400" w:lineRule="exact"/>
        <w:ind w:firstLine="420" w:firstLineChars="200"/>
        <w:rPr>
          <w:highlight w:val="none"/>
        </w:rPr>
      </w:pPr>
      <w:r>
        <w:rPr>
          <w:rFonts w:hint="eastAsia"/>
          <w:highlight w:val="none"/>
        </w:rPr>
        <w:t>13.1.3 因发包人原因造成工程质量达不到合同约定验收标准的，发包人应承担由于承包人返工造成的费用增加和（或）工期延误，并支付承包人合理利润。</w:t>
      </w:r>
    </w:p>
    <w:p>
      <w:pPr>
        <w:pStyle w:val="199"/>
        <w:outlineLvl w:val="0"/>
        <w:rPr>
          <w:highlight w:val="none"/>
        </w:rPr>
      </w:pPr>
      <w:bookmarkStart w:id="869" w:name="_Toc6032"/>
      <w:bookmarkStart w:id="870" w:name="_Toc338944790"/>
      <w:bookmarkStart w:id="871" w:name="_Toc434331263"/>
      <w:bookmarkStart w:id="872" w:name="_Toc342296348"/>
      <w:r>
        <w:rPr>
          <w:rFonts w:hint="eastAsia"/>
          <w:highlight w:val="none"/>
        </w:rPr>
        <w:t>13.2 承包人的质量管理</w:t>
      </w:r>
      <w:bookmarkEnd w:id="869"/>
      <w:bookmarkEnd w:id="870"/>
      <w:bookmarkEnd w:id="871"/>
      <w:bookmarkEnd w:id="872"/>
    </w:p>
    <w:p>
      <w:pPr>
        <w:spacing w:line="400" w:lineRule="exact"/>
        <w:ind w:firstLine="420" w:firstLineChars="200"/>
        <w:rPr>
          <w:highlight w:val="none"/>
        </w:rPr>
      </w:pPr>
      <w:r>
        <w:rPr>
          <w:rFonts w:hint="eastAsia"/>
          <w:highlight w:val="none"/>
        </w:rPr>
        <w:t>13.2.1 承包人应在施工场地设置专门的质量检查机构，配备专职质量检查人员，建立完善的质量检查制度。承包人应在合同约定的期限内，提交工程质量保证措施文件，包括质量检查机构的组织和岗位责任、质检人员的组成、质量检查程序和实施细则等，报送监理人审批。</w:t>
      </w:r>
    </w:p>
    <w:p>
      <w:pPr>
        <w:spacing w:line="400" w:lineRule="exact"/>
        <w:ind w:firstLine="420" w:firstLineChars="200"/>
        <w:rPr>
          <w:highlight w:val="none"/>
        </w:rPr>
      </w:pPr>
      <w:r>
        <w:rPr>
          <w:rFonts w:hint="eastAsia"/>
          <w:highlight w:val="none"/>
        </w:rPr>
        <w:t>13.2.2 承包人应加强对施工人员的质量教育和技术培训，定期考核施工人员的劳动技能，严格执行规范和操作规程。</w:t>
      </w:r>
    </w:p>
    <w:p>
      <w:pPr>
        <w:pStyle w:val="199"/>
        <w:outlineLvl w:val="0"/>
        <w:rPr>
          <w:highlight w:val="none"/>
        </w:rPr>
      </w:pPr>
      <w:bookmarkStart w:id="873" w:name="_Toc338944791"/>
      <w:bookmarkStart w:id="874" w:name="_Toc434331264"/>
      <w:bookmarkStart w:id="875" w:name="_Toc342296349"/>
      <w:bookmarkStart w:id="876" w:name="_Toc10132"/>
      <w:r>
        <w:rPr>
          <w:rFonts w:hint="eastAsia"/>
          <w:highlight w:val="none"/>
        </w:rPr>
        <w:t>13.3 承包人的质量检查</w:t>
      </w:r>
      <w:bookmarkEnd w:id="873"/>
      <w:bookmarkEnd w:id="874"/>
      <w:bookmarkEnd w:id="875"/>
      <w:bookmarkEnd w:id="876"/>
    </w:p>
    <w:p>
      <w:pPr>
        <w:spacing w:line="400" w:lineRule="exact"/>
        <w:ind w:firstLine="420" w:firstLineChars="200"/>
        <w:rPr>
          <w:highlight w:val="none"/>
        </w:rPr>
      </w:pPr>
      <w:r>
        <w:rPr>
          <w:rFonts w:hint="eastAsia"/>
          <w:highlight w:val="none"/>
        </w:rPr>
        <w:t>承包人应按合同约定对材料、工程设备以及工程的所有部位及其施工工艺进行全过程的质量检查和检验，并作详细记录，编制工程质量报表，报送监理人审查。</w:t>
      </w:r>
    </w:p>
    <w:p>
      <w:pPr>
        <w:pStyle w:val="199"/>
        <w:outlineLvl w:val="0"/>
        <w:rPr>
          <w:highlight w:val="none"/>
        </w:rPr>
      </w:pPr>
      <w:bookmarkStart w:id="877" w:name="_Toc27949"/>
      <w:bookmarkStart w:id="878" w:name="_Toc434331265"/>
      <w:bookmarkStart w:id="879" w:name="_Toc342296350"/>
      <w:bookmarkStart w:id="880" w:name="_Toc338944792"/>
      <w:r>
        <w:rPr>
          <w:rFonts w:hint="eastAsia"/>
          <w:highlight w:val="none"/>
        </w:rPr>
        <w:t>13.4 监理人的质量检查</w:t>
      </w:r>
      <w:bookmarkEnd w:id="877"/>
      <w:bookmarkEnd w:id="878"/>
      <w:bookmarkEnd w:id="879"/>
      <w:bookmarkEnd w:id="880"/>
    </w:p>
    <w:p>
      <w:pPr>
        <w:spacing w:line="400" w:lineRule="exact"/>
        <w:ind w:firstLine="420" w:firstLineChars="200"/>
        <w:rPr>
          <w:highlight w:val="none"/>
        </w:rPr>
      </w:pPr>
      <w:r>
        <w:rPr>
          <w:rFonts w:hint="eastAsia"/>
          <w:highlight w:val="none"/>
        </w:rPr>
        <w:t>监理人有权对工程的所有部位及其施工工艺、材料和工程设备进行检查和检验。承包人应为监理人的检查和检验提供方便，包括监理人到施工场地，或制造、加工地点，或合同约定的其他地方进行察看和查阅施工原始记录。承包人还应按监理人指示，进行施工场地取样试验、工程复核测量和设备性能检测，提供试验样品、提交试验报告和测量成果以及监理人要求进行的其他工作。监理人的检查和检验，不免除承包人按合同约定应负的责任。</w:t>
      </w:r>
    </w:p>
    <w:p>
      <w:pPr>
        <w:pStyle w:val="199"/>
        <w:outlineLvl w:val="0"/>
        <w:rPr>
          <w:highlight w:val="none"/>
        </w:rPr>
      </w:pPr>
      <w:bookmarkStart w:id="881" w:name="_Toc9956"/>
      <w:bookmarkStart w:id="882" w:name="_Toc338944793"/>
      <w:bookmarkStart w:id="883" w:name="_Toc342296351"/>
      <w:bookmarkStart w:id="884" w:name="_Toc434331266"/>
      <w:r>
        <w:rPr>
          <w:rFonts w:hint="eastAsia"/>
          <w:highlight w:val="none"/>
        </w:rPr>
        <w:t>13.5 工程隐蔽部位覆盖前的检查</w:t>
      </w:r>
      <w:bookmarkEnd w:id="881"/>
      <w:bookmarkEnd w:id="882"/>
      <w:bookmarkEnd w:id="883"/>
      <w:bookmarkEnd w:id="884"/>
    </w:p>
    <w:p>
      <w:pPr>
        <w:spacing w:line="400" w:lineRule="exact"/>
        <w:ind w:firstLine="420" w:firstLineChars="200"/>
        <w:rPr>
          <w:highlight w:val="none"/>
        </w:rPr>
      </w:pPr>
      <w:r>
        <w:rPr>
          <w:rFonts w:hint="eastAsia"/>
          <w:highlight w:val="none"/>
        </w:rPr>
        <w:t xml:space="preserve">13.5.1 </w:t>
      </w:r>
      <w:r>
        <w:rPr>
          <w:rFonts w:hint="eastAsia" w:ascii="黑体" w:eastAsia="黑体"/>
          <w:highlight w:val="none"/>
        </w:rPr>
        <w:t>通知监理人检查</w:t>
      </w:r>
    </w:p>
    <w:p>
      <w:pPr>
        <w:spacing w:line="400" w:lineRule="exact"/>
        <w:ind w:firstLine="420" w:firstLineChars="200"/>
        <w:rPr>
          <w:highlight w:val="none"/>
        </w:rPr>
      </w:pPr>
      <w:r>
        <w:rPr>
          <w:rFonts w:hint="eastAsia"/>
          <w:highlight w:val="none"/>
        </w:rPr>
        <w:t>经承包人自检确认的工程隐蔽部位具备覆盖条件后，承包人应通知监理人在约定的期限内检查。承包人的通知应附有自检记录和必要的检查资料。监理人应按时到场检查。经监理人检查确认质量符合隐蔽要求，并在检查记录上签字后，承包人才能进行覆盖。监理人检查确认质量不合格的，承包人应在监理人指示的时间内修整返工后，由监理人重新检查。</w:t>
      </w:r>
    </w:p>
    <w:p>
      <w:pPr>
        <w:spacing w:line="400" w:lineRule="exact"/>
        <w:ind w:firstLine="420" w:firstLineChars="200"/>
        <w:rPr>
          <w:highlight w:val="none"/>
        </w:rPr>
      </w:pPr>
      <w:r>
        <w:rPr>
          <w:rFonts w:hint="eastAsia"/>
          <w:highlight w:val="none"/>
        </w:rPr>
        <w:t xml:space="preserve">13.5.2 </w:t>
      </w:r>
      <w:r>
        <w:rPr>
          <w:rFonts w:hint="eastAsia" w:ascii="黑体" w:eastAsia="黑体"/>
          <w:highlight w:val="none"/>
        </w:rPr>
        <w:t>监理人未到场检查</w:t>
      </w:r>
    </w:p>
    <w:p>
      <w:pPr>
        <w:spacing w:line="400" w:lineRule="exact"/>
        <w:ind w:firstLine="420" w:firstLineChars="200"/>
        <w:rPr>
          <w:highlight w:val="none"/>
        </w:rPr>
      </w:pPr>
      <w:r>
        <w:rPr>
          <w:rFonts w:hint="eastAsia"/>
          <w:highlight w:val="none"/>
        </w:rPr>
        <w:t>监理人未按第13.5.1项约定的时间进行检查的，除监理人另有指示外，承包人可自行完成覆盖工作，并作相应记录报送监理人，监理人应签字确认。监理人事后对检查记录有疑问的，可按第13.5.3项的约定重新检查。</w:t>
      </w:r>
    </w:p>
    <w:p>
      <w:pPr>
        <w:spacing w:line="400" w:lineRule="exact"/>
        <w:ind w:firstLine="420" w:firstLineChars="200"/>
        <w:rPr>
          <w:highlight w:val="none"/>
        </w:rPr>
      </w:pPr>
      <w:r>
        <w:rPr>
          <w:rFonts w:hint="eastAsia"/>
          <w:highlight w:val="none"/>
        </w:rPr>
        <w:t xml:space="preserve">13.5.3 </w:t>
      </w:r>
      <w:r>
        <w:rPr>
          <w:rFonts w:hint="eastAsia" w:ascii="黑体" w:eastAsia="黑体"/>
          <w:highlight w:val="none"/>
        </w:rPr>
        <w:t>监理人重新检查</w:t>
      </w:r>
    </w:p>
    <w:p>
      <w:pPr>
        <w:spacing w:line="400" w:lineRule="exact"/>
        <w:ind w:firstLine="420" w:firstLineChars="200"/>
        <w:rPr>
          <w:highlight w:val="none"/>
        </w:rPr>
      </w:pPr>
      <w:r>
        <w:rPr>
          <w:rFonts w:hint="eastAsia"/>
          <w:highlight w:val="none"/>
        </w:rPr>
        <w:t>承包人按第13.5.1项或第13.5.2项覆盖工程隐蔽部位后，监理人对质量有疑问的，可要求承包人对已覆盖的部位进行钻孔探测或揭开重新检验，承包人应遵照执行，并在检验后重新覆盖恢复原状。经检验证明工程质量符合合同要求的，由发包人承担由此增加的费用和（或）工期延误，并支付承包人合理利润；经检验证明工程质量不符合合同要求的，由此增加的费用和（或）工期延误由承包人承担。</w:t>
      </w:r>
    </w:p>
    <w:p>
      <w:pPr>
        <w:spacing w:line="400" w:lineRule="exact"/>
        <w:ind w:firstLine="420" w:firstLineChars="200"/>
        <w:rPr>
          <w:highlight w:val="none"/>
        </w:rPr>
      </w:pPr>
      <w:r>
        <w:rPr>
          <w:rFonts w:hint="eastAsia"/>
          <w:highlight w:val="none"/>
        </w:rPr>
        <w:t xml:space="preserve">13.5.4 </w:t>
      </w:r>
      <w:r>
        <w:rPr>
          <w:rFonts w:hint="eastAsia" w:ascii="黑体" w:eastAsia="黑体"/>
          <w:highlight w:val="none"/>
        </w:rPr>
        <w:t>承包人私自覆盖</w:t>
      </w:r>
    </w:p>
    <w:p>
      <w:pPr>
        <w:spacing w:line="400" w:lineRule="exact"/>
        <w:ind w:firstLine="420" w:firstLineChars="200"/>
        <w:rPr>
          <w:highlight w:val="none"/>
        </w:rPr>
      </w:pPr>
      <w:r>
        <w:rPr>
          <w:rFonts w:hint="eastAsia"/>
          <w:highlight w:val="none"/>
        </w:rPr>
        <w:t>承包人未通知监理人到场检查，私自将工程隐蔽部位覆盖的，监理人有权指示承包人钻孔探测或揭开检查，由此增加的费用和（或）工期延误由承包人承担。</w:t>
      </w:r>
    </w:p>
    <w:p>
      <w:pPr>
        <w:pStyle w:val="199"/>
        <w:outlineLvl w:val="0"/>
        <w:rPr>
          <w:highlight w:val="none"/>
        </w:rPr>
      </w:pPr>
      <w:bookmarkStart w:id="885" w:name="_Toc434331267"/>
      <w:bookmarkStart w:id="886" w:name="_Toc179632719"/>
      <w:bookmarkStart w:id="887" w:name="_Toc144974670"/>
      <w:bookmarkStart w:id="888" w:name="_Toc152042479"/>
      <w:bookmarkStart w:id="889" w:name="_Toc22501"/>
      <w:bookmarkStart w:id="890" w:name="_Toc342296352"/>
      <w:bookmarkStart w:id="891" w:name="_Toc152045701"/>
      <w:bookmarkStart w:id="892" w:name="_Toc338944794"/>
      <w:r>
        <w:rPr>
          <w:rFonts w:hint="eastAsia"/>
          <w:highlight w:val="none"/>
        </w:rPr>
        <w:t>13.6 清除不合格工程</w:t>
      </w:r>
      <w:bookmarkEnd w:id="885"/>
      <w:bookmarkEnd w:id="886"/>
      <w:bookmarkEnd w:id="887"/>
      <w:bookmarkEnd w:id="888"/>
      <w:bookmarkEnd w:id="889"/>
      <w:bookmarkEnd w:id="890"/>
      <w:bookmarkEnd w:id="891"/>
      <w:bookmarkEnd w:id="892"/>
    </w:p>
    <w:p>
      <w:pPr>
        <w:spacing w:line="400" w:lineRule="exact"/>
        <w:ind w:firstLine="420" w:firstLineChars="200"/>
        <w:rPr>
          <w:highlight w:val="none"/>
        </w:rPr>
      </w:pPr>
      <w:r>
        <w:rPr>
          <w:rFonts w:hint="eastAsia"/>
          <w:highlight w:val="none"/>
        </w:rPr>
        <w:t>13.6.1 承包人使用不合格材料、工程设备，或采用不适当的施工工艺，或施工不当，造成工程不合格的，监理人可以随时发出指示，要求承包人立即采取措施进行补救，直至达到合同要求的质量标准，由此增加的费用和（或）工期延误由承包人承担。</w:t>
      </w:r>
    </w:p>
    <w:p>
      <w:pPr>
        <w:spacing w:line="400" w:lineRule="exact"/>
        <w:ind w:firstLine="420" w:firstLineChars="200"/>
        <w:rPr>
          <w:highlight w:val="none"/>
        </w:rPr>
      </w:pPr>
      <w:r>
        <w:rPr>
          <w:rFonts w:hint="eastAsia"/>
          <w:highlight w:val="none"/>
        </w:rPr>
        <w:t>13.6.2 由于发包人提供的材料或工程设备不合格造成的工程不合格，需要承包人采取措施补救的，发包人应承担由此增加的费用和（或）工期延误，并支付承包人合理利润。</w:t>
      </w:r>
    </w:p>
    <w:p>
      <w:pPr>
        <w:pStyle w:val="282"/>
        <w:spacing w:before="0"/>
        <w:outlineLvl w:val="0"/>
        <w:rPr>
          <w:highlight w:val="none"/>
        </w:rPr>
      </w:pPr>
      <w:bookmarkStart w:id="893" w:name="_Toc29029"/>
      <w:bookmarkStart w:id="894" w:name="_Toc152045702"/>
      <w:bookmarkStart w:id="895" w:name="_Toc144974671"/>
      <w:bookmarkStart w:id="896" w:name="_Toc179632720"/>
      <w:bookmarkStart w:id="897" w:name="_Toc434331268"/>
      <w:bookmarkStart w:id="898" w:name="_Toc342296353"/>
      <w:bookmarkStart w:id="899" w:name="_Toc338944795"/>
      <w:bookmarkStart w:id="900" w:name="_Toc152042480"/>
      <w:r>
        <w:rPr>
          <w:rFonts w:hint="eastAsia"/>
          <w:highlight w:val="none"/>
        </w:rPr>
        <w:t>14. 试验和检验</w:t>
      </w:r>
      <w:bookmarkEnd w:id="893"/>
      <w:bookmarkEnd w:id="894"/>
      <w:bookmarkEnd w:id="895"/>
      <w:bookmarkEnd w:id="896"/>
      <w:bookmarkEnd w:id="897"/>
      <w:bookmarkEnd w:id="898"/>
      <w:bookmarkEnd w:id="899"/>
      <w:bookmarkEnd w:id="900"/>
    </w:p>
    <w:p>
      <w:pPr>
        <w:pStyle w:val="199"/>
        <w:outlineLvl w:val="0"/>
        <w:rPr>
          <w:highlight w:val="none"/>
        </w:rPr>
      </w:pPr>
      <w:bookmarkStart w:id="901" w:name="_Toc342296354"/>
      <w:bookmarkStart w:id="902" w:name="_Toc144974672"/>
      <w:bookmarkStart w:id="903" w:name="_Toc2705"/>
      <w:bookmarkStart w:id="904" w:name="_Toc179632721"/>
      <w:bookmarkStart w:id="905" w:name="_Toc152042481"/>
      <w:bookmarkStart w:id="906" w:name="_Toc434331269"/>
      <w:bookmarkStart w:id="907" w:name="_Toc338944796"/>
      <w:bookmarkStart w:id="908" w:name="_Toc152045703"/>
      <w:r>
        <w:rPr>
          <w:rFonts w:hint="eastAsia"/>
          <w:highlight w:val="none"/>
        </w:rPr>
        <w:t>14.1 材料、工程设备和工程的试验和检验</w:t>
      </w:r>
      <w:bookmarkEnd w:id="901"/>
      <w:bookmarkEnd w:id="902"/>
      <w:bookmarkEnd w:id="903"/>
      <w:bookmarkEnd w:id="904"/>
      <w:bookmarkEnd w:id="905"/>
      <w:bookmarkEnd w:id="906"/>
      <w:bookmarkEnd w:id="907"/>
      <w:bookmarkEnd w:id="908"/>
    </w:p>
    <w:p>
      <w:pPr>
        <w:spacing w:line="400" w:lineRule="exact"/>
        <w:ind w:firstLine="420" w:firstLineChars="200"/>
        <w:rPr>
          <w:highlight w:val="none"/>
        </w:rPr>
      </w:pPr>
      <w:r>
        <w:rPr>
          <w:rFonts w:hint="eastAsia"/>
          <w:highlight w:val="none"/>
        </w:rPr>
        <w:t>14.1.1 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pPr>
        <w:spacing w:line="400" w:lineRule="exact"/>
        <w:ind w:firstLine="420" w:firstLineChars="200"/>
        <w:rPr>
          <w:highlight w:val="none"/>
        </w:rPr>
      </w:pPr>
      <w:r>
        <w:rPr>
          <w:rFonts w:hint="eastAsia"/>
          <w:highlight w:val="none"/>
        </w:rPr>
        <w:t>14.1.2 监理人未按合同约定派员参加试验和检验的，除监理人另有指示外，承包人可自行试验和检验，并应立即将试验和检验结果报送监理人，监理人应签字确认。</w:t>
      </w:r>
    </w:p>
    <w:p>
      <w:pPr>
        <w:spacing w:line="400" w:lineRule="exact"/>
        <w:ind w:firstLine="420" w:firstLineChars="200"/>
        <w:rPr>
          <w:highlight w:val="none"/>
        </w:rPr>
      </w:pPr>
      <w:r>
        <w:rPr>
          <w:rFonts w:hint="eastAsia"/>
          <w:highlight w:val="none"/>
        </w:rPr>
        <w:t>14.1.3 监理人对承包人的试验和检验结果有疑问的，或为查清承包人试验和检验成果的可靠性要求承包人重新试验和检验的，可按合同约定由监理人与承包人共同进行。重新试验和检验的结果证明该项材料、工程设备或工程的质量不符合合同要求的，由此增加的费用和（或）工期延误由承包人承担；重新试验和检验结果证明该项材料、工程设备和工程符合合同要求，由发包人承担由此增加的费用和（或）工期延误，并支付承包人合理利润。</w:t>
      </w:r>
    </w:p>
    <w:p>
      <w:pPr>
        <w:pStyle w:val="199"/>
        <w:outlineLvl w:val="0"/>
        <w:rPr>
          <w:highlight w:val="none"/>
        </w:rPr>
      </w:pPr>
      <w:bookmarkStart w:id="909" w:name="_Toc152042482"/>
      <w:bookmarkStart w:id="910" w:name="_Toc338944797"/>
      <w:bookmarkStart w:id="911" w:name="_Toc3191"/>
      <w:bookmarkStart w:id="912" w:name="_Toc152045704"/>
      <w:bookmarkStart w:id="913" w:name="_Toc144974673"/>
      <w:bookmarkStart w:id="914" w:name="_Toc179632722"/>
      <w:bookmarkStart w:id="915" w:name="_Toc342296355"/>
      <w:bookmarkStart w:id="916" w:name="_Toc434331270"/>
      <w:r>
        <w:rPr>
          <w:rFonts w:hint="eastAsia"/>
          <w:highlight w:val="none"/>
        </w:rPr>
        <w:t>14.2 现场材料试验</w:t>
      </w:r>
      <w:bookmarkEnd w:id="909"/>
      <w:bookmarkEnd w:id="910"/>
      <w:bookmarkEnd w:id="911"/>
      <w:bookmarkEnd w:id="912"/>
      <w:bookmarkEnd w:id="913"/>
      <w:bookmarkEnd w:id="914"/>
      <w:bookmarkEnd w:id="915"/>
      <w:bookmarkEnd w:id="916"/>
    </w:p>
    <w:p>
      <w:pPr>
        <w:spacing w:line="400" w:lineRule="exact"/>
        <w:ind w:firstLine="420" w:firstLineChars="200"/>
        <w:rPr>
          <w:highlight w:val="none"/>
        </w:rPr>
      </w:pPr>
      <w:r>
        <w:rPr>
          <w:rFonts w:hint="eastAsia"/>
          <w:highlight w:val="none"/>
        </w:rPr>
        <w:t>14.2.1 承包人根据合同约定或监理人指示进行的现场材料试验，应由承包人提供试验场所、试验人员、试验设备器材以及其他必要的试验条件。</w:t>
      </w:r>
    </w:p>
    <w:p>
      <w:pPr>
        <w:spacing w:line="400" w:lineRule="exact"/>
        <w:ind w:firstLine="420" w:firstLineChars="200"/>
        <w:rPr>
          <w:highlight w:val="none"/>
        </w:rPr>
      </w:pPr>
      <w:r>
        <w:rPr>
          <w:rFonts w:hint="eastAsia"/>
          <w:highlight w:val="none"/>
        </w:rPr>
        <w:t>14.2.2 监理人在必要时可以使用承包人的试验场所、试验设备器材以及其他试验条件，进行以工程质量检查为目的的复核性材料试验，承包人应予以协助。</w:t>
      </w:r>
    </w:p>
    <w:p>
      <w:pPr>
        <w:pStyle w:val="199"/>
        <w:outlineLvl w:val="0"/>
        <w:rPr>
          <w:highlight w:val="none"/>
        </w:rPr>
      </w:pPr>
      <w:bookmarkStart w:id="917" w:name="_Toc434331271"/>
      <w:bookmarkStart w:id="918" w:name="_Toc152045705"/>
      <w:bookmarkStart w:id="919" w:name="_Toc338944798"/>
      <w:bookmarkStart w:id="920" w:name="_Toc25399"/>
      <w:bookmarkStart w:id="921" w:name="_Toc342296356"/>
      <w:bookmarkStart w:id="922" w:name="_Toc179632723"/>
      <w:bookmarkStart w:id="923" w:name="_Toc144974674"/>
      <w:bookmarkStart w:id="924" w:name="_Toc152042483"/>
      <w:r>
        <w:rPr>
          <w:rFonts w:hint="eastAsia"/>
          <w:highlight w:val="none"/>
        </w:rPr>
        <w:t>14.3 现场工艺试验</w:t>
      </w:r>
      <w:bookmarkEnd w:id="917"/>
      <w:bookmarkEnd w:id="918"/>
      <w:bookmarkEnd w:id="919"/>
      <w:bookmarkEnd w:id="920"/>
      <w:bookmarkEnd w:id="921"/>
      <w:bookmarkEnd w:id="922"/>
      <w:bookmarkEnd w:id="923"/>
      <w:bookmarkEnd w:id="924"/>
    </w:p>
    <w:p>
      <w:pPr>
        <w:spacing w:line="400" w:lineRule="exact"/>
        <w:ind w:firstLine="420" w:firstLineChars="200"/>
        <w:rPr>
          <w:highlight w:val="none"/>
        </w:rPr>
      </w:pPr>
      <w:r>
        <w:rPr>
          <w:rFonts w:hint="eastAsia"/>
          <w:highlight w:val="none"/>
        </w:rPr>
        <w:t>承包人应按合同约定或监理人指示进行现场工艺试验。对大型的现场工艺试验，监理人认为必要时，应由承包人根据监理人提出的工艺试验要求，编制工艺试验措施计划，报送监理人审批。</w:t>
      </w:r>
    </w:p>
    <w:p>
      <w:pPr>
        <w:pStyle w:val="282"/>
        <w:spacing w:before="0"/>
        <w:outlineLvl w:val="0"/>
        <w:rPr>
          <w:highlight w:val="none"/>
        </w:rPr>
      </w:pPr>
      <w:bookmarkStart w:id="925" w:name="_Toc338944799"/>
      <w:bookmarkStart w:id="926" w:name="_Toc342296357"/>
      <w:bookmarkStart w:id="927" w:name="_Toc434331272"/>
      <w:bookmarkStart w:id="928" w:name="_Toc15245"/>
      <w:r>
        <w:rPr>
          <w:rFonts w:hint="eastAsia"/>
          <w:highlight w:val="none"/>
        </w:rPr>
        <w:t>15. 变更</w:t>
      </w:r>
      <w:bookmarkEnd w:id="925"/>
      <w:bookmarkEnd w:id="926"/>
      <w:bookmarkEnd w:id="927"/>
      <w:bookmarkEnd w:id="928"/>
    </w:p>
    <w:p>
      <w:pPr>
        <w:pStyle w:val="199"/>
        <w:outlineLvl w:val="0"/>
        <w:rPr>
          <w:highlight w:val="none"/>
        </w:rPr>
      </w:pPr>
      <w:bookmarkStart w:id="929" w:name="_Toc1789"/>
      <w:bookmarkStart w:id="930" w:name="_Toc434331273"/>
      <w:bookmarkStart w:id="931" w:name="_Toc342296358"/>
      <w:bookmarkStart w:id="932" w:name="_Toc338944800"/>
      <w:r>
        <w:rPr>
          <w:rFonts w:hint="eastAsia"/>
          <w:highlight w:val="none"/>
        </w:rPr>
        <w:t>15.1 变更的范围和内容</w:t>
      </w:r>
      <w:bookmarkEnd w:id="929"/>
      <w:bookmarkEnd w:id="930"/>
      <w:bookmarkEnd w:id="931"/>
      <w:bookmarkEnd w:id="932"/>
    </w:p>
    <w:p>
      <w:pPr>
        <w:spacing w:line="400" w:lineRule="exact"/>
        <w:ind w:firstLine="420" w:firstLineChars="200"/>
        <w:rPr>
          <w:highlight w:val="none"/>
        </w:rPr>
      </w:pPr>
      <w:r>
        <w:rPr>
          <w:rFonts w:hint="eastAsia"/>
          <w:highlight w:val="none"/>
        </w:rPr>
        <w:t>除专用合同条款另有约定外，在履行合同中发生以下情形之一，应按照本条规定进行变更。</w:t>
      </w:r>
    </w:p>
    <w:p>
      <w:pPr>
        <w:spacing w:line="400" w:lineRule="exact"/>
        <w:ind w:firstLine="359" w:firstLineChars="171"/>
        <w:rPr>
          <w:highlight w:val="none"/>
        </w:rPr>
      </w:pPr>
      <w:r>
        <w:rPr>
          <w:rFonts w:hint="eastAsia"/>
          <w:highlight w:val="none"/>
        </w:rPr>
        <w:t>（1）取消合同中任何一项工作，但被取消的工作不能转由发包人或其他人实施；</w:t>
      </w:r>
    </w:p>
    <w:p>
      <w:pPr>
        <w:spacing w:line="400" w:lineRule="exact"/>
        <w:ind w:firstLine="359" w:firstLineChars="171"/>
        <w:rPr>
          <w:highlight w:val="none"/>
        </w:rPr>
      </w:pPr>
      <w:r>
        <w:rPr>
          <w:rFonts w:hint="eastAsia"/>
          <w:highlight w:val="none"/>
        </w:rPr>
        <w:t>（2）改变合同中任何一项工作的质量或其他特性；</w:t>
      </w:r>
    </w:p>
    <w:p>
      <w:pPr>
        <w:spacing w:line="400" w:lineRule="exact"/>
        <w:ind w:firstLine="359" w:firstLineChars="171"/>
        <w:rPr>
          <w:highlight w:val="none"/>
        </w:rPr>
      </w:pPr>
      <w:r>
        <w:rPr>
          <w:rFonts w:hint="eastAsia"/>
          <w:highlight w:val="none"/>
        </w:rPr>
        <w:t>（3）改变合同工程的基线、标高、位置或尺寸；</w:t>
      </w:r>
    </w:p>
    <w:p>
      <w:pPr>
        <w:spacing w:line="400" w:lineRule="exact"/>
        <w:ind w:firstLine="359" w:firstLineChars="171"/>
        <w:rPr>
          <w:highlight w:val="none"/>
        </w:rPr>
      </w:pPr>
      <w:r>
        <w:rPr>
          <w:rFonts w:hint="eastAsia"/>
          <w:highlight w:val="none"/>
        </w:rPr>
        <w:t>（4）改变合同中任何一项工作的施工时间或改变已批准的施工工艺或顺序；</w:t>
      </w:r>
    </w:p>
    <w:p>
      <w:pPr>
        <w:spacing w:line="400" w:lineRule="exact"/>
        <w:ind w:firstLine="359" w:firstLineChars="171"/>
        <w:rPr>
          <w:highlight w:val="none"/>
        </w:rPr>
      </w:pPr>
      <w:r>
        <w:rPr>
          <w:rFonts w:hint="eastAsia"/>
          <w:highlight w:val="none"/>
        </w:rPr>
        <w:t>（5）为完成工程需要追加的额外工作。</w:t>
      </w:r>
    </w:p>
    <w:p>
      <w:pPr>
        <w:pStyle w:val="199"/>
        <w:outlineLvl w:val="0"/>
        <w:rPr>
          <w:highlight w:val="none"/>
        </w:rPr>
      </w:pPr>
      <w:bookmarkStart w:id="933" w:name="_Toc434331274"/>
      <w:bookmarkStart w:id="934" w:name="_Toc179632726"/>
      <w:bookmarkStart w:id="935" w:name="_Toc152042486"/>
      <w:bookmarkStart w:id="936" w:name="_Toc10440"/>
      <w:bookmarkStart w:id="937" w:name="_Toc338944801"/>
      <w:bookmarkStart w:id="938" w:name="_Toc152045708"/>
      <w:bookmarkStart w:id="939" w:name="_Toc342296359"/>
      <w:bookmarkStart w:id="940" w:name="_Toc144974677"/>
      <w:r>
        <w:rPr>
          <w:rFonts w:hint="eastAsia"/>
          <w:highlight w:val="none"/>
        </w:rPr>
        <w:t>15.2 变更权</w:t>
      </w:r>
      <w:bookmarkEnd w:id="933"/>
      <w:bookmarkEnd w:id="934"/>
      <w:bookmarkEnd w:id="935"/>
      <w:bookmarkEnd w:id="936"/>
      <w:bookmarkEnd w:id="937"/>
      <w:bookmarkEnd w:id="938"/>
      <w:bookmarkEnd w:id="939"/>
      <w:bookmarkEnd w:id="940"/>
    </w:p>
    <w:p>
      <w:pPr>
        <w:spacing w:line="400" w:lineRule="exact"/>
        <w:ind w:firstLine="420" w:firstLineChars="200"/>
        <w:rPr>
          <w:highlight w:val="none"/>
        </w:rPr>
      </w:pPr>
      <w:r>
        <w:rPr>
          <w:rFonts w:hint="eastAsia"/>
          <w:highlight w:val="none"/>
        </w:rPr>
        <w:t>在履行合同过程中，经发包人同意，监理人可按第15.3款约定的变更程序向承包人作出变更指示，承包人应遵照执行。没有监理人的变更指示，承包人不得擅自变更。</w:t>
      </w:r>
    </w:p>
    <w:p>
      <w:pPr>
        <w:pStyle w:val="199"/>
        <w:outlineLvl w:val="0"/>
        <w:rPr>
          <w:highlight w:val="none"/>
        </w:rPr>
      </w:pPr>
      <w:bookmarkStart w:id="941" w:name="_Toc29381"/>
      <w:bookmarkStart w:id="942" w:name="_Toc434331275"/>
      <w:bookmarkStart w:id="943" w:name="_Toc342296360"/>
      <w:bookmarkStart w:id="944" w:name="_Toc338944802"/>
      <w:r>
        <w:rPr>
          <w:rFonts w:hint="eastAsia"/>
          <w:highlight w:val="none"/>
        </w:rPr>
        <w:t>15.3 变更程序</w:t>
      </w:r>
      <w:bookmarkEnd w:id="941"/>
      <w:bookmarkEnd w:id="942"/>
      <w:bookmarkEnd w:id="943"/>
      <w:bookmarkEnd w:id="944"/>
    </w:p>
    <w:p>
      <w:pPr>
        <w:spacing w:line="400" w:lineRule="exact"/>
        <w:ind w:firstLine="420" w:firstLineChars="200"/>
        <w:rPr>
          <w:highlight w:val="none"/>
        </w:rPr>
      </w:pPr>
      <w:r>
        <w:rPr>
          <w:rFonts w:hint="eastAsia"/>
          <w:highlight w:val="none"/>
        </w:rPr>
        <w:t xml:space="preserve">15.3.1 </w:t>
      </w:r>
      <w:r>
        <w:rPr>
          <w:rFonts w:hint="eastAsia" w:ascii="黑体" w:eastAsia="黑体"/>
          <w:highlight w:val="none"/>
        </w:rPr>
        <w:t>变更的提出</w:t>
      </w:r>
    </w:p>
    <w:p>
      <w:pPr>
        <w:spacing w:line="400" w:lineRule="exact"/>
        <w:ind w:firstLine="420" w:firstLineChars="200"/>
        <w:rPr>
          <w:highlight w:val="none"/>
        </w:rPr>
      </w:pPr>
      <w:r>
        <w:rPr>
          <w:rFonts w:hint="eastAsia"/>
          <w:highlight w:val="none"/>
        </w:rPr>
        <w:t xml:space="preserve">（1）在合同履行过程中，可能发生第15.1款约定情形的，监理人可向承包人发出变更意向书。变更意向书应说明变更的具体内容和发包人对变更的时间要求，并附必要的图纸和相关资料。变更意向书应要求承包人提交包括拟实施变更工作的计划、措施和竣工时间等内容的实施方案。发包人同意承包人根据变更意向书要求提交的变更实施方案的，由监理人按第15.3.3项约定发出变更指示。 </w:t>
      </w:r>
    </w:p>
    <w:p>
      <w:pPr>
        <w:spacing w:line="400" w:lineRule="exact"/>
        <w:ind w:firstLine="420" w:firstLineChars="200"/>
        <w:rPr>
          <w:highlight w:val="none"/>
        </w:rPr>
      </w:pPr>
      <w:r>
        <w:rPr>
          <w:rFonts w:hint="eastAsia"/>
          <w:highlight w:val="none"/>
        </w:rPr>
        <w:t>（2）在合同履行过程中，发生第15.1款约定情形的，监理人应按照第15.3.3项约定向承包人发出变更指示。</w:t>
      </w:r>
    </w:p>
    <w:p>
      <w:pPr>
        <w:spacing w:line="400" w:lineRule="exact"/>
        <w:ind w:firstLine="420" w:firstLineChars="200"/>
        <w:rPr>
          <w:highlight w:val="none"/>
        </w:rPr>
      </w:pPr>
      <w:r>
        <w:rPr>
          <w:rFonts w:hint="eastAsia"/>
          <w:highlight w:val="none"/>
        </w:rPr>
        <w:t>（3）承包人收到监理人按合同约定发出的图纸和文件，经检查认为其中存在第15.1款约定情形的，可向监理人提出书面变更建议。变更建议应阐明要求变更的依据，并附必要的图纸和说明。监理人收到承包人书面建议后，应与发包人共同研究，确认存在变更的，应在收到承包人书面建议后的14天内作出变更指示。经研究后不同意作为变更的，应由监理人书面答复承包人。</w:t>
      </w:r>
    </w:p>
    <w:p>
      <w:pPr>
        <w:spacing w:line="400" w:lineRule="exact"/>
        <w:ind w:firstLine="420" w:firstLineChars="200"/>
        <w:rPr>
          <w:highlight w:val="none"/>
        </w:rPr>
      </w:pPr>
      <w:r>
        <w:rPr>
          <w:rFonts w:hint="eastAsia"/>
          <w:highlight w:val="none"/>
        </w:rPr>
        <w:t>（4）若承包人收到监理人的变更意向书后认为难以实施此项变更，应立即通知监理人，说明原因并附详细依据。监理人与承包人和发包人协商后确定撤销、改变或不改变原变更意向书。</w:t>
      </w:r>
    </w:p>
    <w:p>
      <w:pPr>
        <w:spacing w:line="400" w:lineRule="exact"/>
        <w:ind w:firstLine="420" w:firstLineChars="200"/>
        <w:rPr>
          <w:highlight w:val="none"/>
        </w:rPr>
      </w:pPr>
      <w:r>
        <w:rPr>
          <w:rFonts w:hint="eastAsia"/>
          <w:highlight w:val="none"/>
        </w:rPr>
        <w:t xml:space="preserve">15.3.2 </w:t>
      </w:r>
      <w:r>
        <w:rPr>
          <w:rFonts w:hint="eastAsia" w:ascii="黑体" w:eastAsia="黑体"/>
          <w:highlight w:val="none"/>
        </w:rPr>
        <w:t>变更估价</w:t>
      </w:r>
    </w:p>
    <w:p>
      <w:pPr>
        <w:spacing w:line="400" w:lineRule="exact"/>
        <w:ind w:firstLine="420" w:firstLineChars="200"/>
        <w:rPr>
          <w:highlight w:val="none"/>
        </w:rPr>
      </w:pPr>
      <w:r>
        <w:rPr>
          <w:rFonts w:hint="eastAsia"/>
          <w:highlight w:val="none"/>
        </w:rPr>
        <w:t>（1）除专用合同条款对期限另有约定外，承包人应在收到变更指示或变更意向书后的14天内，向监理人提交变更报价书，报价内容应根据第15.4款约定的估价原则，详细开列变更工作的价格组成及其依据，并附必要的施工方法说明和有关图纸。</w:t>
      </w:r>
    </w:p>
    <w:p>
      <w:pPr>
        <w:spacing w:line="400" w:lineRule="exact"/>
        <w:ind w:firstLine="420" w:firstLineChars="200"/>
        <w:rPr>
          <w:highlight w:val="none"/>
        </w:rPr>
      </w:pPr>
      <w:r>
        <w:rPr>
          <w:rFonts w:hint="eastAsia"/>
          <w:highlight w:val="none"/>
        </w:rPr>
        <w:t>（2）变更工作影响工期的，承包人应提出调整工期的具体细节。监理人认为有必要时，可要求承包人提交要求提前或延长工期的施工进度计划及相应施工措施等详细资料。</w:t>
      </w:r>
    </w:p>
    <w:p>
      <w:pPr>
        <w:spacing w:line="400" w:lineRule="exact"/>
        <w:ind w:firstLine="420" w:firstLineChars="200"/>
        <w:rPr>
          <w:highlight w:val="none"/>
        </w:rPr>
      </w:pPr>
      <w:r>
        <w:rPr>
          <w:rFonts w:hint="eastAsia"/>
          <w:highlight w:val="none"/>
        </w:rPr>
        <w:t>（3）除专用合同条款对期限另有约定外，监理人收到承包人变更报价书后的14天内，根据第15.4款约定的估价原则，按照第3.5款商定或确定变更价格。</w:t>
      </w:r>
    </w:p>
    <w:p>
      <w:pPr>
        <w:spacing w:line="400" w:lineRule="exact"/>
        <w:ind w:firstLine="420" w:firstLineChars="200"/>
        <w:rPr>
          <w:highlight w:val="none"/>
        </w:rPr>
      </w:pPr>
      <w:r>
        <w:rPr>
          <w:rFonts w:hint="eastAsia"/>
          <w:highlight w:val="none"/>
        </w:rPr>
        <w:t xml:space="preserve">15.3.3 </w:t>
      </w:r>
      <w:r>
        <w:rPr>
          <w:rFonts w:hint="eastAsia" w:ascii="黑体" w:eastAsia="黑体"/>
          <w:highlight w:val="none"/>
        </w:rPr>
        <w:t>变更指示</w:t>
      </w:r>
    </w:p>
    <w:p>
      <w:pPr>
        <w:spacing w:line="400" w:lineRule="exact"/>
        <w:ind w:firstLine="420" w:firstLineChars="200"/>
        <w:rPr>
          <w:highlight w:val="none"/>
        </w:rPr>
      </w:pPr>
      <w:r>
        <w:rPr>
          <w:rFonts w:hint="eastAsia"/>
          <w:highlight w:val="none"/>
        </w:rPr>
        <w:t>（1）变更指示只能由监理人发出。</w:t>
      </w:r>
    </w:p>
    <w:p>
      <w:pPr>
        <w:spacing w:line="400" w:lineRule="exact"/>
        <w:ind w:firstLine="420" w:firstLineChars="200"/>
        <w:rPr>
          <w:highlight w:val="none"/>
        </w:rPr>
      </w:pPr>
      <w:r>
        <w:rPr>
          <w:rFonts w:hint="eastAsia"/>
          <w:highlight w:val="none"/>
        </w:rPr>
        <w:t>（2）变更指示应说明变更的目的、范围、变更内容以及变更的工程量及其进度和技术要求，并附有关图纸和文件。承包人收到变更指示后，应按变更指示进行变更工作。</w:t>
      </w:r>
    </w:p>
    <w:p>
      <w:pPr>
        <w:pStyle w:val="199"/>
        <w:outlineLvl w:val="0"/>
        <w:rPr>
          <w:highlight w:val="none"/>
        </w:rPr>
      </w:pPr>
      <w:bookmarkStart w:id="945" w:name="_Toc5025"/>
      <w:bookmarkStart w:id="946" w:name="_Toc338944803"/>
      <w:bookmarkStart w:id="947" w:name="_Toc434331276"/>
      <w:bookmarkStart w:id="948" w:name="_Toc342296361"/>
      <w:r>
        <w:rPr>
          <w:rFonts w:hint="eastAsia"/>
          <w:highlight w:val="none"/>
        </w:rPr>
        <w:t>15.4 变更的估价原则</w:t>
      </w:r>
      <w:bookmarkEnd w:id="945"/>
      <w:bookmarkEnd w:id="946"/>
      <w:bookmarkEnd w:id="947"/>
      <w:bookmarkEnd w:id="948"/>
    </w:p>
    <w:p>
      <w:pPr>
        <w:spacing w:line="400" w:lineRule="exact"/>
        <w:ind w:firstLine="420" w:firstLineChars="200"/>
        <w:rPr>
          <w:highlight w:val="none"/>
        </w:rPr>
      </w:pPr>
      <w:r>
        <w:rPr>
          <w:rFonts w:hint="eastAsia"/>
          <w:highlight w:val="none"/>
        </w:rPr>
        <w:t>除专用合同条款另有约定外，因变更引起的价格调整按照本款约定处理。</w:t>
      </w:r>
    </w:p>
    <w:p>
      <w:pPr>
        <w:spacing w:line="400" w:lineRule="exact"/>
        <w:ind w:firstLine="420" w:firstLineChars="200"/>
        <w:rPr>
          <w:highlight w:val="none"/>
        </w:rPr>
      </w:pPr>
      <w:r>
        <w:rPr>
          <w:rFonts w:hint="eastAsia"/>
          <w:highlight w:val="none"/>
        </w:rPr>
        <w:t>15.4.1 已标价工程量清单中有适用于变更工作的子目的，采用该子目的单价。</w:t>
      </w:r>
    </w:p>
    <w:p>
      <w:pPr>
        <w:spacing w:line="400" w:lineRule="exact"/>
        <w:ind w:firstLine="420" w:firstLineChars="200"/>
        <w:rPr>
          <w:highlight w:val="none"/>
        </w:rPr>
      </w:pPr>
      <w:r>
        <w:rPr>
          <w:rFonts w:hint="eastAsia"/>
          <w:highlight w:val="none"/>
        </w:rPr>
        <w:t>15.4.2 已标价工程量清单中无适用于变更工作的子目，但有类似子目的，可在合理范围内参照类似子目的单价，由监理人按第3.5款商定或确定变更工作的单价。</w:t>
      </w:r>
    </w:p>
    <w:p>
      <w:pPr>
        <w:spacing w:line="400" w:lineRule="exact"/>
        <w:ind w:firstLine="420" w:firstLineChars="200"/>
        <w:rPr>
          <w:highlight w:val="none"/>
        </w:rPr>
      </w:pPr>
      <w:r>
        <w:rPr>
          <w:rFonts w:hint="eastAsia"/>
          <w:highlight w:val="none"/>
        </w:rPr>
        <w:t>15.4.3 已标价工程量清单中无适用或类似子目的单价，可按照成本加利润的原则，由监理人按第3.5款商定或确定变更工作的单价。</w:t>
      </w:r>
    </w:p>
    <w:p>
      <w:pPr>
        <w:pStyle w:val="199"/>
        <w:outlineLvl w:val="0"/>
        <w:rPr>
          <w:highlight w:val="none"/>
        </w:rPr>
      </w:pPr>
      <w:bookmarkStart w:id="949" w:name="_Toc434331277"/>
      <w:bookmarkStart w:id="950" w:name="_Toc338944804"/>
      <w:bookmarkStart w:id="951" w:name="_Toc19905"/>
      <w:bookmarkStart w:id="952" w:name="_Toc342296362"/>
      <w:r>
        <w:rPr>
          <w:rFonts w:hint="eastAsia"/>
          <w:highlight w:val="none"/>
        </w:rPr>
        <w:t>15.5 承包人的合理化建议</w:t>
      </w:r>
      <w:bookmarkEnd w:id="949"/>
      <w:bookmarkEnd w:id="950"/>
      <w:bookmarkEnd w:id="951"/>
      <w:bookmarkEnd w:id="952"/>
    </w:p>
    <w:p>
      <w:pPr>
        <w:spacing w:line="400" w:lineRule="exact"/>
        <w:ind w:firstLine="420" w:firstLineChars="200"/>
        <w:rPr>
          <w:highlight w:val="none"/>
        </w:rPr>
      </w:pPr>
      <w:r>
        <w:rPr>
          <w:rFonts w:hint="eastAsia"/>
          <w:highlight w:val="none"/>
        </w:rPr>
        <w:t>15.5.1 在履行合同过程中，承包人对发包人提供的图纸、技术要求以及其他方面提出的合理化建议，均应以书面形式提交监理人。合理化建议书的内容应包括建议工作的详细说明、进度计划和效益以及与其他工作的协调等，并附必要的设计文件。监理人应与发包人协商是否采纳建议。建议被采纳并构成变更的，应按第15.3.3项约定向承包人发出变更指示。</w:t>
      </w:r>
    </w:p>
    <w:p>
      <w:pPr>
        <w:spacing w:line="400" w:lineRule="exact"/>
        <w:ind w:firstLine="420" w:firstLineChars="200"/>
        <w:rPr>
          <w:highlight w:val="none"/>
        </w:rPr>
      </w:pPr>
      <w:r>
        <w:rPr>
          <w:rFonts w:hint="eastAsia"/>
          <w:highlight w:val="none"/>
        </w:rPr>
        <w:t>15.5.2 承包人提出的合理化建议降低了合同价格、缩短了工期或者提高了工程经济效益的，发包人可按国家有关规定在专用合同条款中约定给予奖励。</w:t>
      </w:r>
    </w:p>
    <w:p>
      <w:pPr>
        <w:pStyle w:val="199"/>
        <w:outlineLvl w:val="0"/>
        <w:rPr>
          <w:highlight w:val="none"/>
        </w:rPr>
      </w:pPr>
      <w:bookmarkStart w:id="953" w:name="_Toc342296363"/>
      <w:bookmarkStart w:id="954" w:name="_Toc179632730"/>
      <w:bookmarkStart w:id="955" w:name="_Toc152042490"/>
      <w:bookmarkStart w:id="956" w:name="_Toc434331278"/>
      <w:bookmarkStart w:id="957" w:name="_Toc15802"/>
      <w:bookmarkStart w:id="958" w:name="_Toc144974681"/>
      <w:bookmarkStart w:id="959" w:name="_Toc338944805"/>
      <w:bookmarkStart w:id="960" w:name="_Toc152045712"/>
      <w:r>
        <w:rPr>
          <w:rFonts w:hint="eastAsia"/>
          <w:highlight w:val="none"/>
        </w:rPr>
        <w:t>15.6 暂列金额</w:t>
      </w:r>
      <w:bookmarkEnd w:id="953"/>
      <w:bookmarkEnd w:id="954"/>
      <w:bookmarkEnd w:id="955"/>
      <w:bookmarkEnd w:id="956"/>
      <w:bookmarkEnd w:id="957"/>
      <w:bookmarkEnd w:id="958"/>
      <w:bookmarkEnd w:id="959"/>
      <w:bookmarkEnd w:id="960"/>
    </w:p>
    <w:p>
      <w:pPr>
        <w:spacing w:line="400" w:lineRule="exact"/>
        <w:ind w:firstLine="420" w:firstLineChars="200"/>
        <w:rPr>
          <w:highlight w:val="none"/>
        </w:rPr>
      </w:pPr>
      <w:r>
        <w:rPr>
          <w:rFonts w:hint="eastAsia"/>
          <w:highlight w:val="none"/>
        </w:rPr>
        <w:t>暂列金额只能按照监理人的指示使用，并对合同价格进行相应调整。</w:t>
      </w:r>
    </w:p>
    <w:p>
      <w:pPr>
        <w:pStyle w:val="199"/>
        <w:outlineLvl w:val="0"/>
        <w:rPr>
          <w:highlight w:val="none"/>
        </w:rPr>
      </w:pPr>
      <w:bookmarkStart w:id="961" w:name="_Toc152045713"/>
      <w:bookmarkStart w:id="962" w:name="_Toc30069"/>
      <w:bookmarkStart w:id="963" w:name="_Toc152042491"/>
      <w:bookmarkStart w:id="964" w:name="_Toc338944806"/>
      <w:bookmarkStart w:id="965" w:name="_Toc179632731"/>
      <w:bookmarkStart w:id="966" w:name="_Toc434331279"/>
      <w:bookmarkStart w:id="967" w:name="_Toc342296364"/>
      <w:bookmarkStart w:id="968" w:name="_Toc144974682"/>
      <w:r>
        <w:rPr>
          <w:rFonts w:hint="eastAsia"/>
          <w:highlight w:val="none"/>
        </w:rPr>
        <w:t>15.7 计日工</w:t>
      </w:r>
      <w:bookmarkEnd w:id="961"/>
      <w:bookmarkEnd w:id="962"/>
      <w:bookmarkEnd w:id="963"/>
      <w:bookmarkEnd w:id="964"/>
      <w:bookmarkEnd w:id="965"/>
      <w:bookmarkEnd w:id="966"/>
      <w:bookmarkEnd w:id="967"/>
      <w:bookmarkEnd w:id="968"/>
    </w:p>
    <w:p>
      <w:pPr>
        <w:spacing w:line="400" w:lineRule="exact"/>
        <w:ind w:firstLine="420" w:firstLineChars="200"/>
        <w:rPr>
          <w:highlight w:val="none"/>
          <w:shd w:val="pct10" w:color="auto" w:fill="FFFFFF"/>
        </w:rPr>
      </w:pPr>
      <w:r>
        <w:rPr>
          <w:rFonts w:hint="eastAsia"/>
          <w:highlight w:val="none"/>
        </w:rPr>
        <w:t>15.7.1 发包人认为有必要时，</w:t>
      </w:r>
      <w:r>
        <w:rPr>
          <w:rFonts w:hint="eastAsia"/>
          <w:szCs w:val="21"/>
          <w:highlight w:val="none"/>
        </w:rPr>
        <w:t>由</w:t>
      </w:r>
      <w:r>
        <w:rPr>
          <w:rFonts w:hint="eastAsia"/>
          <w:highlight w:val="none"/>
        </w:rPr>
        <w:t>监理人通知承包人以计日工方式实施变更的零星工作。其价款按列入已标价工程量清单中的计日工计价子目及其单价进行计算。</w:t>
      </w:r>
    </w:p>
    <w:p>
      <w:pPr>
        <w:spacing w:line="400" w:lineRule="exact"/>
        <w:ind w:firstLine="420" w:firstLineChars="200"/>
        <w:rPr>
          <w:highlight w:val="none"/>
        </w:rPr>
      </w:pPr>
      <w:r>
        <w:rPr>
          <w:rFonts w:hint="eastAsia"/>
          <w:highlight w:val="none"/>
        </w:rPr>
        <w:t>15.7.2 采用计日工计价的任何一项变更工作，应从暂列金额中支付，承包人应在该项变更的实施过程中，每天提交以下报表和有关凭证报送监理人审批：</w:t>
      </w:r>
    </w:p>
    <w:p>
      <w:pPr>
        <w:spacing w:line="400" w:lineRule="exact"/>
        <w:ind w:firstLine="718" w:firstLineChars="342"/>
        <w:rPr>
          <w:highlight w:val="none"/>
        </w:rPr>
      </w:pPr>
      <w:r>
        <w:rPr>
          <w:rFonts w:hint="eastAsia"/>
          <w:highlight w:val="none"/>
        </w:rPr>
        <w:t>（1）工作名称、内容和数量；</w:t>
      </w:r>
    </w:p>
    <w:p>
      <w:pPr>
        <w:spacing w:line="400" w:lineRule="exact"/>
        <w:ind w:firstLine="718" w:firstLineChars="342"/>
        <w:rPr>
          <w:highlight w:val="none"/>
        </w:rPr>
      </w:pPr>
      <w:r>
        <w:rPr>
          <w:rFonts w:hint="eastAsia"/>
          <w:highlight w:val="none"/>
        </w:rPr>
        <w:t>（2）投入该工作所有人员的姓名、工种、级别和耗用工时；</w:t>
      </w:r>
    </w:p>
    <w:p>
      <w:pPr>
        <w:spacing w:line="400" w:lineRule="exact"/>
        <w:ind w:firstLine="718" w:firstLineChars="342"/>
        <w:rPr>
          <w:highlight w:val="none"/>
        </w:rPr>
      </w:pPr>
      <w:r>
        <w:rPr>
          <w:rFonts w:hint="eastAsia"/>
          <w:highlight w:val="none"/>
        </w:rPr>
        <w:t>（3）投入该工作的材料类别和数量；</w:t>
      </w:r>
    </w:p>
    <w:p>
      <w:pPr>
        <w:spacing w:line="400" w:lineRule="exact"/>
        <w:ind w:firstLine="718" w:firstLineChars="342"/>
        <w:rPr>
          <w:highlight w:val="none"/>
        </w:rPr>
      </w:pPr>
      <w:r>
        <w:rPr>
          <w:rFonts w:hint="eastAsia"/>
          <w:highlight w:val="none"/>
        </w:rPr>
        <w:t>（4）投入该工作的施工设备型号、台数和耗用台时；</w:t>
      </w:r>
    </w:p>
    <w:p>
      <w:pPr>
        <w:spacing w:line="400" w:lineRule="exact"/>
        <w:ind w:firstLine="718" w:firstLineChars="342"/>
        <w:rPr>
          <w:highlight w:val="none"/>
        </w:rPr>
      </w:pPr>
      <w:r>
        <w:rPr>
          <w:rFonts w:hint="eastAsia"/>
          <w:highlight w:val="none"/>
        </w:rPr>
        <w:t>（5）监理人要求提交的其他资料和凭证。</w:t>
      </w:r>
    </w:p>
    <w:p>
      <w:pPr>
        <w:spacing w:line="400" w:lineRule="exact"/>
        <w:ind w:firstLine="420" w:firstLineChars="200"/>
        <w:rPr>
          <w:highlight w:val="none"/>
        </w:rPr>
      </w:pPr>
      <w:r>
        <w:rPr>
          <w:rFonts w:hint="eastAsia"/>
          <w:highlight w:val="none"/>
        </w:rPr>
        <w:t>15.7.3 计日工由承包人汇总后，按第17.3.2项的约定列入进度付款申请单，由监理人复核并经发包人同意后列入进度付款。</w:t>
      </w:r>
    </w:p>
    <w:p>
      <w:pPr>
        <w:pStyle w:val="199"/>
        <w:outlineLvl w:val="0"/>
        <w:rPr>
          <w:highlight w:val="none"/>
        </w:rPr>
      </w:pPr>
      <w:bookmarkStart w:id="969" w:name="_Toc338944807"/>
      <w:bookmarkStart w:id="970" w:name="_Toc20292"/>
      <w:bookmarkStart w:id="971" w:name="_Toc342296365"/>
      <w:bookmarkStart w:id="972" w:name="_Toc434331280"/>
      <w:r>
        <w:rPr>
          <w:rFonts w:hint="eastAsia"/>
          <w:highlight w:val="none"/>
        </w:rPr>
        <w:t>15.8 暂估价</w:t>
      </w:r>
      <w:bookmarkEnd w:id="969"/>
      <w:bookmarkEnd w:id="970"/>
      <w:bookmarkEnd w:id="971"/>
      <w:bookmarkEnd w:id="972"/>
    </w:p>
    <w:p>
      <w:pPr>
        <w:spacing w:line="400" w:lineRule="exact"/>
        <w:rPr>
          <w:highlight w:val="none"/>
        </w:rPr>
      </w:pPr>
      <w:r>
        <w:rPr>
          <w:rFonts w:hint="eastAsia"/>
          <w:highlight w:val="none"/>
        </w:rPr>
        <w:t xml:space="preserve">    15.8.1 发包人在工程量清单中给定暂估价的材料、工程设备和专业工程属于依法必须招标的范围并达到规定的规模标准的，由发包人和承包人以招标的方式选择供应商或分包人。发包人和承包人的权利义务关系在专用合同条款中约定。中标金额与工程量清单中所列的暂估价的金额差以及相应的税金等其他费用列入合同价格。</w:t>
      </w:r>
    </w:p>
    <w:p>
      <w:pPr>
        <w:spacing w:line="400" w:lineRule="exact"/>
        <w:ind w:firstLine="420" w:firstLineChars="200"/>
        <w:rPr>
          <w:highlight w:val="none"/>
        </w:rPr>
      </w:pPr>
      <w:r>
        <w:rPr>
          <w:rFonts w:hint="eastAsia"/>
          <w:highlight w:val="none"/>
        </w:rPr>
        <w:t>15.8.2 发包人在工程量清单中给定暂估价的材料和工程设备不属于依法必须招标的范围或未达到规定的规模标准的，应由承包人按第5.1款的约定提供。经监理人确认的材料、工程设备的价格与工程量清单中所列的暂估价的金额差以及相应的税金等其他费用列入合同价格。</w:t>
      </w:r>
    </w:p>
    <w:p>
      <w:pPr>
        <w:spacing w:line="400" w:lineRule="exact"/>
        <w:ind w:firstLine="420" w:firstLineChars="200"/>
        <w:rPr>
          <w:highlight w:val="none"/>
        </w:rPr>
      </w:pPr>
      <w:r>
        <w:rPr>
          <w:rFonts w:hint="eastAsia"/>
          <w:highlight w:val="none"/>
        </w:rPr>
        <w:t>15.8.3 发包人在工程量清单中给定暂估价的专业工程不属于依法必须招标的范围或未达到规定的规模标准的，由监理人按照第15.4款进行估价，但专用合同条款另有约定的除外。经估价的专业工程与工程量清单中所列的暂估价的金额差以及相应的税金等其他费用列入合同价格。</w:t>
      </w:r>
    </w:p>
    <w:p>
      <w:pPr>
        <w:pStyle w:val="282"/>
        <w:spacing w:before="0"/>
        <w:outlineLvl w:val="0"/>
        <w:rPr>
          <w:highlight w:val="none"/>
        </w:rPr>
      </w:pPr>
      <w:bookmarkStart w:id="973" w:name="_Toc14084"/>
      <w:bookmarkStart w:id="974" w:name="_Toc338944808"/>
      <w:bookmarkStart w:id="975" w:name="_Toc342296366"/>
      <w:bookmarkStart w:id="976" w:name="_Toc434331281"/>
      <w:r>
        <w:rPr>
          <w:rFonts w:hint="eastAsia"/>
          <w:highlight w:val="none"/>
        </w:rPr>
        <w:t>16. 价格调整</w:t>
      </w:r>
      <w:bookmarkEnd w:id="973"/>
      <w:bookmarkEnd w:id="974"/>
      <w:bookmarkEnd w:id="975"/>
      <w:bookmarkEnd w:id="976"/>
    </w:p>
    <w:p>
      <w:pPr>
        <w:pStyle w:val="199"/>
        <w:outlineLvl w:val="0"/>
        <w:rPr>
          <w:highlight w:val="none"/>
        </w:rPr>
      </w:pPr>
      <w:bookmarkStart w:id="977" w:name="_Toc434331282"/>
      <w:bookmarkStart w:id="978" w:name="_Toc30632"/>
      <w:bookmarkStart w:id="979" w:name="_Toc338944809"/>
      <w:bookmarkStart w:id="980" w:name="_Toc342296367"/>
      <w:r>
        <w:rPr>
          <w:rFonts w:hint="eastAsia"/>
          <w:highlight w:val="none"/>
        </w:rPr>
        <w:t>16.1 物价波动引起的价格调整</w:t>
      </w:r>
      <w:bookmarkEnd w:id="977"/>
      <w:bookmarkEnd w:id="978"/>
      <w:bookmarkEnd w:id="979"/>
      <w:bookmarkEnd w:id="980"/>
    </w:p>
    <w:p>
      <w:pPr>
        <w:spacing w:line="400" w:lineRule="exact"/>
        <w:ind w:firstLine="420" w:firstLineChars="200"/>
        <w:rPr>
          <w:highlight w:val="none"/>
        </w:rPr>
      </w:pPr>
      <w:r>
        <w:rPr>
          <w:rFonts w:hint="eastAsia"/>
          <w:highlight w:val="none"/>
        </w:rPr>
        <w:t>除专用合同条款另有约定外，因物价波动引起的价格调整按照本款约定处理。</w:t>
      </w:r>
    </w:p>
    <w:p>
      <w:pPr>
        <w:spacing w:line="400" w:lineRule="exact"/>
        <w:ind w:firstLine="420" w:firstLineChars="200"/>
        <w:rPr>
          <w:highlight w:val="none"/>
        </w:rPr>
      </w:pPr>
      <w:r>
        <w:rPr>
          <w:rFonts w:hint="eastAsia"/>
          <w:highlight w:val="none"/>
        </w:rPr>
        <w:t xml:space="preserve">16.1.1 </w:t>
      </w:r>
      <w:r>
        <w:rPr>
          <w:rFonts w:hint="eastAsia" w:ascii="黑体" w:eastAsia="黑体"/>
          <w:highlight w:val="none"/>
        </w:rPr>
        <w:t>采用价格指数调整价格差额</w:t>
      </w:r>
    </w:p>
    <w:p>
      <w:pPr>
        <w:rPr>
          <w:highlight w:val="none"/>
        </w:rPr>
      </w:pPr>
      <w:r>
        <w:rPr>
          <w:rFonts w:hint="eastAsia"/>
          <w:highlight w:val="none"/>
        </w:rPr>
        <w:t xml:space="preserve">        16.1.1.1 价格调整公式</w:t>
      </w:r>
    </w:p>
    <w:p>
      <w:pPr>
        <w:spacing w:line="400" w:lineRule="exact"/>
        <w:ind w:firstLine="420" w:firstLineChars="200"/>
        <w:rPr>
          <w:highlight w:val="none"/>
        </w:rPr>
      </w:pPr>
      <w:r>
        <w:rPr>
          <w:rFonts w:hint="eastAsia"/>
          <w:highlight w:val="none"/>
        </w:rPr>
        <w:t>因人工、材料和设备等价格波动影响合同价格时，根据投标函附录中的价格指数和权重表约定的数据，按以下公式计算差额并调整合同价格。</w:t>
      </w:r>
    </w:p>
    <w:p>
      <w:pPr>
        <w:autoSpaceDE w:val="0"/>
        <w:autoSpaceDN w:val="0"/>
        <w:adjustRightInd w:val="0"/>
        <w:spacing w:line="1200" w:lineRule="exact"/>
        <w:ind w:right="248" w:firstLine="759" w:firstLineChars="398"/>
        <w:rPr>
          <w:highlight w:val="none"/>
        </w:rPr>
      </w:pPr>
      <w:r>
        <w:rPr>
          <w:rFonts w:hint="eastAsia"/>
          <w:b/>
          <w:bCs/>
          <w:kern w:val="0"/>
          <w:sz w:val="19"/>
          <w:szCs w:val="19"/>
          <w:highlight w:val="none"/>
          <w:lang w:val="zh-CN"/>
        </w:rPr>
        <w:t xml:space="preserve">        </w:t>
      </w:r>
      <w:r>
        <w:rPr>
          <w:position w:val="-34"/>
          <w:highlight w:val="none"/>
        </w:rPr>
        <w:object>
          <v:shape id="_x0000_i1025" o:spt="75" type="#_x0000_t75" style="height:40.1pt;width:306.35pt;" o:ole="t" filled="f" o:preferrelative="t" stroked="f" coordsize="21600,21600">
            <v:path/>
            <v:fill on="f" focussize="0,0"/>
            <v:stroke on="f" joinstyle="miter"/>
            <v:imagedata r:id="rId15" o:title=""/>
            <o:lock v:ext="edit" aspectratio="t"/>
            <w10:wrap type="none"/>
            <w10:anchorlock/>
          </v:shape>
          <o:OLEObject Type="Embed" ProgID="Equation.3" ShapeID="_x0000_i1025" DrawAspect="Content" ObjectID="_1468075725" r:id="rId14">
            <o:LockedField>false</o:LockedField>
          </o:OLEObject>
        </w:object>
      </w:r>
    </w:p>
    <w:p>
      <w:pPr>
        <w:tabs>
          <w:tab w:val="left" w:pos="1260"/>
        </w:tabs>
        <w:spacing w:line="400" w:lineRule="exact"/>
        <w:ind w:firstLine="420" w:firstLineChars="200"/>
        <w:rPr>
          <w:highlight w:val="none"/>
        </w:rPr>
      </w:pPr>
      <w:r>
        <w:rPr>
          <w:rFonts w:hint="eastAsia"/>
          <w:highlight w:val="none"/>
        </w:rPr>
        <w:t xml:space="preserve"> </w:t>
      </w:r>
    </w:p>
    <w:p>
      <w:pPr>
        <w:tabs>
          <w:tab w:val="left" w:pos="1260"/>
        </w:tabs>
        <w:spacing w:line="400" w:lineRule="exact"/>
        <w:ind w:firstLine="420" w:firstLineChars="200"/>
        <w:rPr>
          <w:highlight w:val="none"/>
        </w:rPr>
      </w:pPr>
      <w:r>
        <w:rPr>
          <w:rFonts w:hint="eastAsia"/>
          <w:highlight w:val="none"/>
        </w:rPr>
        <w:t>式中： △P -- 需调整的价格差额；</w:t>
      </w:r>
    </w:p>
    <w:p>
      <w:pPr>
        <w:tabs>
          <w:tab w:val="left" w:pos="1260"/>
        </w:tabs>
        <w:spacing w:line="400" w:lineRule="exact"/>
        <w:rPr>
          <w:highlight w:val="none"/>
        </w:rPr>
      </w:pPr>
      <w:r>
        <w:rPr>
          <w:rFonts w:hint="eastAsia"/>
          <w:highlight w:val="none"/>
        </w:rPr>
        <w:tab/>
      </w:r>
      <w:r>
        <w:rPr>
          <w:rFonts w:hint="eastAsia"/>
          <w:highlight w:val="none"/>
        </w:rPr>
        <w:t>P</w:t>
      </w:r>
      <w:r>
        <w:rPr>
          <w:rFonts w:hint="eastAsia"/>
          <w:szCs w:val="21"/>
          <w:highlight w:val="none"/>
          <w:vertAlign w:val="subscript"/>
        </w:rPr>
        <w:t>0</w:t>
      </w:r>
      <w:r>
        <w:rPr>
          <w:rFonts w:hint="eastAsia"/>
          <w:highlight w:val="none"/>
        </w:rPr>
        <w:t xml:space="preserve"> -- 第17.3.3项、第17.5.2项和第17.6.2项约定的付款证书中承包人应得到的已完成工程量的金额。此项金额应不包括价格调整、不计质量保证金的扣留和支付、预付款的支付和扣回。第15条约定的变更及其他金额已按现行价格计价的，也不计在内；</w:t>
      </w:r>
    </w:p>
    <w:p>
      <w:pPr>
        <w:tabs>
          <w:tab w:val="left" w:pos="1260"/>
        </w:tabs>
        <w:spacing w:line="400" w:lineRule="exact"/>
        <w:rPr>
          <w:highlight w:val="none"/>
        </w:rPr>
      </w:pPr>
      <w:r>
        <w:rPr>
          <w:rFonts w:hint="eastAsia"/>
          <w:highlight w:val="none"/>
        </w:rPr>
        <w:tab/>
      </w:r>
      <w:bookmarkStart w:id="981" w:name="_Toc144974686"/>
      <w:bookmarkStart w:id="982" w:name="_Toc152042495"/>
      <w:r>
        <w:rPr>
          <w:rFonts w:hint="eastAsia"/>
          <w:highlight w:val="none"/>
        </w:rPr>
        <w:t>A -- 定值权重(即不调部分的权重)；</w:t>
      </w:r>
      <w:bookmarkEnd w:id="981"/>
      <w:bookmarkEnd w:id="982"/>
    </w:p>
    <w:p>
      <w:pPr>
        <w:tabs>
          <w:tab w:val="left" w:pos="1260"/>
        </w:tabs>
        <w:spacing w:line="400" w:lineRule="exact"/>
        <w:rPr>
          <w:highlight w:val="none"/>
        </w:rPr>
      </w:pPr>
      <w:r>
        <w:rPr>
          <w:rFonts w:hint="eastAsia"/>
          <w:highlight w:val="none"/>
        </w:rPr>
        <w:tab/>
      </w:r>
      <w:r>
        <w:rPr>
          <w:rFonts w:hint="eastAsia"/>
          <w:highlight w:val="none"/>
        </w:rPr>
        <w:t>B</w:t>
      </w:r>
      <w:r>
        <w:rPr>
          <w:rFonts w:hint="eastAsia"/>
          <w:szCs w:val="21"/>
          <w:highlight w:val="none"/>
          <w:vertAlign w:val="subscript"/>
        </w:rPr>
        <w:t>1</w:t>
      </w:r>
      <w:r>
        <w:rPr>
          <w:rFonts w:hint="eastAsia"/>
          <w:sz w:val="15"/>
          <w:szCs w:val="15"/>
          <w:highlight w:val="none"/>
        </w:rPr>
        <w:t>;</w:t>
      </w:r>
      <w:r>
        <w:rPr>
          <w:rFonts w:hint="eastAsia"/>
          <w:highlight w:val="none"/>
        </w:rPr>
        <w:t xml:space="preserve"> B</w:t>
      </w:r>
      <w:r>
        <w:rPr>
          <w:rFonts w:hint="eastAsia"/>
          <w:szCs w:val="21"/>
          <w:highlight w:val="none"/>
          <w:vertAlign w:val="subscript"/>
        </w:rPr>
        <w:t>2</w:t>
      </w:r>
      <w:r>
        <w:rPr>
          <w:rFonts w:hint="eastAsia"/>
          <w:highlight w:val="none"/>
        </w:rPr>
        <w:t xml:space="preserve"> ;B</w:t>
      </w:r>
      <w:r>
        <w:rPr>
          <w:rFonts w:hint="eastAsia"/>
          <w:szCs w:val="21"/>
          <w:highlight w:val="none"/>
          <w:vertAlign w:val="subscript"/>
        </w:rPr>
        <w:t>3</w:t>
      </w:r>
      <w:r>
        <w:rPr>
          <w:rFonts w:hint="eastAsia"/>
          <w:sz w:val="15"/>
          <w:szCs w:val="15"/>
          <w:highlight w:val="none"/>
        </w:rPr>
        <w:t>·····</w:t>
      </w:r>
      <w:r>
        <w:rPr>
          <w:rFonts w:hint="eastAsia"/>
          <w:highlight w:val="none"/>
        </w:rPr>
        <w:t>B</w:t>
      </w:r>
      <w:r>
        <w:rPr>
          <w:rFonts w:hint="eastAsia"/>
          <w:szCs w:val="21"/>
          <w:highlight w:val="none"/>
          <w:vertAlign w:val="subscript"/>
        </w:rPr>
        <w:t>n</w:t>
      </w:r>
      <w:r>
        <w:rPr>
          <w:rFonts w:hint="eastAsia"/>
          <w:highlight w:val="none"/>
        </w:rPr>
        <w:t xml:space="preserve"> -- 各可调因子的变值权重(即可调部分的权重)为各可调因子在投标函投标总报价中所占的比例；</w:t>
      </w:r>
    </w:p>
    <w:p>
      <w:pPr>
        <w:tabs>
          <w:tab w:val="left" w:pos="1260"/>
        </w:tabs>
        <w:spacing w:line="400" w:lineRule="exact"/>
        <w:rPr>
          <w:highlight w:val="none"/>
        </w:rPr>
      </w:pPr>
      <w:r>
        <w:rPr>
          <w:rFonts w:hint="eastAsia"/>
          <w:highlight w:val="none"/>
        </w:rPr>
        <w:tab/>
      </w:r>
      <w:r>
        <w:rPr>
          <w:rFonts w:hint="eastAsia"/>
          <w:highlight w:val="none"/>
        </w:rPr>
        <w:t>F</w:t>
      </w:r>
      <w:r>
        <w:rPr>
          <w:rFonts w:hint="eastAsia"/>
          <w:szCs w:val="21"/>
          <w:highlight w:val="none"/>
          <w:vertAlign w:val="subscript"/>
        </w:rPr>
        <w:t>t1</w:t>
      </w:r>
      <w:r>
        <w:rPr>
          <w:rFonts w:hint="eastAsia"/>
          <w:highlight w:val="none"/>
        </w:rPr>
        <w:t xml:space="preserve"> ;F</w:t>
      </w:r>
      <w:r>
        <w:rPr>
          <w:rFonts w:hint="eastAsia"/>
          <w:szCs w:val="21"/>
          <w:highlight w:val="none"/>
          <w:vertAlign w:val="subscript"/>
        </w:rPr>
        <w:t>t2</w:t>
      </w:r>
      <w:r>
        <w:rPr>
          <w:rFonts w:hint="eastAsia"/>
          <w:highlight w:val="none"/>
        </w:rPr>
        <w:t xml:space="preserve"> ;F</w:t>
      </w:r>
      <w:r>
        <w:rPr>
          <w:rFonts w:hint="eastAsia"/>
          <w:szCs w:val="21"/>
          <w:highlight w:val="none"/>
          <w:vertAlign w:val="subscript"/>
        </w:rPr>
        <w:t>t3</w:t>
      </w:r>
      <w:r>
        <w:rPr>
          <w:rFonts w:hint="eastAsia"/>
          <w:sz w:val="15"/>
          <w:szCs w:val="15"/>
          <w:highlight w:val="none"/>
        </w:rPr>
        <w:t>·····</w:t>
      </w:r>
      <w:r>
        <w:rPr>
          <w:rFonts w:hint="eastAsia"/>
          <w:highlight w:val="none"/>
        </w:rPr>
        <w:t>F</w:t>
      </w:r>
      <w:r>
        <w:rPr>
          <w:rFonts w:hint="eastAsia"/>
          <w:szCs w:val="21"/>
          <w:highlight w:val="none"/>
          <w:vertAlign w:val="subscript"/>
        </w:rPr>
        <w:t>tn</w:t>
      </w:r>
      <w:r>
        <w:rPr>
          <w:rFonts w:hint="eastAsia"/>
          <w:highlight w:val="none"/>
        </w:rPr>
        <w:t xml:space="preserve"> -- 各可调因子的现行价格指数，指第17.3.3项、第17.5.2项和第17.6.2项约定的付款证书相关周期最后一天的前42天的各可调因子的价格指数；</w:t>
      </w:r>
    </w:p>
    <w:p>
      <w:pPr>
        <w:tabs>
          <w:tab w:val="left" w:pos="1260"/>
        </w:tabs>
        <w:spacing w:line="400" w:lineRule="exact"/>
        <w:rPr>
          <w:highlight w:val="none"/>
        </w:rPr>
      </w:pPr>
      <w:r>
        <w:rPr>
          <w:rFonts w:hint="eastAsia"/>
          <w:highlight w:val="none"/>
        </w:rPr>
        <w:tab/>
      </w:r>
      <w:r>
        <w:rPr>
          <w:rFonts w:hint="eastAsia"/>
          <w:highlight w:val="none"/>
        </w:rPr>
        <w:t>F</w:t>
      </w:r>
      <w:r>
        <w:rPr>
          <w:rFonts w:hint="eastAsia"/>
          <w:szCs w:val="21"/>
          <w:highlight w:val="none"/>
          <w:vertAlign w:val="subscript"/>
        </w:rPr>
        <w:t>o1</w:t>
      </w:r>
      <w:r>
        <w:rPr>
          <w:rFonts w:hint="eastAsia"/>
          <w:highlight w:val="none"/>
        </w:rPr>
        <w:t>; F</w:t>
      </w:r>
      <w:r>
        <w:rPr>
          <w:rFonts w:hint="eastAsia"/>
          <w:szCs w:val="21"/>
          <w:highlight w:val="none"/>
          <w:vertAlign w:val="subscript"/>
        </w:rPr>
        <w:t>o2</w:t>
      </w:r>
      <w:r>
        <w:rPr>
          <w:rFonts w:hint="eastAsia"/>
          <w:sz w:val="15"/>
          <w:szCs w:val="15"/>
          <w:highlight w:val="none"/>
        </w:rPr>
        <w:t>;</w:t>
      </w:r>
      <w:r>
        <w:rPr>
          <w:rFonts w:hint="eastAsia"/>
          <w:highlight w:val="none"/>
        </w:rPr>
        <w:t xml:space="preserve"> F</w:t>
      </w:r>
      <w:r>
        <w:rPr>
          <w:rFonts w:hint="eastAsia"/>
          <w:szCs w:val="21"/>
          <w:highlight w:val="none"/>
          <w:vertAlign w:val="subscript"/>
        </w:rPr>
        <w:t>o3</w:t>
      </w:r>
      <w:r>
        <w:rPr>
          <w:rFonts w:hint="eastAsia"/>
          <w:sz w:val="15"/>
          <w:szCs w:val="15"/>
          <w:highlight w:val="none"/>
        </w:rPr>
        <w:t>·····</w:t>
      </w:r>
      <w:r>
        <w:rPr>
          <w:rFonts w:hint="eastAsia"/>
          <w:highlight w:val="none"/>
        </w:rPr>
        <w:t>F</w:t>
      </w:r>
      <w:r>
        <w:rPr>
          <w:rFonts w:hint="eastAsia"/>
          <w:szCs w:val="21"/>
          <w:highlight w:val="none"/>
          <w:vertAlign w:val="subscript"/>
        </w:rPr>
        <w:t>on</w:t>
      </w:r>
      <w:r>
        <w:rPr>
          <w:rFonts w:hint="eastAsia"/>
          <w:highlight w:val="none"/>
        </w:rPr>
        <w:t xml:space="preserve"> -- 各可调因子的基本价格指数，指基准日期的各可调因子的价格指数。</w:t>
      </w:r>
    </w:p>
    <w:p>
      <w:pPr>
        <w:spacing w:line="400" w:lineRule="exact"/>
        <w:ind w:firstLine="420" w:firstLineChars="200"/>
        <w:rPr>
          <w:highlight w:val="none"/>
        </w:rPr>
      </w:pPr>
      <w:r>
        <w:rPr>
          <w:rFonts w:hint="eastAsia"/>
          <w:highlight w:val="none"/>
        </w:rPr>
        <w:t>以上价格调整公式中的各可调因子、定值和变值权重，以及基本价格指数及其来源在投标函附录价格指数和权重表中约定。价格指数应首先采用有关部门提供的价格指数，缺乏上述价格指数时，可采用有关部门提供的价格代替。</w:t>
      </w:r>
    </w:p>
    <w:p>
      <w:pPr>
        <w:spacing w:line="400" w:lineRule="exact"/>
        <w:ind w:firstLine="420" w:firstLineChars="200"/>
        <w:outlineLvl w:val="0"/>
        <w:rPr>
          <w:highlight w:val="none"/>
        </w:rPr>
      </w:pPr>
      <w:bookmarkStart w:id="983" w:name="_Toc1987"/>
      <w:bookmarkStart w:id="984" w:name="_Toc434331283"/>
      <w:r>
        <w:rPr>
          <w:rFonts w:hint="eastAsia"/>
          <w:highlight w:val="none"/>
        </w:rPr>
        <w:t>16.1.1.2 暂时确定调整差额</w:t>
      </w:r>
      <w:bookmarkEnd w:id="983"/>
      <w:bookmarkEnd w:id="984"/>
    </w:p>
    <w:p>
      <w:pPr>
        <w:spacing w:line="400" w:lineRule="exact"/>
        <w:ind w:firstLine="420" w:firstLineChars="200"/>
        <w:rPr>
          <w:highlight w:val="none"/>
        </w:rPr>
      </w:pPr>
      <w:r>
        <w:rPr>
          <w:rFonts w:hint="eastAsia"/>
          <w:highlight w:val="none"/>
        </w:rPr>
        <w:t>在计算调整差额时得不到现行价格指数的，可暂用上一次价格指数计算，并在以后的付款中再按实际价格指数进行调整。</w:t>
      </w:r>
    </w:p>
    <w:p>
      <w:pPr>
        <w:outlineLvl w:val="0"/>
        <w:rPr>
          <w:highlight w:val="none"/>
        </w:rPr>
      </w:pPr>
      <w:r>
        <w:rPr>
          <w:rFonts w:hint="eastAsia"/>
          <w:highlight w:val="none"/>
        </w:rPr>
        <w:t xml:space="preserve">    </w:t>
      </w:r>
      <w:bookmarkStart w:id="985" w:name="_Toc434331284"/>
      <w:bookmarkStart w:id="986" w:name="_Toc29772"/>
      <w:r>
        <w:rPr>
          <w:rFonts w:hint="eastAsia"/>
          <w:highlight w:val="none"/>
        </w:rPr>
        <w:t>16.1.1.3 权重的调整</w:t>
      </w:r>
      <w:bookmarkEnd w:id="985"/>
      <w:bookmarkEnd w:id="986"/>
    </w:p>
    <w:p>
      <w:pPr>
        <w:spacing w:line="400" w:lineRule="exact"/>
        <w:ind w:firstLine="420" w:firstLineChars="200"/>
        <w:rPr>
          <w:highlight w:val="none"/>
        </w:rPr>
      </w:pPr>
      <w:r>
        <w:rPr>
          <w:rFonts w:hint="eastAsia"/>
          <w:highlight w:val="none"/>
        </w:rPr>
        <w:t>按第15.1款约定的变更导致原定合同中的权重不合理时，由监理人与承包人和发包人协商后进行调整。</w:t>
      </w:r>
    </w:p>
    <w:p>
      <w:pPr>
        <w:spacing w:line="400" w:lineRule="exact"/>
        <w:ind w:firstLine="420" w:firstLineChars="200"/>
        <w:outlineLvl w:val="0"/>
        <w:rPr>
          <w:highlight w:val="none"/>
        </w:rPr>
      </w:pPr>
      <w:bookmarkStart w:id="987" w:name="_Toc434331285"/>
      <w:bookmarkStart w:id="988" w:name="_Toc24409"/>
      <w:r>
        <w:rPr>
          <w:rFonts w:hint="eastAsia"/>
          <w:highlight w:val="none"/>
        </w:rPr>
        <w:t>16.1.1.4 承包人工期延误后的价格调整</w:t>
      </w:r>
      <w:bookmarkEnd w:id="987"/>
      <w:bookmarkEnd w:id="988"/>
    </w:p>
    <w:p>
      <w:pPr>
        <w:spacing w:line="400" w:lineRule="exact"/>
        <w:ind w:firstLine="420" w:firstLineChars="200"/>
        <w:rPr>
          <w:highlight w:val="none"/>
        </w:rPr>
      </w:pPr>
      <w:r>
        <w:rPr>
          <w:rFonts w:hint="eastAsia"/>
          <w:highlight w:val="none"/>
        </w:rPr>
        <w:t>由于承包人原因未在约定的工期内竣工的，则对原约定竣工日期后继续施工的工程，在使用第16.1.1.1目价格调整公式时，应采用原约定竣工日期与实际竣工日期的两个价格指数中较低的一个作为现行价格指数。</w:t>
      </w:r>
    </w:p>
    <w:p>
      <w:pPr>
        <w:spacing w:line="400" w:lineRule="exact"/>
        <w:ind w:firstLine="420" w:firstLineChars="200"/>
        <w:rPr>
          <w:rFonts w:ascii="黑体" w:eastAsia="黑体"/>
          <w:highlight w:val="none"/>
        </w:rPr>
      </w:pPr>
      <w:r>
        <w:rPr>
          <w:rFonts w:hint="eastAsia" w:ascii="黑体" w:eastAsia="黑体"/>
          <w:highlight w:val="none"/>
        </w:rPr>
        <w:t>16.1.2 采用造价信息调整价格差额</w:t>
      </w:r>
    </w:p>
    <w:p>
      <w:pPr>
        <w:spacing w:line="400" w:lineRule="exact"/>
        <w:ind w:firstLine="420" w:firstLineChars="200"/>
        <w:rPr>
          <w:highlight w:val="none"/>
        </w:rPr>
      </w:pPr>
      <w:r>
        <w:rPr>
          <w:rFonts w:hint="eastAsia"/>
          <w:highlight w:val="none"/>
        </w:rPr>
        <w:t>施工期内，因人工、材料、设备和机械台班价格波动影响合同价格时，人工、机械使用费按照国家或省、自治区、直辖市建设行政管理部门、行业建设管理部门或其授权的工程造价管理机构发布的人工成本信息、机械台班单价或机械使用费系数进行调整；需要进行价格调整的材料，其单价和采购数应由监理人复核，监理人确认需调整的材料单价及数量，作为调整工程合同价格差额的依据。</w:t>
      </w:r>
    </w:p>
    <w:p>
      <w:pPr>
        <w:pStyle w:val="199"/>
        <w:outlineLvl w:val="0"/>
        <w:rPr>
          <w:highlight w:val="none"/>
        </w:rPr>
      </w:pPr>
      <w:bookmarkStart w:id="989" w:name="_Toc342296368"/>
      <w:bookmarkStart w:id="990" w:name="_Toc152042496"/>
      <w:bookmarkStart w:id="991" w:name="_Toc152045717"/>
      <w:bookmarkStart w:id="992" w:name="_Toc434331286"/>
      <w:bookmarkStart w:id="993" w:name="_Toc13994"/>
      <w:bookmarkStart w:id="994" w:name="_Toc144974688"/>
      <w:bookmarkStart w:id="995" w:name="_Toc179632735"/>
      <w:bookmarkStart w:id="996" w:name="_Toc338944810"/>
      <w:r>
        <w:rPr>
          <w:rFonts w:hint="eastAsia"/>
          <w:highlight w:val="none"/>
        </w:rPr>
        <w:t>16.2 法律变化引起的价格调整</w:t>
      </w:r>
      <w:bookmarkEnd w:id="989"/>
      <w:bookmarkEnd w:id="990"/>
      <w:bookmarkEnd w:id="991"/>
      <w:bookmarkEnd w:id="992"/>
      <w:bookmarkEnd w:id="993"/>
      <w:bookmarkEnd w:id="994"/>
      <w:bookmarkEnd w:id="995"/>
      <w:bookmarkEnd w:id="996"/>
    </w:p>
    <w:p>
      <w:pPr>
        <w:spacing w:line="400" w:lineRule="exact"/>
        <w:ind w:firstLine="420" w:firstLineChars="200"/>
        <w:rPr>
          <w:highlight w:val="none"/>
        </w:rPr>
      </w:pPr>
      <w:r>
        <w:rPr>
          <w:rFonts w:hint="eastAsia"/>
          <w:highlight w:val="none"/>
        </w:rPr>
        <w:t>在基准日后，因法律变化导致承包人在合同履行中所需要的工程费用发生除第16.1款约定以外的增减时，监理人应根据法律、国家或省、自治区、直辖市有关部门的规定，按第3.5款商定或确定需调整的合同价款。</w:t>
      </w:r>
    </w:p>
    <w:p>
      <w:pPr>
        <w:pStyle w:val="282"/>
        <w:spacing w:before="0"/>
        <w:outlineLvl w:val="0"/>
        <w:rPr>
          <w:highlight w:val="none"/>
        </w:rPr>
      </w:pPr>
      <w:bookmarkStart w:id="997" w:name="_Toc434331287"/>
      <w:bookmarkStart w:id="998" w:name="_Toc342296369"/>
      <w:bookmarkStart w:id="999" w:name="_Toc10237"/>
      <w:bookmarkStart w:id="1000" w:name="_Toc338944811"/>
      <w:r>
        <w:rPr>
          <w:rFonts w:hint="eastAsia"/>
          <w:highlight w:val="none"/>
        </w:rPr>
        <w:t>17. 计量与支付</w:t>
      </w:r>
      <w:bookmarkEnd w:id="997"/>
      <w:bookmarkEnd w:id="998"/>
      <w:bookmarkEnd w:id="999"/>
      <w:bookmarkEnd w:id="1000"/>
    </w:p>
    <w:p>
      <w:pPr>
        <w:pStyle w:val="199"/>
        <w:outlineLvl w:val="0"/>
        <w:rPr>
          <w:highlight w:val="none"/>
        </w:rPr>
      </w:pPr>
      <w:bookmarkStart w:id="1001" w:name="_Toc342296370"/>
      <w:bookmarkStart w:id="1002" w:name="_Toc27680"/>
      <w:bookmarkStart w:id="1003" w:name="_Toc434331288"/>
      <w:bookmarkStart w:id="1004" w:name="_Toc338944812"/>
      <w:r>
        <w:rPr>
          <w:rFonts w:hint="eastAsia"/>
          <w:highlight w:val="none"/>
        </w:rPr>
        <w:t>17.1 计量</w:t>
      </w:r>
      <w:bookmarkEnd w:id="1001"/>
      <w:bookmarkEnd w:id="1002"/>
      <w:bookmarkEnd w:id="1003"/>
      <w:bookmarkEnd w:id="1004"/>
    </w:p>
    <w:p>
      <w:pPr>
        <w:spacing w:line="400" w:lineRule="exact"/>
        <w:ind w:firstLine="420" w:firstLineChars="200"/>
        <w:rPr>
          <w:highlight w:val="none"/>
        </w:rPr>
      </w:pPr>
      <w:r>
        <w:rPr>
          <w:rFonts w:hint="eastAsia"/>
          <w:highlight w:val="none"/>
        </w:rPr>
        <w:t xml:space="preserve">17.1.1 </w:t>
      </w:r>
      <w:r>
        <w:rPr>
          <w:rFonts w:hint="eastAsia" w:ascii="黑体" w:eastAsia="黑体"/>
          <w:highlight w:val="none"/>
        </w:rPr>
        <w:t>计量单位</w:t>
      </w:r>
    </w:p>
    <w:p>
      <w:pPr>
        <w:spacing w:line="400" w:lineRule="exact"/>
        <w:ind w:firstLine="420" w:firstLineChars="200"/>
        <w:rPr>
          <w:highlight w:val="none"/>
        </w:rPr>
      </w:pPr>
      <w:r>
        <w:rPr>
          <w:rFonts w:hint="eastAsia"/>
          <w:highlight w:val="none"/>
        </w:rPr>
        <w:t>计量采用国家法定的计量单位。</w:t>
      </w:r>
    </w:p>
    <w:p>
      <w:pPr>
        <w:spacing w:line="400" w:lineRule="exact"/>
        <w:ind w:firstLine="420" w:firstLineChars="200"/>
        <w:rPr>
          <w:highlight w:val="none"/>
        </w:rPr>
      </w:pPr>
      <w:r>
        <w:rPr>
          <w:rFonts w:hint="eastAsia"/>
          <w:highlight w:val="none"/>
        </w:rPr>
        <w:t xml:space="preserve">17.1.2 </w:t>
      </w:r>
      <w:r>
        <w:rPr>
          <w:rFonts w:hint="eastAsia" w:ascii="黑体" w:eastAsia="黑体"/>
          <w:highlight w:val="none"/>
        </w:rPr>
        <w:t>计量方法</w:t>
      </w:r>
    </w:p>
    <w:p>
      <w:pPr>
        <w:spacing w:line="400" w:lineRule="exact"/>
        <w:ind w:firstLine="420" w:firstLineChars="200"/>
        <w:rPr>
          <w:highlight w:val="none"/>
        </w:rPr>
      </w:pPr>
      <w:r>
        <w:rPr>
          <w:rFonts w:hint="eastAsia"/>
          <w:highlight w:val="none"/>
        </w:rPr>
        <w:t>工程量清单中的工程量计算规则应按有关国家标准、行业标准的规定，并在合同中约定执行。</w:t>
      </w:r>
    </w:p>
    <w:p>
      <w:pPr>
        <w:spacing w:line="400" w:lineRule="exact"/>
        <w:ind w:firstLine="420" w:firstLineChars="200"/>
        <w:rPr>
          <w:highlight w:val="none"/>
        </w:rPr>
      </w:pPr>
      <w:r>
        <w:rPr>
          <w:rFonts w:hint="eastAsia"/>
          <w:highlight w:val="none"/>
        </w:rPr>
        <w:t xml:space="preserve">17.1.3 </w:t>
      </w:r>
      <w:r>
        <w:rPr>
          <w:rFonts w:hint="eastAsia" w:ascii="黑体" w:eastAsia="黑体"/>
          <w:highlight w:val="none"/>
        </w:rPr>
        <w:t>计量周期</w:t>
      </w:r>
    </w:p>
    <w:p>
      <w:pPr>
        <w:spacing w:line="400" w:lineRule="exact"/>
        <w:ind w:firstLine="420" w:firstLineChars="200"/>
        <w:rPr>
          <w:highlight w:val="none"/>
        </w:rPr>
      </w:pPr>
      <w:r>
        <w:rPr>
          <w:rFonts w:hint="eastAsia"/>
          <w:highlight w:val="none"/>
        </w:rPr>
        <w:t>除专用合同条款另有约定外，单价子目已完成工程量按月计量，总价子目的计量周期按批准的支付分解报告确定。</w:t>
      </w:r>
    </w:p>
    <w:p>
      <w:pPr>
        <w:spacing w:line="400" w:lineRule="exact"/>
        <w:ind w:firstLine="420" w:firstLineChars="200"/>
        <w:rPr>
          <w:highlight w:val="none"/>
        </w:rPr>
      </w:pPr>
      <w:r>
        <w:rPr>
          <w:rFonts w:hint="eastAsia"/>
          <w:highlight w:val="none"/>
        </w:rPr>
        <w:t>17.1.4</w:t>
      </w:r>
      <w:r>
        <w:rPr>
          <w:rFonts w:hint="eastAsia" w:ascii="黑体" w:eastAsia="黑体"/>
          <w:highlight w:val="none"/>
        </w:rPr>
        <w:t xml:space="preserve"> 单价子目的计量</w:t>
      </w:r>
    </w:p>
    <w:p>
      <w:pPr>
        <w:spacing w:line="400" w:lineRule="exact"/>
        <w:ind w:firstLine="718" w:firstLineChars="342"/>
        <w:rPr>
          <w:highlight w:val="none"/>
        </w:rPr>
      </w:pPr>
      <w:r>
        <w:rPr>
          <w:rFonts w:hint="eastAsia"/>
          <w:highlight w:val="none"/>
        </w:rPr>
        <w:t>（1）已标价工程量清单中的单价子目工程量为估算工程量。结算工程量是承包人实际完成的，并按合同约定的计量方法进行计量的工程量。</w:t>
      </w:r>
    </w:p>
    <w:p>
      <w:pPr>
        <w:spacing w:line="400" w:lineRule="exact"/>
        <w:ind w:firstLine="718" w:firstLineChars="342"/>
        <w:rPr>
          <w:highlight w:val="none"/>
        </w:rPr>
      </w:pPr>
      <w:r>
        <w:rPr>
          <w:rFonts w:hint="eastAsia"/>
          <w:highlight w:val="none"/>
        </w:rPr>
        <w:t>（2）承包人对已完成的工程进行计量，向监理人提交进度付款申请单、已完成工程量报表和有关计量资料。</w:t>
      </w:r>
    </w:p>
    <w:p>
      <w:pPr>
        <w:spacing w:line="400" w:lineRule="exact"/>
        <w:ind w:firstLine="718" w:firstLineChars="342"/>
        <w:rPr>
          <w:highlight w:val="none"/>
        </w:rPr>
      </w:pPr>
      <w:r>
        <w:rPr>
          <w:rFonts w:hint="eastAsia"/>
          <w:highlight w:val="none"/>
        </w:rPr>
        <w:t>（3）监理人对承包人提交的工程量报表进行复核，以确定实际完成的工程量。对数量有异议的，可要求承包人按第8.2款约定进行共同复核和抽样复测。承包人应协助监理人进行复核并按监理人要求提供补充计量资料。承包人未按监理人要求参加复核，监理人复核或修正的工程量视为承包人实际完成的工程量。</w:t>
      </w:r>
    </w:p>
    <w:p>
      <w:pPr>
        <w:spacing w:line="400" w:lineRule="exact"/>
        <w:ind w:firstLine="718" w:firstLineChars="342"/>
        <w:rPr>
          <w:highlight w:val="none"/>
        </w:rPr>
      </w:pPr>
      <w:r>
        <w:rPr>
          <w:rFonts w:hint="eastAsia"/>
          <w:highlight w:val="none"/>
        </w:rPr>
        <w:t>（4）监理人认为有必要时，可通知承包人共同进行联合测量、计量，承包人应遵照执行。</w:t>
      </w:r>
    </w:p>
    <w:p>
      <w:pPr>
        <w:spacing w:line="400" w:lineRule="exact"/>
        <w:ind w:firstLine="718" w:firstLineChars="342"/>
        <w:rPr>
          <w:highlight w:val="none"/>
        </w:rPr>
      </w:pPr>
      <w:r>
        <w:rPr>
          <w:rFonts w:hint="eastAsia"/>
          <w:highlight w:val="none"/>
        </w:rPr>
        <w:t>（5）承包人完成工程量清单中每个子目的工程量后，监理人应要求承包人派员共同对每个子目的历次计量报表进行汇总，以核实最终结算工程量。监理人可要求承包人提供补充计量资料，以确定最后一次进度付款的准确工程量。承包人未按监理人要求派员参加的，监理人最终核实的工程量视为承包人完成该子目的准确工程量。</w:t>
      </w:r>
    </w:p>
    <w:p>
      <w:pPr>
        <w:spacing w:line="400" w:lineRule="exact"/>
        <w:ind w:firstLine="718" w:firstLineChars="342"/>
        <w:rPr>
          <w:highlight w:val="none"/>
        </w:rPr>
      </w:pPr>
      <w:r>
        <w:rPr>
          <w:rFonts w:hint="eastAsia"/>
          <w:highlight w:val="none"/>
        </w:rPr>
        <w:t>（6）监理人应在收到承包人提交的工程量报表后的7天内进行复核，监理人未在约定时间内复核的，承包人提交的工程量报表中的工程量视为承包人实际完成的工程量，据此计算工程价款。</w:t>
      </w:r>
    </w:p>
    <w:p>
      <w:pPr>
        <w:spacing w:line="400" w:lineRule="exact"/>
        <w:ind w:firstLine="420" w:firstLineChars="200"/>
        <w:rPr>
          <w:rFonts w:ascii="黑体" w:eastAsia="黑体"/>
          <w:highlight w:val="none"/>
        </w:rPr>
      </w:pPr>
      <w:r>
        <w:rPr>
          <w:rFonts w:hint="eastAsia"/>
          <w:highlight w:val="none"/>
        </w:rPr>
        <w:t xml:space="preserve">17.1.5 </w:t>
      </w:r>
      <w:r>
        <w:rPr>
          <w:rFonts w:hint="eastAsia" w:ascii="黑体" w:eastAsia="黑体"/>
          <w:highlight w:val="none"/>
        </w:rPr>
        <w:t>总价子目的计量</w:t>
      </w:r>
    </w:p>
    <w:p>
      <w:pPr>
        <w:spacing w:line="400" w:lineRule="exact"/>
        <w:ind w:firstLine="630" w:firstLineChars="300"/>
        <w:rPr>
          <w:highlight w:val="none"/>
        </w:rPr>
      </w:pPr>
      <w:r>
        <w:rPr>
          <w:rFonts w:hint="eastAsia"/>
          <w:highlight w:val="none"/>
        </w:rPr>
        <w:t>除专用合同条款另有约定外，总价子目的分解和计量按照下述约定进行。</w:t>
      </w:r>
    </w:p>
    <w:p>
      <w:pPr>
        <w:spacing w:line="400" w:lineRule="exact"/>
        <w:ind w:firstLine="630" w:firstLineChars="300"/>
        <w:rPr>
          <w:highlight w:val="none"/>
        </w:rPr>
      </w:pPr>
      <w:r>
        <w:rPr>
          <w:rFonts w:hint="eastAsia"/>
          <w:highlight w:val="none"/>
        </w:rPr>
        <w:t>（1）总价子目的计量和支付应以总价为基础，不因第16.1款中的因素而进行调整。承包人实际完成的工程量，是进行工程目标管理和控制进度支付的依据。</w:t>
      </w:r>
    </w:p>
    <w:p>
      <w:pPr>
        <w:spacing w:line="400" w:lineRule="exact"/>
        <w:ind w:firstLine="630" w:firstLineChars="300"/>
        <w:rPr>
          <w:highlight w:val="none"/>
        </w:rPr>
      </w:pPr>
      <w:r>
        <w:rPr>
          <w:rFonts w:hint="eastAsia"/>
          <w:highlight w:val="none"/>
        </w:rPr>
        <w:t>（2）承包人在合同约定的每个计量周期内，对已完成的工程进行计量，并向监理人提交进度付款申请单、专用合同条款约定的合同总价支付分解表所表示的阶段性或分项计量的支持性资料，以及所达到工程形象目标或分阶段需完成的工程量和有关计量资料。</w:t>
      </w:r>
    </w:p>
    <w:p>
      <w:pPr>
        <w:spacing w:line="400" w:lineRule="exact"/>
        <w:ind w:firstLine="630" w:firstLineChars="300"/>
        <w:rPr>
          <w:highlight w:val="none"/>
        </w:rPr>
      </w:pPr>
      <w:r>
        <w:rPr>
          <w:rFonts w:hint="eastAsia"/>
          <w:highlight w:val="none"/>
        </w:rPr>
        <w:t>（3）监理人对承包人提交的上述资料进行复核，以确定分阶段实际完成的工程量和工程形象目标。对其有异议的，可要求承包人按第8.2款约定进行共同复核和抽样复测。</w:t>
      </w:r>
    </w:p>
    <w:p>
      <w:pPr>
        <w:spacing w:line="400" w:lineRule="exact"/>
        <w:ind w:firstLine="630" w:firstLineChars="300"/>
        <w:rPr>
          <w:highlight w:val="none"/>
        </w:rPr>
      </w:pPr>
      <w:r>
        <w:rPr>
          <w:rFonts w:hint="eastAsia"/>
          <w:highlight w:val="none"/>
        </w:rPr>
        <w:t xml:space="preserve">（4）除按照第15条约定的变更外，总价子目的工程量是承包人用于结算的最终工程量。 </w:t>
      </w:r>
    </w:p>
    <w:p>
      <w:pPr>
        <w:pStyle w:val="199"/>
        <w:outlineLvl w:val="0"/>
        <w:rPr>
          <w:highlight w:val="none"/>
        </w:rPr>
      </w:pPr>
      <w:bookmarkStart w:id="1005" w:name="_Toc338944813"/>
      <w:bookmarkStart w:id="1006" w:name="_Toc434331289"/>
      <w:bookmarkStart w:id="1007" w:name="_Toc7571"/>
      <w:bookmarkStart w:id="1008" w:name="_Toc342296371"/>
      <w:r>
        <w:rPr>
          <w:rFonts w:hint="eastAsia"/>
          <w:highlight w:val="none"/>
        </w:rPr>
        <w:t>17.2 预付款</w:t>
      </w:r>
      <w:bookmarkEnd w:id="1005"/>
      <w:bookmarkEnd w:id="1006"/>
      <w:bookmarkEnd w:id="1007"/>
      <w:bookmarkEnd w:id="1008"/>
    </w:p>
    <w:p>
      <w:pPr>
        <w:spacing w:line="400" w:lineRule="exact"/>
        <w:ind w:firstLine="420" w:firstLineChars="200"/>
        <w:rPr>
          <w:highlight w:val="none"/>
        </w:rPr>
      </w:pPr>
      <w:r>
        <w:rPr>
          <w:rFonts w:hint="eastAsia"/>
          <w:highlight w:val="none"/>
        </w:rPr>
        <w:t xml:space="preserve">17.2.1 </w:t>
      </w:r>
      <w:r>
        <w:rPr>
          <w:rFonts w:hint="eastAsia" w:ascii="黑体" w:eastAsia="黑体"/>
          <w:highlight w:val="none"/>
        </w:rPr>
        <w:t>预付款</w:t>
      </w:r>
    </w:p>
    <w:p>
      <w:pPr>
        <w:spacing w:line="400" w:lineRule="exact"/>
        <w:ind w:firstLine="420" w:firstLineChars="200"/>
        <w:rPr>
          <w:highlight w:val="none"/>
        </w:rPr>
      </w:pPr>
      <w:r>
        <w:rPr>
          <w:rFonts w:hint="eastAsia"/>
          <w:highlight w:val="none"/>
        </w:rPr>
        <w:t>预付款用于承包人为合同工程施工购置材料、工程设备、施工设备、修建临时设施以及组织施工队伍进场等。预付款的额度和预付办法在专用合同条款中约定。预付款必须专用于合同工程。</w:t>
      </w:r>
    </w:p>
    <w:p>
      <w:pPr>
        <w:spacing w:line="400" w:lineRule="exact"/>
        <w:ind w:firstLine="420" w:firstLineChars="200"/>
        <w:rPr>
          <w:highlight w:val="none"/>
        </w:rPr>
      </w:pPr>
      <w:r>
        <w:rPr>
          <w:rFonts w:hint="eastAsia"/>
          <w:highlight w:val="none"/>
        </w:rPr>
        <w:t xml:space="preserve">17.2.2 </w:t>
      </w:r>
      <w:r>
        <w:rPr>
          <w:rFonts w:hint="eastAsia" w:ascii="黑体" w:eastAsia="黑体"/>
          <w:highlight w:val="none"/>
        </w:rPr>
        <w:t>预付款保函</w:t>
      </w:r>
    </w:p>
    <w:p>
      <w:pPr>
        <w:spacing w:line="400" w:lineRule="exact"/>
        <w:ind w:firstLine="420" w:firstLineChars="200"/>
        <w:rPr>
          <w:highlight w:val="none"/>
        </w:rPr>
      </w:pPr>
      <w:r>
        <w:rPr>
          <w:rFonts w:hint="eastAsia"/>
          <w:highlight w:val="none"/>
        </w:rPr>
        <w:t>除专用合同条款另有约定外，承包人应在收到预付款的同时向发包人提交预付款保函，预付款保函的担保金额应与预付款金额相同。保函的担保金额可根据预付款扣回的金额相应递减。</w:t>
      </w:r>
    </w:p>
    <w:p>
      <w:pPr>
        <w:spacing w:line="400" w:lineRule="exact"/>
        <w:ind w:firstLine="420" w:firstLineChars="200"/>
        <w:rPr>
          <w:highlight w:val="none"/>
        </w:rPr>
      </w:pPr>
      <w:r>
        <w:rPr>
          <w:rFonts w:hint="eastAsia"/>
          <w:highlight w:val="none"/>
        </w:rPr>
        <w:t xml:space="preserve">17.2.3 </w:t>
      </w:r>
      <w:r>
        <w:rPr>
          <w:rFonts w:hint="eastAsia" w:ascii="黑体" w:eastAsia="黑体"/>
          <w:highlight w:val="none"/>
        </w:rPr>
        <w:t>预付款的扣回与还清</w:t>
      </w:r>
    </w:p>
    <w:p>
      <w:pPr>
        <w:spacing w:line="400" w:lineRule="exact"/>
        <w:ind w:firstLine="420" w:firstLineChars="200"/>
        <w:rPr>
          <w:highlight w:val="none"/>
        </w:rPr>
      </w:pPr>
      <w:r>
        <w:rPr>
          <w:rFonts w:hint="eastAsia"/>
          <w:highlight w:val="none"/>
        </w:rPr>
        <w:t>预付款在进度付款中扣回，扣回办法在专用合同条款中约定。在颁发工程接收证书前，由于不可抗力或其他原因解除合同时，预付款尚未扣清的，尚未扣清的预付款余额应作为承包人的到期应付款。</w:t>
      </w:r>
    </w:p>
    <w:p>
      <w:pPr>
        <w:pStyle w:val="199"/>
        <w:outlineLvl w:val="0"/>
        <w:rPr>
          <w:highlight w:val="none"/>
        </w:rPr>
      </w:pPr>
      <w:bookmarkStart w:id="1009" w:name="_Toc32020"/>
      <w:bookmarkStart w:id="1010" w:name="_Toc338944814"/>
      <w:bookmarkStart w:id="1011" w:name="_Toc342296372"/>
      <w:bookmarkStart w:id="1012" w:name="_Toc434331290"/>
      <w:r>
        <w:rPr>
          <w:rFonts w:hint="eastAsia"/>
          <w:highlight w:val="none"/>
        </w:rPr>
        <w:t>17.3 工程进度付款</w:t>
      </w:r>
      <w:bookmarkEnd w:id="1009"/>
      <w:bookmarkEnd w:id="1010"/>
      <w:bookmarkEnd w:id="1011"/>
      <w:bookmarkEnd w:id="1012"/>
    </w:p>
    <w:p>
      <w:pPr>
        <w:spacing w:line="400" w:lineRule="exact"/>
        <w:ind w:firstLine="420" w:firstLineChars="200"/>
        <w:rPr>
          <w:highlight w:val="none"/>
        </w:rPr>
      </w:pPr>
      <w:r>
        <w:rPr>
          <w:rFonts w:hint="eastAsia"/>
          <w:highlight w:val="none"/>
        </w:rPr>
        <w:t xml:space="preserve">17.3.1 </w:t>
      </w:r>
      <w:r>
        <w:rPr>
          <w:rFonts w:hint="eastAsia" w:ascii="黑体" w:eastAsia="黑体"/>
          <w:highlight w:val="none"/>
        </w:rPr>
        <w:t>付款周期</w:t>
      </w:r>
    </w:p>
    <w:p>
      <w:pPr>
        <w:spacing w:line="400" w:lineRule="exact"/>
        <w:ind w:firstLine="420" w:firstLineChars="200"/>
        <w:rPr>
          <w:highlight w:val="none"/>
        </w:rPr>
      </w:pPr>
      <w:r>
        <w:rPr>
          <w:rFonts w:hint="eastAsia"/>
          <w:highlight w:val="none"/>
        </w:rPr>
        <w:t>付款周期同计量周期。</w:t>
      </w:r>
    </w:p>
    <w:p>
      <w:pPr>
        <w:spacing w:line="400" w:lineRule="exact"/>
        <w:ind w:firstLine="420" w:firstLineChars="200"/>
        <w:rPr>
          <w:highlight w:val="none"/>
        </w:rPr>
      </w:pPr>
      <w:r>
        <w:rPr>
          <w:rFonts w:hint="eastAsia"/>
          <w:highlight w:val="none"/>
        </w:rPr>
        <w:t xml:space="preserve">17.3.2 </w:t>
      </w:r>
      <w:r>
        <w:rPr>
          <w:rFonts w:hint="eastAsia" w:ascii="黑体" w:eastAsia="黑体"/>
          <w:highlight w:val="none"/>
        </w:rPr>
        <w:t>进度付款申请单</w:t>
      </w:r>
    </w:p>
    <w:p>
      <w:pPr>
        <w:spacing w:line="400" w:lineRule="exact"/>
        <w:ind w:firstLine="420" w:firstLineChars="200"/>
        <w:rPr>
          <w:dstrike/>
          <w:szCs w:val="21"/>
          <w:highlight w:val="none"/>
        </w:rPr>
      </w:pPr>
      <w:r>
        <w:rPr>
          <w:rFonts w:hint="eastAsia"/>
          <w:highlight w:val="none"/>
        </w:rPr>
        <w:t>承包人应在每个付款周期末，按监理人批准的格式和专用合同条款约定的份数，向监理人提交进度付款申请单，并附相应的支持性证明文件。除专用合同条款另有约定外，进度付款申请单应包括下列内容：</w:t>
      </w:r>
    </w:p>
    <w:p>
      <w:pPr>
        <w:spacing w:line="400" w:lineRule="exact"/>
        <w:ind w:firstLine="420" w:firstLineChars="200"/>
        <w:rPr>
          <w:highlight w:val="none"/>
        </w:rPr>
      </w:pPr>
      <w:r>
        <w:rPr>
          <w:rFonts w:hint="eastAsia"/>
          <w:highlight w:val="none"/>
        </w:rPr>
        <w:t>（1）截至本次付款周期末已实施工程的价款；</w:t>
      </w:r>
    </w:p>
    <w:p>
      <w:pPr>
        <w:spacing w:line="400" w:lineRule="exact"/>
        <w:ind w:firstLine="420" w:firstLineChars="200"/>
        <w:rPr>
          <w:highlight w:val="none"/>
        </w:rPr>
      </w:pPr>
      <w:r>
        <w:rPr>
          <w:rFonts w:hint="eastAsia"/>
          <w:highlight w:val="none"/>
        </w:rPr>
        <w:t>（2）根据第15条应增加和扣减的变更金额；</w:t>
      </w:r>
    </w:p>
    <w:p>
      <w:pPr>
        <w:spacing w:line="400" w:lineRule="exact"/>
        <w:ind w:firstLine="420" w:firstLineChars="200"/>
        <w:rPr>
          <w:highlight w:val="none"/>
        </w:rPr>
      </w:pPr>
      <w:r>
        <w:rPr>
          <w:rFonts w:hint="eastAsia"/>
          <w:highlight w:val="none"/>
        </w:rPr>
        <w:t>（3）根据第23条应增加和扣减的索赔金额；</w:t>
      </w:r>
    </w:p>
    <w:p>
      <w:pPr>
        <w:spacing w:line="400" w:lineRule="exact"/>
        <w:ind w:firstLine="420" w:firstLineChars="200"/>
        <w:rPr>
          <w:highlight w:val="none"/>
        </w:rPr>
      </w:pPr>
      <w:r>
        <w:rPr>
          <w:rFonts w:hint="eastAsia"/>
          <w:highlight w:val="none"/>
        </w:rPr>
        <w:t>（4）根据第17.2款约定应支付的预付款和扣减的返还预付款；</w:t>
      </w:r>
    </w:p>
    <w:p>
      <w:pPr>
        <w:spacing w:line="400" w:lineRule="exact"/>
        <w:ind w:firstLine="420" w:firstLineChars="200"/>
        <w:rPr>
          <w:highlight w:val="none"/>
        </w:rPr>
      </w:pPr>
      <w:r>
        <w:rPr>
          <w:rFonts w:hint="eastAsia"/>
          <w:highlight w:val="none"/>
        </w:rPr>
        <w:t>（5）根据第17.4.1项约定应扣减的质量保证金；</w:t>
      </w:r>
    </w:p>
    <w:p>
      <w:pPr>
        <w:spacing w:line="400" w:lineRule="exact"/>
        <w:ind w:firstLine="420" w:firstLineChars="200"/>
        <w:rPr>
          <w:highlight w:val="none"/>
        </w:rPr>
      </w:pPr>
      <w:r>
        <w:rPr>
          <w:rFonts w:hint="eastAsia"/>
          <w:highlight w:val="none"/>
        </w:rPr>
        <w:t>（6）根据合同应增加和扣减的其他金额。</w:t>
      </w:r>
    </w:p>
    <w:p>
      <w:pPr>
        <w:spacing w:line="400" w:lineRule="exact"/>
        <w:ind w:firstLine="420" w:firstLineChars="200"/>
        <w:rPr>
          <w:highlight w:val="none"/>
        </w:rPr>
      </w:pPr>
      <w:r>
        <w:rPr>
          <w:rFonts w:hint="eastAsia"/>
          <w:highlight w:val="none"/>
        </w:rPr>
        <w:t xml:space="preserve">17.3.3 </w:t>
      </w:r>
      <w:r>
        <w:rPr>
          <w:rFonts w:hint="eastAsia" w:ascii="黑体" w:eastAsia="黑体"/>
          <w:highlight w:val="none"/>
        </w:rPr>
        <w:t>进度付款证书和支付时间</w:t>
      </w:r>
    </w:p>
    <w:p>
      <w:pPr>
        <w:spacing w:line="400" w:lineRule="exact"/>
        <w:ind w:firstLine="630" w:firstLineChars="300"/>
        <w:rPr>
          <w:highlight w:val="none"/>
        </w:rPr>
      </w:pPr>
      <w:r>
        <w:rPr>
          <w:rFonts w:hint="eastAsia"/>
          <w:highlight w:val="none"/>
        </w:rPr>
        <w:t>（1）监理人在收到承包人进度付款申请单以及相应的支持性证明文件后的14天内完成核查，提出发包人到期应支付给承包人的金额以及相应的支持性材料，经发包人审查同意后，由监理人向承包人出具经发包人签认的进度付款证书。监理人有权扣发承包人未能按照合同要求履行任何工作或义务的相应金额。</w:t>
      </w:r>
    </w:p>
    <w:p>
      <w:pPr>
        <w:spacing w:line="400" w:lineRule="exact"/>
        <w:ind w:firstLine="718" w:firstLineChars="342"/>
        <w:rPr>
          <w:highlight w:val="none"/>
        </w:rPr>
      </w:pPr>
      <w:r>
        <w:rPr>
          <w:rFonts w:hint="eastAsia"/>
          <w:highlight w:val="none"/>
        </w:rPr>
        <w:t>（2）发包人应在监理人收到进度付款申请单后的28天内，将进度应付款支付给承包人。发包人不按期支付的，按专用合同条款的约定支付逾期付款违约金。</w:t>
      </w:r>
    </w:p>
    <w:p>
      <w:pPr>
        <w:spacing w:line="400" w:lineRule="exact"/>
        <w:ind w:firstLine="718" w:firstLineChars="342"/>
        <w:rPr>
          <w:highlight w:val="none"/>
        </w:rPr>
      </w:pPr>
      <w:r>
        <w:rPr>
          <w:rFonts w:hint="eastAsia"/>
          <w:highlight w:val="none"/>
        </w:rPr>
        <w:t>（3）监理人出具进度付款证书，不应视为监理人已同意、批准或接受了承包人完成的该部分工作。</w:t>
      </w:r>
    </w:p>
    <w:p>
      <w:pPr>
        <w:spacing w:line="400" w:lineRule="exact"/>
        <w:ind w:firstLine="718" w:firstLineChars="342"/>
        <w:rPr>
          <w:highlight w:val="none"/>
        </w:rPr>
      </w:pPr>
      <w:r>
        <w:rPr>
          <w:rFonts w:hint="eastAsia"/>
          <w:highlight w:val="none"/>
        </w:rPr>
        <w:t>（4）进度付款涉及政府投资资金的，按照国库集中支付等国家相关规定和专用合同条款的约定办理。</w:t>
      </w:r>
    </w:p>
    <w:p>
      <w:pPr>
        <w:spacing w:line="400" w:lineRule="exact"/>
        <w:ind w:firstLine="420" w:firstLineChars="200"/>
        <w:rPr>
          <w:highlight w:val="none"/>
        </w:rPr>
      </w:pPr>
      <w:r>
        <w:rPr>
          <w:rFonts w:hint="eastAsia"/>
          <w:highlight w:val="none"/>
        </w:rPr>
        <w:t xml:space="preserve">17.3.4 </w:t>
      </w:r>
      <w:r>
        <w:rPr>
          <w:rFonts w:hint="eastAsia" w:ascii="黑体" w:eastAsia="黑体"/>
          <w:highlight w:val="none"/>
        </w:rPr>
        <w:t>工程进度付款的修正</w:t>
      </w:r>
    </w:p>
    <w:p>
      <w:pPr>
        <w:spacing w:line="400" w:lineRule="exact"/>
        <w:ind w:firstLine="420" w:firstLineChars="200"/>
        <w:rPr>
          <w:highlight w:val="none"/>
        </w:rPr>
      </w:pPr>
      <w:r>
        <w:rPr>
          <w:rFonts w:hint="eastAsia"/>
          <w:highlight w:val="none"/>
        </w:rPr>
        <w:t>在对以往历次已签发的进度付款证书进行汇总和复核中发现错、漏或重复的，监理人有权予以修正，承包人也有权提出修正申请。经双方复核同意的修正，应在本次进度付款中支付或扣除。</w:t>
      </w:r>
    </w:p>
    <w:p>
      <w:pPr>
        <w:pStyle w:val="199"/>
        <w:outlineLvl w:val="0"/>
        <w:rPr>
          <w:highlight w:val="none"/>
        </w:rPr>
      </w:pPr>
      <w:bookmarkStart w:id="1013" w:name="_Toc31410"/>
      <w:bookmarkStart w:id="1014" w:name="_Toc338944815"/>
      <w:bookmarkStart w:id="1015" w:name="_Toc342296373"/>
      <w:bookmarkStart w:id="1016" w:name="_Toc434331291"/>
      <w:r>
        <w:rPr>
          <w:rFonts w:hint="eastAsia"/>
          <w:highlight w:val="none"/>
        </w:rPr>
        <w:t>17.4 质量保证金</w:t>
      </w:r>
      <w:bookmarkEnd w:id="1013"/>
      <w:bookmarkEnd w:id="1014"/>
      <w:bookmarkEnd w:id="1015"/>
      <w:bookmarkEnd w:id="1016"/>
    </w:p>
    <w:p>
      <w:pPr>
        <w:spacing w:line="400" w:lineRule="exact"/>
        <w:ind w:firstLine="420" w:firstLineChars="200"/>
        <w:rPr>
          <w:highlight w:val="none"/>
        </w:rPr>
      </w:pPr>
      <w:r>
        <w:rPr>
          <w:rFonts w:hint="eastAsia"/>
          <w:highlight w:val="none"/>
        </w:rPr>
        <w:t>17.4.1 监理人应从第一个付款周期开始，在发包人的进度付款中，按专用合同条款的约定扣留质量保证金，直至扣留的质量保证金总额达到专用合同条款约定的金额或比例为止。质量保证金的计算额度不包括预付款的支付、扣回以及价格调整的金额。</w:t>
      </w:r>
    </w:p>
    <w:p>
      <w:pPr>
        <w:spacing w:line="400" w:lineRule="exact"/>
        <w:ind w:firstLine="420" w:firstLineChars="200"/>
        <w:rPr>
          <w:highlight w:val="none"/>
        </w:rPr>
      </w:pPr>
      <w:r>
        <w:rPr>
          <w:rFonts w:hint="eastAsia"/>
          <w:highlight w:val="none"/>
        </w:rPr>
        <w:t>17.4.2 在第1.1.4.5目约定的缺陷责任期满时，承包人向发包人申请到期应返还承包人剩余的质量保证金金额，发包人应在14天内会同承包人按照合同约定的内容核实承包人是否完成缺陷责任。如无异议，发包人应当在核实后将剩余保证金返还承包人。</w:t>
      </w:r>
    </w:p>
    <w:p>
      <w:pPr>
        <w:spacing w:line="400" w:lineRule="exact"/>
        <w:ind w:firstLine="420" w:firstLineChars="200"/>
        <w:rPr>
          <w:highlight w:val="none"/>
        </w:rPr>
      </w:pPr>
      <w:r>
        <w:rPr>
          <w:rFonts w:hint="eastAsia"/>
          <w:highlight w:val="none"/>
        </w:rPr>
        <w:t xml:space="preserve">17.4.3 在第1.1.4.5目约定的缺陷责任期满时，承包人没有完成缺陷责任的，发包人有权扣留与未履行责任剩余工作所需金额相应的质量保证金余额，并有权根据第19.3款约定要求延长缺陷责任期，直至完成剩余工作为止。 </w:t>
      </w:r>
    </w:p>
    <w:p>
      <w:pPr>
        <w:pStyle w:val="199"/>
        <w:outlineLvl w:val="0"/>
        <w:rPr>
          <w:highlight w:val="none"/>
        </w:rPr>
      </w:pPr>
      <w:bookmarkStart w:id="1017" w:name="_Toc338944816"/>
      <w:bookmarkStart w:id="1018" w:name="_Toc342296374"/>
      <w:bookmarkStart w:id="1019" w:name="_Toc434331292"/>
      <w:bookmarkStart w:id="1020" w:name="_Toc1636"/>
      <w:r>
        <w:rPr>
          <w:rFonts w:hint="eastAsia"/>
          <w:highlight w:val="none"/>
        </w:rPr>
        <w:t>17.5 竣工结算</w:t>
      </w:r>
      <w:bookmarkEnd w:id="1017"/>
      <w:bookmarkEnd w:id="1018"/>
      <w:bookmarkEnd w:id="1019"/>
      <w:bookmarkEnd w:id="1020"/>
    </w:p>
    <w:p>
      <w:pPr>
        <w:spacing w:line="400" w:lineRule="exact"/>
        <w:ind w:firstLine="420" w:firstLineChars="200"/>
        <w:rPr>
          <w:highlight w:val="none"/>
        </w:rPr>
      </w:pPr>
      <w:r>
        <w:rPr>
          <w:rFonts w:hint="eastAsia"/>
          <w:highlight w:val="none"/>
        </w:rPr>
        <w:t xml:space="preserve">17.5.1 </w:t>
      </w:r>
      <w:r>
        <w:rPr>
          <w:rFonts w:hint="eastAsia" w:ascii="黑体" w:eastAsia="黑体"/>
          <w:highlight w:val="none"/>
        </w:rPr>
        <w:t>竣工付款申请单</w:t>
      </w:r>
    </w:p>
    <w:p>
      <w:pPr>
        <w:spacing w:line="400" w:lineRule="exact"/>
        <w:ind w:firstLine="718" w:firstLineChars="342"/>
        <w:rPr>
          <w:highlight w:val="none"/>
        </w:rPr>
      </w:pPr>
      <w:r>
        <w:rPr>
          <w:rFonts w:hint="eastAsia"/>
          <w:highlight w:val="none"/>
        </w:rPr>
        <w:t>（1）工程接收证书颁发后，承包人应按专用合同条款约定的份数和期限向监理人提交竣工付款申请单，并提供相关证明材料。除专用合同条款另有约定外，竣工付款申请单应包括下列内容：竣工结算合同总价、发包人已支付承包人的工程价款、应扣留的质量保证金、应支付的竣工付款金额。</w:t>
      </w:r>
    </w:p>
    <w:p>
      <w:pPr>
        <w:spacing w:line="400" w:lineRule="exact"/>
        <w:ind w:firstLine="718" w:firstLineChars="342"/>
        <w:rPr>
          <w:highlight w:val="none"/>
        </w:rPr>
      </w:pPr>
      <w:r>
        <w:rPr>
          <w:rFonts w:hint="eastAsia"/>
          <w:highlight w:val="none"/>
        </w:rPr>
        <w:t>（2）监理人对竣工付款申请单有异议的，有权要求承包人进行修正和提供补充资料。经监理人和承包人协商后，由承包人向监理人提交修正后的竣工付款申请单。</w:t>
      </w:r>
    </w:p>
    <w:p>
      <w:pPr>
        <w:spacing w:line="400" w:lineRule="exact"/>
        <w:ind w:firstLine="420" w:firstLineChars="200"/>
        <w:rPr>
          <w:highlight w:val="none"/>
        </w:rPr>
      </w:pPr>
      <w:r>
        <w:rPr>
          <w:rFonts w:hint="eastAsia"/>
          <w:highlight w:val="none"/>
        </w:rPr>
        <w:t xml:space="preserve">17.5.2 </w:t>
      </w:r>
      <w:r>
        <w:rPr>
          <w:rFonts w:hint="eastAsia" w:ascii="黑体" w:eastAsia="黑体"/>
          <w:highlight w:val="none"/>
        </w:rPr>
        <w:t>竣工付款证书及支付时间</w:t>
      </w:r>
    </w:p>
    <w:p>
      <w:pPr>
        <w:spacing w:line="400" w:lineRule="exact"/>
        <w:ind w:firstLine="718" w:firstLineChars="342"/>
        <w:rPr>
          <w:highlight w:val="none"/>
        </w:rPr>
      </w:pPr>
      <w:r>
        <w:rPr>
          <w:rFonts w:hint="eastAsia"/>
          <w:highlight w:val="none"/>
        </w:rPr>
        <w:t>（1）监理人在收到承包人提交的竣工付款申请单后的14天内完成核查，提出发包人到期应支付给承包人的价款送发包人审核并抄送承包人。发包人应在收到后14天内审核完毕，由监理人向承包人出具经发包人签认的竣工付款证书。监理人未在约定时间内核查，又未提出具体意见的，视为承包人提交的竣工付款申请单已经监理人核查同意；发包人未在约定时间内审核又未提出具体意见的，监理人提出发包人到期应支付给承包人的价款视为已经发包人同意。</w:t>
      </w:r>
    </w:p>
    <w:p>
      <w:pPr>
        <w:spacing w:line="400" w:lineRule="exact"/>
        <w:ind w:firstLine="718" w:firstLineChars="342"/>
        <w:rPr>
          <w:highlight w:val="none"/>
        </w:rPr>
      </w:pPr>
      <w:r>
        <w:rPr>
          <w:rFonts w:hint="eastAsia"/>
          <w:highlight w:val="none"/>
        </w:rPr>
        <w:t>（2）发包人应在监理人出具竣工付款证书后的14天内，将应支付款支付给承包人。发包人不按期支付的，按第17.3.3（2）目的约定，将逾期付款违约金支付给承包人。</w:t>
      </w:r>
    </w:p>
    <w:p>
      <w:pPr>
        <w:spacing w:line="400" w:lineRule="exact"/>
        <w:ind w:firstLine="718" w:firstLineChars="342"/>
        <w:rPr>
          <w:highlight w:val="none"/>
        </w:rPr>
      </w:pPr>
      <w:r>
        <w:rPr>
          <w:rFonts w:hint="eastAsia"/>
          <w:highlight w:val="none"/>
        </w:rPr>
        <w:t>（3）承包人对发包人签认的竣工付款证书有异议的，发包人可出具竣工付款申请单中承包人已同意部分的临时付款证书。存在争议的部分，按第24条的约定办理。</w:t>
      </w:r>
    </w:p>
    <w:p>
      <w:pPr>
        <w:spacing w:line="400" w:lineRule="exact"/>
        <w:ind w:firstLine="630" w:firstLineChars="300"/>
        <w:rPr>
          <w:highlight w:val="none"/>
        </w:rPr>
      </w:pPr>
      <w:r>
        <w:rPr>
          <w:rFonts w:hint="eastAsia"/>
          <w:highlight w:val="none"/>
        </w:rPr>
        <w:t>（4）竣工付款涉及政府投资资金的，按第17.3.3（４）目的约定办理。</w:t>
      </w:r>
    </w:p>
    <w:p>
      <w:pPr>
        <w:pStyle w:val="199"/>
        <w:outlineLvl w:val="0"/>
        <w:rPr>
          <w:highlight w:val="none"/>
        </w:rPr>
      </w:pPr>
      <w:bookmarkStart w:id="1021" w:name="_Toc338944817"/>
      <w:bookmarkStart w:id="1022" w:name="_Toc2779"/>
      <w:bookmarkStart w:id="1023" w:name="_Toc342296375"/>
      <w:bookmarkStart w:id="1024" w:name="_Toc434331293"/>
      <w:r>
        <w:rPr>
          <w:rFonts w:hint="eastAsia"/>
          <w:highlight w:val="none"/>
        </w:rPr>
        <w:t>17.6 最终结清</w:t>
      </w:r>
      <w:bookmarkEnd w:id="1021"/>
      <w:bookmarkEnd w:id="1022"/>
      <w:bookmarkEnd w:id="1023"/>
      <w:bookmarkEnd w:id="1024"/>
    </w:p>
    <w:p>
      <w:pPr>
        <w:spacing w:line="400" w:lineRule="exact"/>
        <w:ind w:firstLine="420" w:firstLineChars="200"/>
        <w:rPr>
          <w:highlight w:val="none"/>
        </w:rPr>
      </w:pPr>
      <w:r>
        <w:rPr>
          <w:rFonts w:hint="eastAsia"/>
          <w:highlight w:val="none"/>
        </w:rPr>
        <w:t xml:space="preserve">17.6.1 </w:t>
      </w:r>
      <w:r>
        <w:rPr>
          <w:rFonts w:hint="eastAsia" w:ascii="黑体" w:eastAsia="黑体"/>
          <w:highlight w:val="none"/>
        </w:rPr>
        <w:t>最终结清申请单</w:t>
      </w:r>
    </w:p>
    <w:p>
      <w:pPr>
        <w:spacing w:line="400" w:lineRule="exact"/>
        <w:ind w:firstLine="718" w:firstLineChars="342"/>
        <w:rPr>
          <w:highlight w:val="none"/>
        </w:rPr>
      </w:pPr>
      <w:r>
        <w:rPr>
          <w:rFonts w:hint="eastAsia"/>
          <w:highlight w:val="none"/>
        </w:rPr>
        <w:t>（1）缺陷责任期终止证书签发后，承包人可按专用合同条款约定的份数和期限向监理人提交最终结清申请单，并提供相关证明材料。</w:t>
      </w:r>
    </w:p>
    <w:p>
      <w:pPr>
        <w:spacing w:line="400" w:lineRule="exact"/>
        <w:ind w:firstLine="718" w:firstLineChars="342"/>
        <w:rPr>
          <w:highlight w:val="none"/>
        </w:rPr>
      </w:pPr>
      <w:r>
        <w:rPr>
          <w:rFonts w:hint="eastAsia"/>
          <w:highlight w:val="none"/>
        </w:rPr>
        <w:t>（2）发包人对最终结清申请单内容有异议的，有权要求承包人进行修正和提供补充资料，由承包人向监理人提交修正后的最终结清申请单。</w:t>
      </w:r>
    </w:p>
    <w:p>
      <w:pPr>
        <w:spacing w:line="400" w:lineRule="exact"/>
        <w:ind w:firstLine="420" w:firstLineChars="200"/>
        <w:rPr>
          <w:highlight w:val="none"/>
        </w:rPr>
      </w:pPr>
      <w:r>
        <w:rPr>
          <w:rFonts w:hint="eastAsia"/>
          <w:highlight w:val="none"/>
        </w:rPr>
        <w:t xml:space="preserve">17.6.2 </w:t>
      </w:r>
      <w:r>
        <w:rPr>
          <w:rFonts w:hint="eastAsia" w:ascii="黑体" w:eastAsia="黑体"/>
          <w:highlight w:val="none"/>
        </w:rPr>
        <w:t>最终结清证书和支付时间</w:t>
      </w:r>
    </w:p>
    <w:p>
      <w:pPr>
        <w:spacing w:line="400" w:lineRule="exact"/>
        <w:ind w:firstLine="718" w:firstLineChars="342"/>
        <w:rPr>
          <w:highlight w:val="none"/>
        </w:rPr>
      </w:pPr>
      <w:r>
        <w:rPr>
          <w:rFonts w:hint="eastAsia"/>
          <w:highlight w:val="none"/>
        </w:rPr>
        <w:t>（1）监理人收到承包人提交的最终结清申请单后的14天内，提出发包人应支付给承包人的价款送发包人审核并抄送承包人。发包人应在收到后14天内审核完毕，由监理人向承包人出具经发包人签认的最终结清证书。监理人未在约定时间内核查，又未提出具体意见的，视为承包人提交的最终结清申请已经监理人核查同意；发包人未在约定时间内审核又未提出具体意见的，监理人提出应支付给承包人的价款视为已经发包人同意。</w:t>
      </w:r>
    </w:p>
    <w:p>
      <w:pPr>
        <w:spacing w:line="400" w:lineRule="exact"/>
        <w:ind w:firstLine="718" w:firstLineChars="342"/>
        <w:rPr>
          <w:highlight w:val="none"/>
        </w:rPr>
      </w:pPr>
      <w:r>
        <w:rPr>
          <w:rFonts w:hint="eastAsia"/>
          <w:highlight w:val="none"/>
        </w:rPr>
        <w:t>（2）发包人应在监理人出具最终结清证书后的14天内，将应支付款支付给承包人。发包人不按期支付的，按第17.3.3（2）目的约定，将逾期付款违约金支付给承包人。</w:t>
      </w:r>
    </w:p>
    <w:p>
      <w:pPr>
        <w:spacing w:line="400" w:lineRule="exact"/>
        <w:ind w:firstLine="718" w:firstLineChars="342"/>
        <w:rPr>
          <w:highlight w:val="none"/>
        </w:rPr>
      </w:pPr>
      <w:r>
        <w:rPr>
          <w:rFonts w:hint="eastAsia"/>
          <w:highlight w:val="none"/>
        </w:rPr>
        <w:t>（3）承包人对发包人签认的最终结清证书有异议的，按第24条的约定办理。</w:t>
      </w:r>
    </w:p>
    <w:p>
      <w:pPr>
        <w:spacing w:line="400" w:lineRule="exact"/>
        <w:ind w:firstLine="718" w:firstLineChars="342"/>
        <w:rPr>
          <w:highlight w:val="none"/>
        </w:rPr>
      </w:pPr>
      <w:r>
        <w:rPr>
          <w:rFonts w:hint="eastAsia"/>
          <w:highlight w:val="none"/>
        </w:rPr>
        <w:t>（4）最终结清付款涉及政府投资资金的，按第17.3.3（４）目的约定办理。</w:t>
      </w:r>
    </w:p>
    <w:p>
      <w:pPr>
        <w:pStyle w:val="282"/>
        <w:spacing w:before="0"/>
        <w:outlineLvl w:val="0"/>
        <w:rPr>
          <w:highlight w:val="none"/>
        </w:rPr>
      </w:pPr>
      <w:bookmarkStart w:id="1025" w:name="_Toc338944818"/>
      <w:bookmarkStart w:id="1026" w:name="_Toc434331294"/>
      <w:bookmarkStart w:id="1027" w:name="_Toc342296376"/>
      <w:bookmarkStart w:id="1028" w:name="_Toc10048"/>
      <w:r>
        <w:rPr>
          <w:rFonts w:hint="eastAsia"/>
          <w:highlight w:val="none"/>
        </w:rPr>
        <w:t>18. 竣工验收</w:t>
      </w:r>
      <w:bookmarkEnd w:id="1025"/>
      <w:bookmarkEnd w:id="1026"/>
      <w:bookmarkEnd w:id="1027"/>
      <w:bookmarkEnd w:id="1028"/>
    </w:p>
    <w:p>
      <w:pPr>
        <w:pStyle w:val="199"/>
        <w:outlineLvl w:val="0"/>
        <w:rPr>
          <w:highlight w:val="none"/>
        </w:rPr>
      </w:pPr>
      <w:bookmarkStart w:id="1029" w:name="_Toc179632744"/>
      <w:bookmarkStart w:id="1030" w:name="_Toc342296377"/>
      <w:bookmarkStart w:id="1031" w:name="_Toc434331295"/>
      <w:bookmarkStart w:id="1032" w:name="_Toc144974697"/>
      <w:bookmarkStart w:id="1033" w:name="_Toc13160"/>
      <w:bookmarkStart w:id="1034" w:name="_Toc152045726"/>
      <w:bookmarkStart w:id="1035" w:name="_Toc152042505"/>
      <w:bookmarkStart w:id="1036" w:name="_Toc338944819"/>
      <w:r>
        <w:rPr>
          <w:rFonts w:hint="eastAsia"/>
          <w:highlight w:val="none"/>
        </w:rPr>
        <w:t>18.1 竣工验收的含义</w:t>
      </w:r>
      <w:bookmarkEnd w:id="1029"/>
      <w:bookmarkEnd w:id="1030"/>
      <w:bookmarkEnd w:id="1031"/>
      <w:bookmarkEnd w:id="1032"/>
      <w:bookmarkEnd w:id="1033"/>
      <w:bookmarkEnd w:id="1034"/>
      <w:bookmarkEnd w:id="1035"/>
      <w:bookmarkEnd w:id="1036"/>
    </w:p>
    <w:p>
      <w:pPr>
        <w:spacing w:line="400" w:lineRule="exact"/>
        <w:ind w:firstLine="420" w:firstLineChars="200"/>
        <w:rPr>
          <w:highlight w:val="none"/>
        </w:rPr>
      </w:pPr>
      <w:r>
        <w:rPr>
          <w:rFonts w:hint="eastAsia"/>
          <w:highlight w:val="none"/>
        </w:rPr>
        <w:t>18.1.1 竣工验收指承包人完成了全部合同工作后，发包人按合同要求进行的验收。</w:t>
      </w:r>
    </w:p>
    <w:p>
      <w:pPr>
        <w:spacing w:line="400" w:lineRule="exact"/>
        <w:ind w:firstLine="420" w:firstLineChars="200"/>
        <w:rPr>
          <w:highlight w:val="none"/>
        </w:rPr>
      </w:pPr>
      <w:r>
        <w:rPr>
          <w:rFonts w:hint="eastAsia"/>
          <w:highlight w:val="none"/>
        </w:rPr>
        <w:t>18.1.2 国家验收是政府有关部门根据法律、规范、规程和政策要求，针对发包人全面组织实施的整个工程正式交付投运前的验收。</w:t>
      </w:r>
    </w:p>
    <w:p>
      <w:pPr>
        <w:spacing w:line="400" w:lineRule="exact"/>
        <w:ind w:firstLine="420" w:firstLineChars="200"/>
        <w:rPr>
          <w:highlight w:val="none"/>
        </w:rPr>
      </w:pPr>
      <w:r>
        <w:rPr>
          <w:rFonts w:hint="eastAsia"/>
          <w:highlight w:val="none"/>
        </w:rPr>
        <w:t xml:space="preserve">18.1.3 需要进行国家验收的，竣工验收是国家验收的一部分。竣工验收所采用的各项验收和评定标准应符合国家验收标准。发包人和承包人为竣工验收提供的各项竣工验收资料应符合国家验收的要求。 </w:t>
      </w:r>
    </w:p>
    <w:p>
      <w:pPr>
        <w:pStyle w:val="199"/>
        <w:outlineLvl w:val="0"/>
        <w:rPr>
          <w:highlight w:val="none"/>
        </w:rPr>
      </w:pPr>
      <w:bookmarkStart w:id="1037" w:name="_Toc342296378"/>
      <w:bookmarkStart w:id="1038" w:name="_Toc434331296"/>
      <w:bookmarkStart w:id="1039" w:name="_Toc3801"/>
      <w:bookmarkStart w:id="1040" w:name="_Toc338944820"/>
      <w:r>
        <w:rPr>
          <w:rFonts w:hint="eastAsia"/>
          <w:highlight w:val="none"/>
        </w:rPr>
        <w:t>18.2 竣工验收申请报告</w:t>
      </w:r>
      <w:bookmarkEnd w:id="1037"/>
      <w:bookmarkEnd w:id="1038"/>
      <w:bookmarkEnd w:id="1039"/>
      <w:bookmarkEnd w:id="1040"/>
    </w:p>
    <w:p>
      <w:pPr>
        <w:spacing w:line="400" w:lineRule="exact"/>
        <w:ind w:firstLine="420" w:firstLineChars="200"/>
        <w:rPr>
          <w:highlight w:val="none"/>
        </w:rPr>
      </w:pPr>
      <w:r>
        <w:rPr>
          <w:rFonts w:hint="eastAsia"/>
          <w:highlight w:val="none"/>
        </w:rPr>
        <w:t>当工程具备以下条件时，承包人即可向监理人报送竣工验收申请报告：</w:t>
      </w:r>
    </w:p>
    <w:p>
      <w:pPr>
        <w:spacing w:line="400" w:lineRule="exact"/>
        <w:ind w:firstLine="359" w:firstLineChars="171"/>
        <w:rPr>
          <w:highlight w:val="none"/>
        </w:rPr>
      </w:pPr>
      <w:r>
        <w:rPr>
          <w:rFonts w:hint="eastAsia"/>
          <w:highlight w:val="none"/>
        </w:rPr>
        <w:t>（1）除监理人同意列入缺陷责任期内完成的尾工（甩项）工程和缺陷修补工作外，合同范围内的全部单位工程以及有关工作，包括合同要求的试验、试运行以及检验和验收均已完成，并符合合同要求；</w:t>
      </w:r>
    </w:p>
    <w:p>
      <w:pPr>
        <w:spacing w:line="400" w:lineRule="exact"/>
        <w:ind w:firstLine="359" w:firstLineChars="171"/>
        <w:rPr>
          <w:highlight w:val="none"/>
        </w:rPr>
      </w:pPr>
      <w:r>
        <w:rPr>
          <w:rFonts w:hint="eastAsia"/>
          <w:highlight w:val="none"/>
        </w:rPr>
        <w:t xml:space="preserve">（2）已按合同约定的内容和份数备齐了符合要求的竣工资料； </w:t>
      </w:r>
    </w:p>
    <w:p>
      <w:pPr>
        <w:spacing w:line="400" w:lineRule="exact"/>
        <w:ind w:firstLine="359" w:firstLineChars="171"/>
        <w:rPr>
          <w:highlight w:val="none"/>
        </w:rPr>
      </w:pPr>
      <w:r>
        <w:rPr>
          <w:rFonts w:hint="eastAsia"/>
          <w:highlight w:val="none"/>
        </w:rPr>
        <w:t>（3）已按监理人的要求编制了在缺陷责任期内完成的尾工（甩项）工程和缺陷修补工作清单以及相应施工计划；</w:t>
      </w:r>
    </w:p>
    <w:p>
      <w:pPr>
        <w:spacing w:line="400" w:lineRule="exact"/>
        <w:ind w:firstLine="359" w:firstLineChars="171"/>
        <w:rPr>
          <w:highlight w:val="none"/>
        </w:rPr>
      </w:pPr>
      <w:r>
        <w:rPr>
          <w:rFonts w:hint="eastAsia"/>
          <w:highlight w:val="none"/>
        </w:rPr>
        <w:t>（4）监理人要求在竣工验收前应完成的其他工作；</w:t>
      </w:r>
    </w:p>
    <w:p>
      <w:pPr>
        <w:spacing w:line="400" w:lineRule="exact"/>
        <w:ind w:firstLine="359" w:firstLineChars="171"/>
        <w:rPr>
          <w:highlight w:val="none"/>
        </w:rPr>
      </w:pPr>
      <w:r>
        <w:rPr>
          <w:rFonts w:hint="eastAsia"/>
          <w:highlight w:val="none"/>
        </w:rPr>
        <w:t>（5）监理人要求提交的竣工验收资料清单。</w:t>
      </w:r>
    </w:p>
    <w:p>
      <w:pPr>
        <w:pStyle w:val="199"/>
        <w:outlineLvl w:val="0"/>
        <w:rPr>
          <w:highlight w:val="none"/>
        </w:rPr>
      </w:pPr>
      <w:bookmarkStart w:id="1041" w:name="_Toc338944821"/>
      <w:bookmarkStart w:id="1042" w:name="_Toc20735"/>
      <w:bookmarkStart w:id="1043" w:name="_Toc342296379"/>
      <w:bookmarkStart w:id="1044" w:name="_Toc434331297"/>
      <w:r>
        <w:rPr>
          <w:rFonts w:hint="eastAsia"/>
          <w:highlight w:val="none"/>
        </w:rPr>
        <w:t>18.3 验收</w:t>
      </w:r>
      <w:bookmarkEnd w:id="1041"/>
      <w:bookmarkEnd w:id="1042"/>
      <w:bookmarkEnd w:id="1043"/>
      <w:bookmarkEnd w:id="1044"/>
    </w:p>
    <w:p>
      <w:pPr>
        <w:spacing w:line="400" w:lineRule="exact"/>
        <w:ind w:firstLine="420" w:firstLineChars="200"/>
        <w:rPr>
          <w:highlight w:val="none"/>
        </w:rPr>
      </w:pPr>
      <w:r>
        <w:rPr>
          <w:rFonts w:hint="eastAsia"/>
          <w:highlight w:val="none"/>
        </w:rPr>
        <w:t>监理人收到承包人按第18.2款约定提交的竣工验收申请报告后，应审查申请报告的各项内容，并按以下不同情况进行处理。</w:t>
      </w:r>
    </w:p>
    <w:p>
      <w:pPr>
        <w:spacing w:line="400" w:lineRule="exact"/>
        <w:ind w:firstLine="420" w:firstLineChars="200"/>
        <w:rPr>
          <w:highlight w:val="none"/>
        </w:rPr>
      </w:pPr>
      <w:r>
        <w:rPr>
          <w:rFonts w:hint="eastAsia"/>
          <w:highlight w:val="none"/>
        </w:rPr>
        <w:t>18.3.1 监理人审查后认为尚不具备竣工验收条件的，应在收到竣工验收申请报告后的28天内通知承包人，指出在颁发接收证书前承包人还需进行的工作内容。承包人完成监理人通知的全部工作内容后，应再次提交竣工验收申请报告，直至监理人同意为止。</w:t>
      </w:r>
    </w:p>
    <w:p>
      <w:pPr>
        <w:spacing w:line="400" w:lineRule="exact"/>
        <w:ind w:firstLine="420" w:firstLineChars="200"/>
        <w:rPr>
          <w:highlight w:val="none"/>
        </w:rPr>
      </w:pPr>
      <w:r>
        <w:rPr>
          <w:rFonts w:hint="eastAsia"/>
          <w:highlight w:val="none"/>
        </w:rPr>
        <w:t>18.3.2 监理人审查后认为已具备竣工验收条件的，应在收到竣工验收申请报告后的28天内提请发包人进行工程验收。</w:t>
      </w:r>
    </w:p>
    <w:p>
      <w:pPr>
        <w:spacing w:line="400" w:lineRule="exact"/>
        <w:ind w:firstLine="420" w:firstLineChars="200"/>
        <w:rPr>
          <w:highlight w:val="none"/>
        </w:rPr>
      </w:pPr>
      <w:r>
        <w:rPr>
          <w:rFonts w:hint="eastAsia"/>
          <w:highlight w:val="none"/>
        </w:rPr>
        <w:t>18.3.3发包人经过验收后同意接受工程的，应在监理人收到竣工验收申请报告后的56天内，由监理人向承包人出具经发包人签认的工程接收证书。发包人验收后同意接收工程但提出整修和完善要求的，限期修好，并缓发工程接收证书。整修和完善工作完成后，监理人复查达到要求的，经发包人同意后，再向承包人出具工程接收证书。</w:t>
      </w:r>
    </w:p>
    <w:p>
      <w:pPr>
        <w:spacing w:line="400" w:lineRule="exact"/>
        <w:ind w:firstLine="420" w:firstLineChars="200"/>
        <w:rPr>
          <w:highlight w:val="none"/>
        </w:rPr>
      </w:pPr>
      <w:r>
        <w:rPr>
          <w:rFonts w:hint="eastAsia"/>
          <w:highlight w:val="none"/>
        </w:rPr>
        <w:t>18.3.4 发包人验收后不同意接收工程的，监理人应按照发包人的验收意见发出指示，要求承包人对不合格工程认真返工重作或进行补救处理，并承担由此产生的费用。承包人在完成不合格工程的返工重作或补救工作后，应重新提交竣工验收申请报告，按第18.3.1项、第18.3.2项和第18.3.3项的约定进行。</w:t>
      </w:r>
    </w:p>
    <w:p>
      <w:pPr>
        <w:spacing w:line="400" w:lineRule="exact"/>
        <w:ind w:firstLine="420" w:firstLineChars="200"/>
        <w:rPr>
          <w:highlight w:val="none"/>
        </w:rPr>
      </w:pPr>
      <w:r>
        <w:rPr>
          <w:rFonts w:hint="eastAsia"/>
          <w:highlight w:val="none"/>
        </w:rPr>
        <w:t>18.3.5 除专用合同条款另有约定外，经验收合格工程的实际竣工日期，以提交竣工验收申请报告的日期为准，并在工程接收证书中写明。</w:t>
      </w:r>
    </w:p>
    <w:p>
      <w:pPr>
        <w:spacing w:line="400" w:lineRule="exact"/>
        <w:ind w:firstLine="420" w:firstLineChars="200"/>
        <w:rPr>
          <w:highlight w:val="none"/>
        </w:rPr>
      </w:pPr>
      <w:r>
        <w:rPr>
          <w:rFonts w:hint="eastAsia"/>
          <w:highlight w:val="none"/>
        </w:rPr>
        <w:t>18.3.6 发包人在收到承包人竣工验收申请报告56天后未进行验收的，视为验收合格，实际竣工日期以提交竣工验收申请报告的日期为准，但发包人由于不可抗力不能进行验收的除外。</w:t>
      </w:r>
    </w:p>
    <w:p>
      <w:pPr>
        <w:pStyle w:val="199"/>
        <w:outlineLvl w:val="0"/>
        <w:rPr>
          <w:highlight w:val="none"/>
        </w:rPr>
      </w:pPr>
      <w:bookmarkStart w:id="1045" w:name="_Toc434331298"/>
      <w:bookmarkStart w:id="1046" w:name="_Toc144974700"/>
      <w:bookmarkStart w:id="1047" w:name="_Toc338944822"/>
      <w:bookmarkStart w:id="1048" w:name="_Toc152045729"/>
      <w:bookmarkStart w:id="1049" w:name="_Toc152042508"/>
      <w:bookmarkStart w:id="1050" w:name="_Toc179632747"/>
      <w:bookmarkStart w:id="1051" w:name="_Toc342296380"/>
      <w:bookmarkStart w:id="1052" w:name="_Toc20622"/>
      <w:r>
        <w:rPr>
          <w:rFonts w:hint="eastAsia"/>
          <w:highlight w:val="none"/>
        </w:rPr>
        <w:t>18.4 单位工程验收</w:t>
      </w:r>
      <w:bookmarkEnd w:id="1045"/>
      <w:bookmarkEnd w:id="1046"/>
      <w:bookmarkEnd w:id="1047"/>
      <w:bookmarkEnd w:id="1048"/>
      <w:bookmarkEnd w:id="1049"/>
      <w:bookmarkEnd w:id="1050"/>
      <w:bookmarkEnd w:id="1051"/>
      <w:bookmarkEnd w:id="1052"/>
    </w:p>
    <w:p>
      <w:pPr>
        <w:spacing w:line="400" w:lineRule="exact"/>
        <w:ind w:firstLine="420" w:firstLineChars="200"/>
        <w:rPr>
          <w:highlight w:val="none"/>
        </w:rPr>
      </w:pPr>
      <w:r>
        <w:rPr>
          <w:rFonts w:hint="eastAsia"/>
          <w:highlight w:val="none"/>
        </w:rPr>
        <w:t>18.4.1 发包人根据合同进度计划安排，在全部工程竣工前需要使用已经竣工的单位工程时，或承包人提出经发包人同意时，可进行单位工程验收。验收的程序可参照第18.2款与第18.3款的约定进行。验收合格后，由监理人向承包人出具经发包人签认的单位工程验收证书。已签发单位工程接收证书的单位工程由发包人负责照管。单位工程的验收成果和结论作为全部工程竣工验收申请报告的附件。</w:t>
      </w:r>
    </w:p>
    <w:p>
      <w:pPr>
        <w:spacing w:line="400" w:lineRule="exact"/>
        <w:ind w:firstLine="420" w:firstLineChars="200"/>
        <w:rPr>
          <w:highlight w:val="none"/>
        </w:rPr>
      </w:pPr>
      <w:r>
        <w:rPr>
          <w:rFonts w:hint="eastAsia"/>
          <w:highlight w:val="none"/>
        </w:rPr>
        <w:t>18.4.2 发包人在全部工程竣工前，使用已接收的单位工程导致承包人费用增加的，发包人应承担由此增加的费用和（或）工期延误，并支付承包人合理利润。</w:t>
      </w:r>
    </w:p>
    <w:p>
      <w:pPr>
        <w:pStyle w:val="199"/>
        <w:outlineLvl w:val="0"/>
        <w:rPr>
          <w:highlight w:val="none"/>
        </w:rPr>
      </w:pPr>
      <w:bookmarkStart w:id="1053" w:name="_Toc338944823"/>
      <w:bookmarkStart w:id="1054" w:name="_Toc30093"/>
      <w:bookmarkStart w:id="1055" w:name="_Toc342296381"/>
      <w:bookmarkStart w:id="1056" w:name="_Toc434331299"/>
      <w:r>
        <w:rPr>
          <w:rFonts w:hint="eastAsia"/>
          <w:highlight w:val="none"/>
        </w:rPr>
        <w:t>18.5 施工期运行</w:t>
      </w:r>
      <w:bookmarkEnd w:id="1053"/>
      <w:bookmarkEnd w:id="1054"/>
      <w:bookmarkEnd w:id="1055"/>
      <w:bookmarkEnd w:id="1056"/>
    </w:p>
    <w:p>
      <w:pPr>
        <w:spacing w:line="400" w:lineRule="exact"/>
        <w:ind w:firstLine="420" w:firstLineChars="200"/>
        <w:rPr>
          <w:highlight w:val="none"/>
        </w:rPr>
      </w:pPr>
      <w:r>
        <w:rPr>
          <w:rFonts w:hint="eastAsia"/>
          <w:highlight w:val="none"/>
        </w:rPr>
        <w:t>18.5.1 施工期运行是指合同工程尚未全部竣工，其中某项或某几项单位工程或工程设备安装已竣工，根据专用合同条款约定，需要投入施工期运行的，经发包人按第18.4款的约定验收合格，证明能确保安全后，才能在施工期投入运行。</w:t>
      </w:r>
    </w:p>
    <w:p>
      <w:pPr>
        <w:spacing w:line="400" w:lineRule="exact"/>
        <w:ind w:firstLine="420" w:firstLineChars="200"/>
        <w:rPr>
          <w:highlight w:val="none"/>
        </w:rPr>
      </w:pPr>
      <w:r>
        <w:rPr>
          <w:rFonts w:hint="eastAsia"/>
          <w:highlight w:val="none"/>
        </w:rPr>
        <w:t>18.5.2 在施工期运行中发现工程或工程设备损坏或存在缺陷的，由承包人按第19.2款约定进行修复。</w:t>
      </w:r>
    </w:p>
    <w:p>
      <w:pPr>
        <w:pStyle w:val="199"/>
        <w:outlineLvl w:val="0"/>
        <w:rPr>
          <w:highlight w:val="none"/>
        </w:rPr>
      </w:pPr>
      <w:bookmarkStart w:id="1057" w:name="_Toc31358"/>
      <w:bookmarkStart w:id="1058" w:name="_Toc338944824"/>
      <w:bookmarkStart w:id="1059" w:name="_Toc434331300"/>
      <w:bookmarkStart w:id="1060" w:name="_Toc342296382"/>
      <w:r>
        <w:rPr>
          <w:rFonts w:hint="eastAsia"/>
          <w:highlight w:val="none"/>
        </w:rPr>
        <w:t>18.6 试运行</w:t>
      </w:r>
      <w:bookmarkEnd w:id="1057"/>
      <w:bookmarkEnd w:id="1058"/>
      <w:bookmarkEnd w:id="1059"/>
      <w:bookmarkEnd w:id="1060"/>
    </w:p>
    <w:p>
      <w:pPr>
        <w:spacing w:line="400" w:lineRule="exact"/>
        <w:ind w:firstLine="420" w:firstLineChars="200"/>
        <w:rPr>
          <w:highlight w:val="none"/>
        </w:rPr>
      </w:pPr>
      <w:r>
        <w:rPr>
          <w:rFonts w:hint="eastAsia"/>
          <w:highlight w:val="none"/>
        </w:rPr>
        <w:t>18.6.1 除专用合同条款另有约定外，承包人应按专用合同条款约定进行工程及工程设备试运行，负责提供试运行所需的人员、器材和必要的条件，并承担全部试运行费用。</w:t>
      </w:r>
    </w:p>
    <w:p>
      <w:pPr>
        <w:spacing w:line="400" w:lineRule="exact"/>
        <w:ind w:firstLine="420" w:firstLineChars="200"/>
        <w:rPr>
          <w:highlight w:val="none"/>
        </w:rPr>
      </w:pPr>
      <w:r>
        <w:rPr>
          <w:rFonts w:hint="eastAsia"/>
          <w:highlight w:val="none"/>
        </w:rPr>
        <w:t>18.6.2 由于承包人的原因导致试运行失败的，承包人应采取措施保证试运行合格，并承担相应费用。由于发包人的原因导致试运行失败的，承包人应当采取措施保证试运行合格，发包人应承担由此产生的费用，并支付承包人合理利润。</w:t>
      </w:r>
    </w:p>
    <w:p>
      <w:pPr>
        <w:pStyle w:val="199"/>
        <w:outlineLvl w:val="0"/>
        <w:rPr>
          <w:highlight w:val="none"/>
        </w:rPr>
      </w:pPr>
      <w:bookmarkStart w:id="1061" w:name="_Toc342296383"/>
      <w:bookmarkStart w:id="1062" w:name="_Toc13069"/>
      <w:bookmarkStart w:id="1063" w:name="_Toc338944825"/>
      <w:bookmarkStart w:id="1064" w:name="_Toc434331301"/>
      <w:r>
        <w:rPr>
          <w:rFonts w:hint="eastAsia"/>
          <w:highlight w:val="none"/>
        </w:rPr>
        <w:t>18.7 竣工清场</w:t>
      </w:r>
      <w:bookmarkEnd w:id="1061"/>
      <w:bookmarkEnd w:id="1062"/>
      <w:bookmarkEnd w:id="1063"/>
      <w:bookmarkEnd w:id="1064"/>
    </w:p>
    <w:p>
      <w:pPr>
        <w:spacing w:line="400" w:lineRule="exact"/>
        <w:ind w:firstLine="420" w:firstLineChars="200"/>
        <w:rPr>
          <w:highlight w:val="none"/>
        </w:rPr>
      </w:pPr>
      <w:r>
        <w:rPr>
          <w:rFonts w:hint="eastAsia"/>
          <w:highlight w:val="none"/>
        </w:rPr>
        <w:t>18.7.1 除合同另有约定外，工程接收证书颁发后，承包人应按以下要求对施工场地进行清理，直至监理人检验合格为止。竣工清场费用由承包人承担。</w:t>
      </w:r>
    </w:p>
    <w:p>
      <w:pPr>
        <w:spacing w:line="400" w:lineRule="exact"/>
        <w:ind w:firstLine="718" w:firstLineChars="342"/>
        <w:rPr>
          <w:highlight w:val="none"/>
        </w:rPr>
      </w:pPr>
      <w:r>
        <w:rPr>
          <w:rFonts w:hint="eastAsia"/>
          <w:highlight w:val="none"/>
        </w:rPr>
        <w:t>（1）施工场地内残留的垃圾已全部清除出场；</w:t>
      </w:r>
    </w:p>
    <w:p>
      <w:pPr>
        <w:spacing w:line="400" w:lineRule="exact"/>
        <w:ind w:firstLine="718" w:firstLineChars="342"/>
        <w:rPr>
          <w:highlight w:val="none"/>
        </w:rPr>
      </w:pPr>
      <w:r>
        <w:rPr>
          <w:rFonts w:hint="eastAsia"/>
          <w:highlight w:val="none"/>
        </w:rPr>
        <w:t>（2）临时工程已拆除，场地已按合同要求进行清理、平整或复原；</w:t>
      </w:r>
    </w:p>
    <w:p>
      <w:pPr>
        <w:spacing w:line="400" w:lineRule="exact"/>
        <w:ind w:firstLine="718" w:firstLineChars="342"/>
        <w:rPr>
          <w:highlight w:val="none"/>
        </w:rPr>
      </w:pPr>
      <w:r>
        <w:rPr>
          <w:rFonts w:hint="eastAsia"/>
          <w:highlight w:val="none"/>
        </w:rPr>
        <w:t>（3）按合同约定应撤离的承包人设备和剩余的材料，包括废弃的施工设备和材料，已按计划撤离施工场地；</w:t>
      </w:r>
    </w:p>
    <w:p>
      <w:pPr>
        <w:spacing w:line="400" w:lineRule="exact"/>
        <w:ind w:firstLine="718" w:firstLineChars="342"/>
        <w:rPr>
          <w:highlight w:val="none"/>
        </w:rPr>
      </w:pPr>
      <w:r>
        <w:rPr>
          <w:rFonts w:hint="eastAsia"/>
          <w:highlight w:val="none"/>
        </w:rPr>
        <w:t>（4）工程建筑物周边及其附近道路、河道的施工堆积物，已按监理人指示全部清理；</w:t>
      </w:r>
    </w:p>
    <w:p>
      <w:pPr>
        <w:spacing w:line="400" w:lineRule="exact"/>
        <w:ind w:firstLine="718" w:firstLineChars="342"/>
        <w:rPr>
          <w:highlight w:val="none"/>
        </w:rPr>
      </w:pPr>
      <w:r>
        <w:rPr>
          <w:rFonts w:hint="eastAsia"/>
          <w:highlight w:val="none"/>
        </w:rPr>
        <w:t>（5）监理人指示的其他场地清理工作已全部完成。</w:t>
      </w:r>
    </w:p>
    <w:p>
      <w:pPr>
        <w:spacing w:line="400" w:lineRule="exact"/>
        <w:ind w:firstLine="420" w:firstLineChars="200"/>
        <w:rPr>
          <w:highlight w:val="none"/>
        </w:rPr>
      </w:pPr>
      <w:r>
        <w:rPr>
          <w:rFonts w:hint="eastAsia"/>
          <w:highlight w:val="none"/>
        </w:rPr>
        <w:t>18.7.2 承包人未按监理人的要求恢复临时占地，或者场地清理未达到合同约定的，发包人有权委托其他人恢复或清理，所发生的金额从拟支付给承包人的款项中扣除。</w:t>
      </w:r>
    </w:p>
    <w:p>
      <w:pPr>
        <w:pStyle w:val="199"/>
        <w:outlineLvl w:val="0"/>
        <w:rPr>
          <w:highlight w:val="none"/>
        </w:rPr>
      </w:pPr>
      <w:bookmarkStart w:id="1065" w:name="_Toc338944826"/>
      <w:bookmarkStart w:id="1066" w:name="_Toc342296384"/>
      <w:bookmarkStart w:id="1067" w:name="_Toc2472"/>
      <w:bookmarkStart w:id="1068" w:name="_Toc434331302"/>
      <w:r>
        <w:rPr>
          <w:rFonts w:hint="eastAsia"/>
          <w:highlight w:val="none"/>
        </w:rPr>
        <w:t>18.8 施工队伍的撤离</w:t>
      </w:r>
      <w:bookmarkEnd w:id="1065"/>
      <w:bookmarkEnd w:id="1066"/>
      <w:bookmarkEnd w:id="1067"/>
      <w:bookmarkEnd w:id="1068"/>
    </w:p>
    <w:p>
      <w:pPr>
        <w:spacing w:line="400" w:lineRule="exact"/>
        <w:ind w:firstLine="420" w:firstLineChars="200"/>
        <w:rPr>
          <w:highlight w:val="none"/>
        </w:rPr>
      </w:pPr>
      <w:r>
        <w:rPr>
          <w:rFonts w:hint="eastAsia"/>
          <w:highlight w:val="none"/>
        </w:rPr>
        <w:t>工程接收证书颁发后的56天内，除了经监理人同意需在缺陷责任期内继续工作和使用的人员、施工设备和临时工程外，其余的人员、施工设备和临时工程均应撤离施工场地或拆除。除合同另有约定外，缺陷责任期满时，承包人的人员和施工设备应全部撤离施工场地。</w:t>
      </w:r>
    </w:p>
    <w:p>
      <w:pPr>
        <w:pStyle w:val="282"/>
        <w:spacing w:before="0"/>
        <w:outlineLvl w:val="0"/>
        <w:rPr>
          <w:highlight w:val="none"/>
        </w:rPr>
      </w:pPr>
      <w:bookmarkStart w:id="1069" w:name="_Toc338944827"/>
      <w:bookmarkStart w:id="1070" w:name="_Toc16816"/>
      <w:bookmarkStart w:id="1071" w:name="_Toc434331303"/>
      <w:bookmarkStart w:id="1072" w:name="_Toc342296385"/>
      <w:r>
        <w:rPr>
          <w:rFonts w:hint="eastAsia"/>
          <w:highlight w:val="none"/>
        </w:rPr>
        <w:t>19. 缺陷责任与保修责任</w:t>
      </w:r>
      <w:bookmarkEnd w:id="1069"/>
      <w:bookmarkEnd w:id="1070"/>
      <w:bookmarkEnd w:id="1071"/>
      <w:bookmarkEnd w:id="1072"/>
    </w:p>
    <w:p>
      <w:pPr>
        <w:pStyle w:val="199"/>
        <w:outlineLvl w:val="0"/>
        <w:rPr>
          <w:highlight w:val="none"/>
        </w:rPr>
      </w:pPr>
      <w:bookmarkStart w:id="1073" w:name="_Toc28668"/>
      <w:bookmarkStart w:id="1074" w:name="_Toc152042514"/>
      <w:bookmarkStart w:id="1075" w:name="_Toc342296386"/>
      <w:bookmarkStart w:id="1076" w:name="_Toc152045735"/>
      <w:bookmarkStart w:id="1077" w:name="_Toc434331304"/>
      <w:bookmarkStart w:id="1078" w:name="_Toc338944828"/>
      <w:bookmarkStart w:id="1079" w:name="_Toc144974706"/>
      <w:bookmarkStart w:id="1080" w:name="_Toc179632753"/>
      <w:r>
        <w:rPr>
          <w:rFonts w:hint="eastAsia"/>
          <w:highlight w:val="none"/>
        </w:rPr>
        <w:t>19.1 缺陷责任期的起算时间</w:t>
      </w:r>
      <w:bookmarkEnd w:id="1073"/>
      <w:bookmarkEnd w:id="1074"/>
      <w:bookmarkEnd w:id="1075"/>
      <w:bookmarkEnd w:id="1076"/>
      <w:bookmarkEnd w:id="1077"/>
      <w:bookmarkEnd w:id="1078"/>
      <w:bookmarkEnd w:id="1079"/>
      <w:bookmarkEnd w:id="1080"/>
    </w:p>
    <w:p>
      <w:pPr>
        <w:spacing w:line="400" w:lineRule="exact"/>
        <w:ind w:firstLine="420" w:firstLineChars="200"/>
        <w:rPr>
          <w:highlight w:val="none"/>
        </w:rPr>
      </w:pPr>
      <w:r>
        <w:rPr>
          <w:rFonts w:hint="eastAsia"/>
          <w:highlight w:val="none"/>
        </w:rPr>
        <w:t>缺陷责任期自实际竣工日期起计算。在全部工程竣工验收前，已经发包人提前验收的单位工程，其缺陷责任期的起算日期相应提前。</w:t>
      </w:r>
    </w:p>
    <w:p>
      <w:pPr>
        <w:pStyle w:val="199"/>
        <w:outlineLvl w:val="0"/>
        <w:rPr>
          <w:highlight w:val="none"/>
        </w:rPr>
      </w:pPr>
      <w:bookmarkStart w:id="1081" w:name="_Toc1057"/>
      <w:bookmarkStart w:id="1082" w:name="_Toc179632754"/>
      <w:bookmarkStart w:id="1083" w:name="_Toc152045736"/>
      <w:bookmarkStart w:id="1084" w:name="_Toc338944829"/>
      <w:bookmarkStart w:id="1085" w:name="_Toc144974707"/>
      <w:bookmarkStart w:id="1086" w:name="_Toc342296387"/>
      <w:bookmarkStart w:id="1087" w:name="_Toc434331305"/>
      <w:bookmarkStart w:id="1088" w:name="_Toc152042515"/>
      <w:r>
        <w:rPr>
          <w:rFonts w:hint="eastAsia"/>
          <w:highlight w:val="none"/>
        </w:rPr>
        <w:t>19.2 缺陷责任</w:t>
      </w:r>
      <w:bookmarkEnd w:id="1081"/>
      <w:bookmarkEnd w:id="1082"/>
      <w:bookmarkEnd w:id="1083"/>
      <w:bookmarkEnd w:id="1084"/>
      <w:bookmarkEnd w:id="1085"/>
      <w:bookmarkEnd w:id="1086"/>
      <w:bookmarkEnd w:id="1087"/>
      <w:bookmarkEnd w:id="1088"/>
    </w:p>
    <w:p>
      <w:pPr>
        <w:spacing w:line="400" w:lineRule="exact"/>
        <w:ind w:firstLine="420" w:firstLineChars="200"/>
        <w:rPr>
          <w:highlight w:val="none"/>
        </w:rPr>
      </w:pPr>
      <w:r>
        <w:rPr>
          <w:rFonts w:hint="eastAsia"/>
          <w:highlight w:val="none"/>
        </w:rPr>
        <w:t>19.2.1 承包人应在缺陷责任期内对已交付使用的工程承担缺陷责任。</w:t>
      </w:r>
    </w:p>
    <w:p>
      <w:pPr>
        <w:spacing w:line="400" w:lineRule="exact"/>
        <w:ind w:firstLine="420" w:firstLineChars="200"/>
        <w:rPr>
          <w:highlight w:val="none"/>
        </w:rPr>
      </w:pPr>
      <w:r>
        <w:rPr>
          <w:rFonts w:hint="eastAsia"/>
          <w:highlight w:val="none"/>
        </w:rPr>
        <w:t>19.2.2 缺陷责任期内，发包人对已接收使用的工程负责日常维护工作。发包人在使用过程中，发现已接收的工程存在新的缺陷或已修复的缺陷部位或部件又遭损坏的，承包人应负责修复，直至检验合格为止。</w:t>
      </w:r>
    </w:p>
    <w:p>
      <w:pPr>
        <w:spacing w:line="400" w:lineRule="exact"/>
        <w:ind w:firstLine="420" w:firstLineChars="200"/>
        <w:rPr>
          <w:highlight w:val="none"/>
        </w:rPr>
      </w:pPr>
      <w:r>
        <w:rPr>
          <w:rFonts w:hint="eastAsia"/>
          <w:highlight w:val="none"/>
        </w:rPr>
        <w:t>19.2.3 监理人和承包人应共同查清缺陷和（或）损坏的原因。经查明属承包人原因造成的，应由承包人承担修复和查验的费用。经查验属发包人原因造成的，发包人应承担修复和查验的费用，并支付承包人合理利润。</w:t>
      </w:r>
    </w:p>
    <w:p>
      <w:pPr>
        <w:spacing w:line="400" w:lineRule="exact"/>
        <w:ind w:firstLine="420" w:firstLineChars="200"/>
        <w:rPr>
          <w:highlight w:val="none"/>
        </w:rPr>
      </w:pPr>
      <w:r>
        <w:rPr>
          <w:rFonts w:hint="eastAsia"/>
          <w:highlight w:val="none"/>
        </w:rPr>
        <w:t>19.2.4 承包人不能在合理时间内修复缺陷的，发包人可自行修复或委托其他人修复，所需费用和利润的承担，按第19.2.3项约定办理。</w:t>
      </w:r>
    </w:p>
    <w:p>
      <w:pPr>
        <w:pStyle w:val="199"/>
        <w:outlineLvl w:val="0"/>
        <w:rPr>
          <w:highlight w:val="none"/>
        </w:rPr>
      </w:pPr>
      <w:bookmarkStart w:id="1089" w:name="_Toc152042516"/>
      <w:bookmarkStart w:id="1090" w:name="_Toc434331306"/>
      <w:bookmarkStart w:id="1091" w:name="_Toc338944830"/>
      <w:bookmarkStart w:id="1092" w:name="_Toc17419"/>
      <w:bookmarkStart w:id="1093" w:name="_Toc152045737"/>
      <w:bookmarkStart w:id="1094" w:name="_Toc342296388"/>
      <w:bookmarkStart w:id="1095" w:name="_Toc179632755"/>
      <w:bookmarkStart w:id="1096" w:name="_Toc144974708"/>
      <w:r>
        <w:rPr>
          <w:rFonts w:hint="eastAsia"/>
          <w:highlight w:val="none"/>
        </w:rPr>
        <w:t>19.3 缺陷责任期的延长</w:t>
      </w:r>
      <w:bookmarkEnd w:id="1089"/>
      <w:bookmarkEnd w:id="1090"/>
      <w:bookmarkEnd w:id="1091"/>
      <w:bookmarkEnd w:id="1092"/>
      <w:bookmarkEnd w:id="1093"/>
      <w:bookmarkEnd w:id="1094"/>
      <w:bookmarkEnd w:id="1095"/>
      <w:bookmarkEnd w:id="1096"/>
    </w:p>
    <w:p>
      <w:pPr>
        <w:spacing w:line="400" w:lineRule="exact"/>
        <w:ind w:firstLine="420" w:firstLineChars="200"/>
        <w:rPr>
          <w:highlight w:val="none"/>
        </w:rPr>
      </w:pPr>
      <w:r>
        <w:rPr>
          <w:rFonts w:hint="eastAsia"/>
          <w:highlight w:val="none"/>
        </w:rPr>
        <w:t>由于承包人原因造成某项缺陷或损坏使某项工程或工程设备不能按原定目标使用而需要再次检查、检验和修复的，发包人有权要求承包人相应延长缺陷责任期，但缺陷责任期最长不超过2年。</w:t>
      </w:r>
    </w:p>
    <w:p>
      <w:pPr>
        <w:pStyle w:val="199"/>
        <w:outlineLvl w:val="0"/>
        <w:rPr>
          <w:highlight w:val="none"/>
        </w:rPr>
      </w:pPr>
      <w:bookmarkStart w:id="1097" w:name="_Toc179632756"/>
      <w:bookmarkStart w:id="1098" w:name="_Toc342296389"/>
      <w:bookmarkStart w:id="1099" w:name="_Toc152045738"/>
      <w:bookmarkStart w:id="1100" w:name="_Toc17137"/>
      <w:bookmarkStart w:id="1101" w:name="_Toc338944831"/>
      <w:bookmarkStart w:id="1102" w:name="_Toc144974709"/>
      <w:bookmarkStart w:id="1103" w:name="_Toc434331307"/>
      <w:bookmarkStart w:id="1104" w:name="_Toc152042517"/>
      <w:r>
        <w:rPr>
          <w:rFonts w:hint="eastAsia"/>
          <w:highlight w:val="none"/>
        </w:rPr>
        <w:t>19.4 进一步试验和试运行</w:t>
      </w:r>
      <w:bookmarkEnd w:id="1097"/>
      <w:bookmarkEnd w:id="1098"/>
      <w:bookmarkEnd w:id="1099"/>
      <w:bookmarkEnd w:id="1100"/>
      <w:bookmarkEnd w:id="1101"/>
      <w:bookmarkEnd w:id="1102"/>
      <w:bookmarkEnd w:id="1103"/>
      <w:bookmarkEnd w:id="1104"/>
    </w:p>
    <w:p>
      <w:pPr>
        <w:spacing w:line="400" w:lineRule="exact"/>
        <w:ind w:firstLine="420" w:firstLineChars="200"/>
        <w:rPr>
          <w:highlight w:val="none"/>
        </w:rPr>
      </w:pPr>
      <w:r>
        <w:rPr>
          <w:rFonts w:hint="eastAsia"/>
          <w:highlight w:val="none"/>
        </w:rPr>
        <w:t>任何一项缺陷或损坏修复后，经检查证明其影响了工程或工程设备的使用性能，承包人应重新进行合同约定的试验和试运行，试验和试运行的全部费用应由责任方承担。</w:t>
      </w:r>
    </w:p>
    <w:p>
      <w:pPr>
        <w:pStyle w:val="199"/>
        <w:outlineLvl w:val="0"/>
        <w:rPr>
          <w:highlight w:val="none"/>
        </w:rPr>
      </w:pPr>
      <w:bookmarkStart w:id="1105" w:name="_Toc12096"/>
      <w:bookmarkStart w:id="1106" w:name="_Toc179632757"/>
      <w:bookmarkStart w:id="1107" w:name="_Toc152045739"/>
      <w:bookmarkStart w:id="1108" w:name="_Toc434331308"/>
      <w:bookmarkStart w:id="1109" w:name="_Toc152042518"/>
      <w:bookmarkStart w:id="1110" w:name="_Toc144974710"/>
      <w:bookmarkStart w:id="1111" w:name="_Toc342296390"/>
      <w:bookmarkStart w:id="1112" w:name="_Toc338944832"/>
      <w:r>
        <w:rPr>
          <w:rFonts w:hint="eastAsia"/>
          <w:highlight w:val="none"/>
        </w:rPr>
        <w:t>19.5 承包人的进入权</w:t>
      </w:r>
      <w:bookmarkEnd w:id="1105"/>
      <w:bookmarkEnd w:id="1106"/>
      <w:bookmarkEnd w:id="1107"/>
      <w:bookmarkEnd w:id="1108"/>
      <w:bookmarkEnd w:id="1109"/>
      <w:bookmarkEnd w:id="1110"/>
      <w:bookmarkEnd w:id="1111"/>
      <w:bookmarkEnd w:id="1112"/>
    </w:p>
    <w:p>
      <w:pPr>
        <w:spacing w:line="400" w:lineRule="exact"/>
        <w:ind w:firstLine="420" w:firstLineChars="200"/>
        <w:rPr>
          <w:highlight w:val="none"/>
        </w:rPr>
      </w:pPr>
      <w:r>
        <w:rPr>
          <w:rFonts w:hint="eastAsia"/>
          <w:highlight w:val="none"/>
        </w:rPr>
        <w:t>缺陷责任期内承包人为缺陷修复工作需要，有权进入工程现场，但应遵守发包人的保安和保密规定。</w:t>
      </w:r>
    </w:p>
    <w:p>
      <w:pPr>
        <w:pStyle w:val="199"/>
        <w:outlineLvl w:val="0"/>
        <w:rPr>
          <w:highlight w:val="none"/>
        </w:rPr>
      </w:pPr>
      <w:bookmarkStart w:id="1113" w:name="_Toc152042519"/>
      <w:bookmarkStart w:id="1114" w:name="_Toc123"/>
      <w:bookmarkStart w:id="1115" w:name="_Toc179632758"/>
      <w:bookmarkStart w:id="1116" w:name="_Toc342296391"/>
      <w:bookmarkStart w:id="1117" w:name="_Toc434331309"/>
      <w:bookmarkStart w:id="1118" w:name="_Toc152045740"/>
      <w:bookmarkStart w:id="1119" w:name="_Toc338944833"/>
      <w:bookmarkStart w:id="1120" w:name="_Toc144974711"/>
      <w:r>
        <w:rPr>
          <w:rFonts w:hint="eastAsia"/>
          <w:highlight w:val="none"/>
        </w:rPr>
        <w:t>19.6 缺陷责任期终止证书</w:t>
      </w:r>
      <w:bookmarkEnd w:id="1113"/>
      <w:bookmarkEnd w:id="1114"/>
      <w:bookmarkEnd w:id="1115"/>
      <w:bookmarkEnd w:id="1116"/>
      <w:bookmarkEnd w:id="1117"/>
      <w:bookmarkEnd w:id="1118"/>
      <w:bookmarkEnd w:id="1119"/>
      <w:bookmarkEnd w:id="1120"/>
    </w:p>
    <w:p>
      <w:pPr>
        <w:spacing w:line="400" w:lineRule="exact"/>
        <w:ind w:firstLine="420" w:firstLineChars="200"/>
        <w:rPr>
          <w:highlight w:val="none"/>
        </w:rPr>
      </w:pPr>
      <w:r>
        <w:rPr>
          <w:rFonts w:hint="eastAsia"/>
          <w:highlight w:val="none"/>
        </w:rPr>
        <w:t>在第1.1.4.5目约定的缺陷责任期，包括根据第19.3款延长的期限终止后14天内，由监理人向承包人出具经发包人签认的缺陷责任期终止证书，并退还剩余的质量保证金。</w:t>
      </w:r>
    </w:p>
    <w:p>
      <w:pPr>
        <w:pStyle w:val="199"/>
        <w:outlineLvl w:val="0"/>
        <w:rPr>
          <w:highlight w:val="none"/>
        </w:rPr>
      </w:pPr>
      <w:bookmarkStart w:id="1121" w:name="_Toc5827"/>
      <w:bookmarkStart w:id="1122" w:name="_Toc434331310"/>
      <w:bookmarkStart w:id="1123" w:name="_Toc338944834"/>
      <w:bookmarkStart w:id="1124" w:name="_Toc342296392"/>
      <w:r>
        <w:rPr>
          <w:rFonts w:hint="eastAsia"/>
          <w:highlight w:val="none"/>
        </w:rPr>
        <w:t>19.7 保修责任</w:t>
      </w:r>
      <w:bookmarkEnd w:id="1121"/>
      <w:bookmarkEnd w:id="1122"/>
      <w:bookmarkEnd w:id="1123"/>
      <w:bookmarkEnd w:id="1124"/>
    </w:p>
    <w:p>
      <w:pPr>
        <w:spacing w:line="400" w:lineRule="exact"/>
        <w:ind w:firstLine="420" w:firstLineChars="200"/>
        <w:rPr>
          <w:highlight w:val="none"/>
        </w:rPr>
      </w:pPr>
      <w:r>
        <w:rPr>
          <w:rFonts w:hint="eastAsia"/>
          <w:highlight w:val="none"/>
        </w:rPr>
        <w:t>合同当事人根据有关法律规定，在专用合同条款中约定工程质量保修范围、期限和责任。保修期自实际竣工日期起计算。在全部工程竣工验收前，已经发包人提前验收的单位工程，其保修期的起算日期相应提前。</w:t>
      </w:r>
    </w:p>
    <w:p>
      <w:pPr>
        <w:pStyle w:val="282"/>
        <w:spacing w:before="0"/>
        <w:outlineLvl w:val="0"/>
        <w:rPr>
          <w:highlight w:val="none"/>
        </w:rPr>
      </w:pPr>
      <w:bookmarkStart w:id="1125" w:name="_Toc434331311"/>
      <w:bookmarkStart w:id="1126" w:name="_Toc342296393"/>
      <w:bookmarkStart w:id="1127" w:name="_Toc338944835"/>
      <w:bookmarkStart w:id="1128" w:name="_Toc4278"/>
      <w:r>
        <w:rPr>
          <w:rFonts w:hint="eastAsia"/>
          <w:highlight w:val="none"/>
        </w:rPr>
        <w:t>20. 保险</w:t>
      </w:r>
      <w:bookmarkEnd w:id="1125"/>
      <w:bookmarkEnd w:id="1126"/>
      <w:bookmarkEnd w:id="1127"/>
      <w:bookmarkEnd w:id="1128"/>
    </w:p>
    <w:p>
      <w:pPr>
        <w:pStyle w:val="199"/>
        <w:outlineLvl w:val="0"/>
        <w:rPr>
          <w:highlight w:val="none"/>
        </w:rPr>
      </w:pPr>
      <w:bookmarkStart w:id="1129" w:name="_Toc338944836"/>
      <w:bookmarkStart w:id="1130" w:name="_Toc342296394"/>
      <w:bookmarkStart w:id="1131" w:name="_Toc434331312"/>
      <w:bookmarkStart w:id="1132" w:name="_Toc7274"/>
      <w:r>
        <w:rPr>
          <w:rFonts w:hint="eastAsia"/>
          <w:highlight w:val="none"/>
        </w:rPr>
        <w:t>20.1 工程保险</w:t>
      </w:r>
      <w:bookmarkEnd w:id="1129"/>
      <w:bookmarkEnd w:id="1130"/>
      <w:bookmarkEnd w:id="1131"/>
      <w:bookmarkEnd w:id="1132"/>
    </w:p>
    <w:p>
      <w:pPr>
        <w:spacing w:line="400" w:lineRule="exact"/>
        <w:ind w:firstLine="420" w:firstLineChars="200"/>
        <w:rPr>
          <w:highlight w:val="none"/>
        </w:rPr>
      </w:pPr>
      <w:r>
        <w:rPr>
          <w:rFonts w:hint="eastAsia"/>
          <w:highlight w:val="none"/>
        </w:rPr>
        <w:t>除专用合同条款另有约定外，承包人应以发包人和承包人的共同名义向双方同意的保险人投保建筑工程一切险、安装工程一切险。其具体的投保内容、保险金额、保险费率、保险期限等有关内容在专用合同条款中约定。</w:t>
      </w:r>
    </w:p>
    <w:p>
      <w:pPr>
        <w:pStyle w:val="199"/>
        <w:outlineLvl w:val="0"/>
        <w:rPr>
          <w:highlight w:val="none"/>
        </w:rPr>
      </w:pPr>
      <w:bookmarkStart w:id="1133" w:name="_Toc342296395"/>
      <w:bookmarkStart w:id="1134" w:name="_Toc338944837"/>
      <w:bookmarkStart w:id="1135" w:name="_Toc15572"/>
      <w:bookmarkStart w:id="1136" w:name="_Toc434331313"/>
      <w:r>
        <w:rPr>
          <w:rFonts w:hint="eastAsia"/>
          <w:highlight w:val="none"/>
        </w:rPr>
        <w:t>20.2 人员工伤事故的保险</w:t>
      </w:r>
      <w:bookmarkEnd w:id="1133"/>
      <w:bookmarkEnd w:id="1134"/>
      <w:bookmarkEnd w:id="1135"/>
      <w:bookmarkEnd w:id="1136"/>
    </w:p>
    <w:p>
      <w:pPr>
        <w:spacing w:line="400" w:lineRule="exact"/>
        <w:ind w:firstLine="420" w:firstLineChars="200"/>
        <w:rPr>
          <w:rFonts w:ascii="黑体" w:eastAsia="黑体"/>
          <w:highlight w:val="none"/>
        </w:rPr>
      </w:pPr>
      <w:r>
        <w:rPr>
          <w:rFonts w:hint="eastAsia"/>
          <w:highlight w:val="none"/>
        </w:rPr>
        <w:t xml:space="preserve">20.2.1 </w:t>
      </w:r>
      <w:r>
        <w:rPr>
          <w:rFonts w:hint="eastAsia" w:ascii="黑体" w:eastAsia="黑体"/>
          <w:highlight w:val="none"/>
        </w:rPr>
        <w:t>承包人员工伤事故的保险</w:t>
      </w:r>
    </w:p>
    <w:p>
      <w:pPr>
        <w:spacing w:line="400" w:lineRule="exact"/>
        <w:ind w:firstLine="420" w:firstLineChars="200"/>
        <w:rPr>
          <w:highlight w:val="none"/>
        </w:rPr>
      </w:pPr>
      <w:r>
        <w:rPr>
          <w:rFonts w:hint="eastAsia"/>
          <w:highlight w:val="none"/>
        </w:rPr>
        <w:t>承包人应</w:t>
      </w:r>
      <w:r>
        <w:rPr>
          <w:highlight w:val="none"/>
        </w:rPr>
        <w:t>依照</w:t>
      </w:r>
      <w:r>
        <w:rPr>
          <w:rFonts w:hint="eastAsia"/>
          <w:highlight w:val="none"/>
        </w:rPr>
        <w:t>有关法律</w:t>
      </w:r>
      <w:r>
        <w:rPr>
          <w:highlight w:val="none"/>
        </w:rPr>
        <w:t>规定参加工伤保险，</w:t>
      </w:r>
      <w:r>
        <w:rPr>
          <w:rFonts w:hint="eastAsia"/>
          <w:highlight w:val="none"/>
        </w:rPr>
        <w:t>为其履行合同所雇佣的全部人员，</w:t>
      </w:r>
      <w:r>
        <w:rPr>
          <w:highlight w:val="none"/>
        </w:rPr>
        <w:t>缴纳工伤保险费</w:t>
      </w:r>
      <w:r>
        <w:rPr>
          <w:rFonts w:hint="eastAsia"/>
          <w:highlight w:val="none"/>
        </w:rPr>
        <w:t>，并要求其分包人也进行此项保险。</w:t>
      </w:r>
    </w:p>
    <w:p>
      <w:pPr>
        <w:spacing w:line="400" w:lineRule="exact"/>
        <w:ind w:firstLine="420" w:firstLineChars="200"/>
        <w:rPr>
          <w:rFonts w:ascii="黑体" w:eastAsia="黑体"/>
          <w:highlight w:val="none"/>
        </w:rPr>
      </w:pPr>
      <w:r>
        <w:rPr>
          <w:rFonts w:hint="eastAsia"/>
          <w:highlight w:val="none"/>
        </w:rPr>
        <w:t>20.2.2</w:t>
      </w:r>
      <w:r>
        <w:rPr>
          <w:rFonts w:hint="eastAsia" w:ascii="黑体" w:eastAsia="黑体"/>
          <w:highlight w:val="none"/>
        </w:rPr>
        <w:t xml:space="preserve"> 发包人员工伤事故的保险</w:t>
      </w:r>
    </w:p>
    <w:p>
      <w:pPr>
        <w:spacing w:line="400" w:lineRule="exact"/>
        <w:ind w:firstLine="420" w:firstLineChars="200"/>
        <w:rPr>
          <w:highlight w:val="none"/>
        </w:rPr>
      </w:pPr>
      <w:r>
        <w:rPr>
          <w:rFonts w:hint="eastAsia"/>
          <w:highlight w:val="none"/>
        </w:rPr>
        <w:t>发包人应</w:t>
      </w:r>
      <w:r>
        <w:rPr>
          <w:highlight w:val="none"/>
        </w:rPr>
        <w:t>依照</w:t>
      </w:r>
      <w:r>
        <w:rPr>
          <w:rFonts w:hint="eastAsia"/>
          <w:highlight w:val="none"/>
        </w:rPr>
        <w:t>有关法律</w:t>
      </w:r>
      <w:r>
        <w:rPr>
          <w:highlight w:val="none"/>
        </w:rPr>
        <w:t>规定参加工伤保险，</w:t>
      </w:r>
      <w:r>
        <w:rPr>
          <w:rFonts w:hint="eastAsia"/>
          <w:highlight w:val="none"/>
        </w:rPr>
        <w:t>为其现场机构雇佣的全部人员，</w:t>
      </w:r>
      <w:r>
        <w:rPr>
          <w:highlight w:val="none"/>
        </w:rPr>
        <w:t>缴纳工伤保险费</w:t>
      </w:r>
      <w:r>
        <w:rPr>
          <w:rFonts w:hint="eastAsia"/>
          <w:highlight w:val="none"/>
        </w:rPr>
        <w:t>，并要求其监理人也进行此项保险。</w:t>
      </w:r>
    </w:p>
    <w:p>
      <w:pPr>
        <w:pStyle w:val="199"/>
        <w:outlineLvl w:val="0"/>
        <w:rPr>
          <w:highlight w:val="none"/>
        </w:rPr>
      </w:pPr>
      <w:bookmarkStart w:id="1137" w:name="_Toc179632763"/>
      <w:bookmarkStart w:id="1138" w:name="_Toc152045745"/>
      <w:bookmarkStart w:id="1139" w:name="_Toc342296396"/>
      <w:bookmarkStart w:id="1140" w:name="_Toc152042524"/>
      <w:bookmarkStart w:id="1141" w:name="_Toc16501"/>
      <w:bookmarkStart w:id="1142" w:name="_Toc338944838"/>
      <w:bookmarkStart w:id="1143" w:name="_Toc144974716"/>
      <w:bookmarkStart w:id="1144" w:name="_Toc434331314"/>
      <w:r>
        <w:rPr>
          <w:rFonts w:hint="eastAsia"/>
          <w:highlight w:val="none"/>
        </w:rPr>
        <w:t>20.3 人身意外伤害险</w:t>
      </w:r>
      <w:bookmarkEnd w:id="1137"/>
      <w:bookmarkEnd w:id="1138"/>
      <w:bookmarkEnd w:id="1139"/>
      <w:bookmarkEnd w:id="1140"/>
      <w:bookmarkEnd w:id="1141"/>
      <w:bookmarkEnd w:id="1142"/>
      <w:bookmarkEnd w:id="1143"/>
      <w:bookmarkEnd w:id="1144"/>
    </w:p>
    <w:p>
      <w:pPr>
        <w:spacing w:line="400" w:lineRule="exact"/>
        <w:ind w:firstLine="420" w:firstLineChars="200"/>
        <w:rPr>
          <w:highlight w:val="none"/>
        </w:rPr>
      </w:pPr>
      <w:r>
        <w:rPr>
          <w:rFonts w:hint="eastAsia"/>
          <w:highlight w:val="none"/>
        </w:rPr>
        <w:t>20.3.1 发包人应在整个施工期间为其现场机构雇用的全部人员，投保人身意外伤害险，缴纳保险费，并要求其监理人也进行此项保险。</w:t>
      </w:r>
    </w:p>
    <w:p>
      <w:pPr>
        <w:spacing w:line="400" w:lineRule="exact"/>
        <w:ind w:firstLine="420" w:firstLineChars="200"/>
        <w:rPr>
          <w:highlight w:val="none"/>
        </w:rPr>
      </w:pPr>
      <w:r>
        <w:rPr>
          <w:rFonts w:hint="eastAsia"/>
          <w:highlight w:val="none"/>
        </w:rPr>
        <w:t>20.3.2 承包人应在整个施工期间为其现场机构雇用的全部人员，投保人身意外伤害险，缴纳保险费，并要求其分包人也进行此项保险。</w:t>
      </w:r>
    </w:p>
    <w:p>
      <w:pPr>
        <w:pStyle w:val="199"/>
        <w:outlineLvl w:val="0"/>
        <w:rPr>
          <w:highlight w:val="none"/>
        </w:rPr>
      </w:pPr>
      <w:bookmarkStart w:id="1145" w:name="_Toc342296397"/>
      <w:bookmarkStart w:id="1146" w:name="_Toc338944839"/>
      <w:bookmarkStart w:id="1147" w:name="_Toc14496"/>
      <w:bookmarkStart w:id="1148" w:name="_Toc434331315"/>
      <w:r>
        <w:rPr>
          <w:rFonts w:hint="eastAsia"/>
          <w:highlight w:val="none"/>
        </w:rPr>
        <w:t>20.4 第三者责任险</w:t>
      </w:r>
      <w:bookmarkEnd w:id="1145"/>
      <w:bookmarkEnd w:id="1146"/>
      <w:bookmarkEnd w:id="1147"/>
      <w:bookmarkEnd w:id="1148"/>
    </w:p>
    <w:p>
      <w:pPr>
        <w:spacing w:line="400" w:lineRule="exact"/>
        <w:ind w:firstLine="420" w:firstLineChars="200"/>
        <w:rPr>
          <w:highlight w:val="none"/>
        </w:rPr>
      </w:pPr>
      <w:r>
        <w:rPr>
          <w:rFonts w:hint="eastAsia"/>
          <w:highlight w:val="none"/>
        </w:rPr>
        <w:t>20.4.1 第三者责任系指在保险期内，对因工程意外事故造成的、依法应由被保险人负责的工地上及毗邻地区的第三者人身伤亡、疾病或财产损失（本工程除外），以及被保险人因此而支付的诉讼费用和事先经保险人书面同意支付的其他费用等赔偿责任。</w:t>
      </w:r>
    </w:p>
    <w:p>
      <w:pPr>
        <w:spacing w:line="400" w:lineRule="exact"/>
        <w:ind w:firstLine="420" w:firstLineChars="200"/>
        <w:rPr>
          <w:highlight w:val="none"/>
        </w:rPr>
      </w:pPr>
      <w:r>
        <w:rPr>
          <w:rFonts w:hint="eastAsia"/>
          <w:highlight w:val="none"/>
        </w:rPr>
        <w:t>20.4.2 在缺陷责任期终止证书颁发前，承包人应以承包人和发包人的共同名义，投保第20.4.1项约定的第三者责任险，其保险费率、保险金额等有关内容在专用合同条款中约定。</w:t>
      </w:r>
    </w:p>
    <w:p>
      <w:pPr>
        <w:pStyle w:val="199"/>
        <w:outlineLvl w:val="0"/>
        <w:rPr>
          <w:highlight w:val="none"/>
        </w:rPr>
      </w:pPr>
      <w:bookmarkStart w:id="1149" w:name="_Toc29158"/>
      <w:bookmarkStart w:id="1150" w:name="_Toc338944840"/>
      <w:bookmarkStart w:id="1151" w:name="_Toc342296398"/>
      <w:bookmarkStart w:id="1152" w:name="_Toc434331316"/>
      <w:r>
        <w:rPr>
          <w:rFonts w:hint="eastAsia"/>
          <w:highlight w:val="none"/>
        </w:rPr>
        <w:t>20.5 其他保险</w:t>
      </w:r>
      <w:bookmarkEnd w:id="1149"/>
      <w:bookmarkEnd w:id="1150"/>
      <w:bookmarkEnd w:id="1151"/>
      <w:bookmarkEnd w:id="1152"/>
    </w:p>
    <w:p>
      <w:pPr>
        <w:spacing w:line="400" w:lineRule="exact"/>
        <w:ind w:firstLine="420" w:firstLineChars="200"/>
        <w:rPr>
          <w:highlight w:val="none"/>
        </w:rPr>
      </w:pPr>
      <w:r>
        <w:rPr>
          <w:rFonts w:hint="eastAsia"/>
          <w:highlight w:val="none"/>
        </w:rPr>
        <w:t>除专用合同条款另有约定外，承包人应为其施工设备、进场的材料和工程设备等办理保险。</w:t>
      </w:r>
    </w:p>
    <w:p>
      <w:pPr>
        <w:pStyle w:val="199"/>
        <w:outlineLvl w:val="0"/>
        <w:rPr>
          <w:highlight w:val="none"/>
        </w:rPr>
      </w:pPr>
      <w:bookmarkStart w:id="1153" w:name="_Toc342296399"/>
      <w:bookmarkStart w:id="1154" w:name="_Toc434331317"/>
      <w:bookmarkStart w:id="1155" w:name="_Toc338944841"/>
      <w:bookmarkStart w:id="1156" w:name="_Toc8178"/>
      <w:r>
        <w:rPr>
          <w:rFonts w:hint="eastAsia"/>
          <w:highlight w:val="none"/>
        </w:rPr>
        <w:t>20.6 对各项保险的一般要求</w:t>
      </w:r>
      <w:bookmarkEnd w:id="1153"/>
      <w:bookmarkEnd w:id="1154"/>
      <w:bookmarkEnd w:id="1155"/>
      <w:bookmarkEnd w:id="1156"/>
    </w:p>
    <w:p>
      <w:pPr>
        <w:spacing w:line="400" w:lineRule="exact"/>
        <w:ind w:firstLine="420" w:firstLineChars="200"/>
        <w:rPr>
          <w:highlight w:val="none"/>
        </w:rPr>
      </w:pPr>
      <w:r>
        <w:rPr>
          <w:rFonts w:hint="eastAsia"/>
          <w:highlight w:val="none"/>
        </w:rPr>
        <w:t xml:space="preserve">20.6.1 </w:t>
      </w:r>
      <w:r>
        <w:rPr>
          <w:rFonts w:hint="eastAsia" w:ascii="黑体" w:eastAsia="黑体"/>
          <w:highlight w:val="none"/>
        </w:rPr>
        <w:t>保险凭证</w:t>
      </w:r>
    </w:p>
    <w:p>
      <w:pPr>
        <w:spacing w:line="400" w:lineRule="exact"/>
        <w:ind w:firstLine="420" w:firstLineChars="200"/>
        <w:rPr>
          <w:highlight w:val="none"/>
        </w:rPr>
      </w:pPr>
      <w:r>
        <w:rPr>
          <w:rFonts w:hint="eastAsia"/>
          <w:highlight w:val="none"/>
        </w:rPr>
        <w:t>承包人应在专用合同条款约定的期限内向发包人提交各项保险生效的证据和保险单副本，保险单必须与专用合同条款约定的条件保持一致。</w:t>
      </w:r>
    </w:p>
    <w:p>
      <w:pPr>
        <w:spacing w:line="400" w:lineRule="exact"/>
        <w:ind w:firstLine="420" w:firstLineChars="200"/>
        <w:rPr>
          <w:highlight w:val="none"/>
        </w:rPr>
      </w:pPr>
      <w:r>
        <w:rPr>
          <w:rFonts w:hint="eastAsia"/>
          <w:highlight w:val="none"/>
        </w:rPr>
        <w:t xml:space="preserve">20.6.2 </w:t>
      </w:r>
      <w:r>
        <w:rPr>
          <w:rFonts w:hint="eastAsia" w:ascii="黑体" w:eastAsia="黑体"/>
          <w:highlight w:val="none"/>
        </w:rPr>
        <w:t>保险合同条款的变动</w:t>
      </w:r>
    </w:p>
    <w:p>
      <w:pPr>
        <w:spacing w:line="400" w:lineRule="exact"/>
        <w:ind w:firstLine="420" w:firstLineChars="200"/>
        <w:rPr>
          <w:highlight w:val="none"/>
        </w:rPr>
      </w:pPr>
      <w:r>
        <w:rPr>
          <w:rFonts w:hint="eastAsia"/>
          <w:highlight w:val="none"/>
        </w:rPr>
        <w:t>承包人需要变动保险合同条款时，应事先征得发包人同意，并通知监理人。保险人作出变动的，承包人应在收到保险人通知后立即通知发包人和监理人。</w:t>
      </w:r>
    </w:p>
    <w:p>
      <w:pPr>
        <w:spacing w:line="400" w:lineRule="exact"/>
        <w:ind w:firstLine="420" w:firstLineChars="200"/>
        <w:rPr>
          <w:highlight w:val="none"/>
        </w:rPr>
      </w:pPr>
      <w:r>
        <w:rPr>
          <w:rFonts w:hint="eastAsia"/>
          <w:highlight w:val="none"/>
        </w:rPr>
        <w:t xml:space="preserve">20.6.3 </w:t>
      </w:r>
      <w:r>
        <w:rPr>
          <w:rFonts w:hint="eastAsia" w:ascii="黑体" w:eastAsia="黑体"/>
          <w:highlight w:val="none"/>
        </w:rPr>
        <w:t>持续保险</w:t>
      </w:r>
    </w:p>
    <w:p>
      <w:pPr>
        <w:spacing w:line="400" w:lineRule="exact"/>
        <w:ind w:firstLine="420" w:firstLineChars="200"/>
        <w:rPr>
          <w:highlight w:val="none"/>
        </w:rPr>
      </w:pPr>
      <w:r>
        <w:rPr>
          <w:rFonts w:hint="eastAsia"/>
          <w:highlight w:val="none"/>
        </w:rPr>
        <w:t>承包人应与保险人保持联系，使保险人能够随时了解工程实施中的变动，并确保按保险合同条款要求持续保险。</w:t>
      </w:r>
    </w:p>
    <w:p>
      <w:pPr>
        <w:spacing w:line="400" w:lineRule="exact"/>
        <w:ind w:firstLine="420" w:firstLineChars="200"/>
        <w:rPr>
          <w:rFonts w:ascii="黑体" w:eastAsia="黑体"/>
          <w:highlight w:val="none"/>
        </w:rPr>
      </w:pPr>
      <w:r>
        <w:rPr>
          <w:rFonts w:hint="eastAsia"/>
          <w:highlight w:val="none"/>
        </w:rPr>
        <w:t xml:space="preserve">20.6.4 </w:t>
      </w:r>
      <w:r>
        <w:rPr>
          <w:rFonts w:hint="eastAsia" w:ascii="黑体" w:eastAsia="黑体"/>
          <w:highlight w:val="none"/>
        </w:rPr>
        <w:t>保险金不足的补偿</w:t>
      </w:r>
    </w:p>
    <w:p>
      <w:pPr>
        <w:spacing w:line="400" w:lineRule="exact"/>
        <w:ind w:firstLine="420" w:firstLineChars="200"/>
        <w:rPr>
          <w:highlight w:val="none"/>
        </w:rPr>
      </w:pPr>
      <w:r>
        <w:rPr>
          <w:rFonts w:hint="eastAsia"/>
          <w:highlight w:val="none"/>
        </w:rPr>
        <w:t>保险金不足以补偿损失的，应由承包人和（或）发包人按合同约定负责补偿。</w:t>
      </w:r>
    </w:p>
    <w:p>
      <w:pPr>
        <w:spacing w:line="400" w:lineRule="exact"/>
        <w:ind w:firstLine="420" w:firstLineChars="200"/>
        <w:rPr>
          <w:rFonts w:ascii="黑体" w:eastAsia="黑体"/>
          <w:highlight w:val="none"/>
        </w:rPr>
      </w:pPr>
      <w:r>
        <w:rPr>
          <w:rFonts w:hint="eastAsia"/>
          <w:highlight w:val="none"/>
        </w:rPr>
        <w:t xml:space="preserve">20.6.5 </w:t>
      </w:r>
      <w:r>
        <w:rPr>
          <w:rFonts w:hint="eastAsia" w:ascii="黑体" w:eastAsia="黑体"/>
          <w:highlight w:val="none"/>
        </w:rPr>
        <w:t>未按约定投保的补救</w:t>
      </w:r>
    </w:p>
    <w:p>
      <w:pPr>
        <w:spacing w:line="400" w:lineRule="exact"/>
        <w:ind w:firstLine="420" w:firstLineChars="200"/>
        <w:rPr>
          <w:rFonts w:ascii="黑体" w:eastAsia="黑体"/>
          <w:highlight w:val="none"/>
        </w:rPr>
      </w:pPr>
      <w:r>
        <w:rPr>
          <w:rFonts w:hint="eastAsia"/>
          <w:highlight w:val="none"/>
        </w:rPr>
        <w:t>（1）由于负有投保义务的一方当事人未按合同约定办理保险，或未能使保险持续有效的，另一方当事人可代为办理，所需费用由对方当事人承担。</w:t>
      </w:r>
    </w:p>
    <w:p>
      <w:pPr>
        <w:spacing w:line="400" w:lineRule="exact"/>
        <w:ind w:firstLine="420" w:firstLineChars="200"/>
        <w:rPr>
          <w:highlight w:val="none"/>
        </w:rPr>
      </w:pPr>
      <w:r>
        <w:rPr>
          <w:rFonts w:hint="eastAsia"/>
          <w:highlight w:val="none"/>
        </w:rPr>
        <w:t>（2）由于负有投保义务的一方当事人未按合同约定办理某项保险，导致受益人未能得到保险人的赔偿，原应从该项保险得到的保险金应由负有投保义务的一方当事人支付。</w:t>
      </w:r>
    </w:p>
    <w:p>
      <w:pPr>
        <w:spacing w:line="400" w:lineRule="exact"/>
        <w:ind w:firstLine="420" w:firstLineChars="200"/>
        <w:rPr>
          <w:rFonts w:ascii="黑体" w:eastAsia="黑体"/>
          <w:highlight w:val="none"/>
        </w:rPr>
      </w:pPr>
      <w:r>
        <w:rPr>
          <w:rFonts w:hint="eastAsia"/>
          <w:highlight w:val="none"/>
        </w:rPr>
        <w:t xml:space="preserve">20.6.6 </w:t>
      </w:r>
      <w:r>
        <w:rPr>
          <w:rFonts w:hint="eastAsia" w:ascii="黑体" w:eastAsia="黑体"/>
          <w:highlight w:val="none"/>
        </w:rPr>
        <w:t>报告义务</w:t>
      </w:r>
    </w:p>
    <w:p>
      <w:pPr>
        <w:spacing w:line="400" w:lineRule="exact"/>
        <w:ind w:firstLine="420" w:firstLineChars="200"/>
        <w:rPr>
          <w:highlight w:val="none"/>
        </w:rPr>
      </w:pPr>
      <w:r>
        <w:rPr>
          <w:rFonts w:hint="eastAsia"/>
          <w:highlight w:val="none"/>
        </w:rPr>
        <w:t>当保险事故发生时，投保人应按照保险单规定的条件和期限及时向保险人报告。</w:t>
      </w:r>
    </w:p>
    <w:p>
      <w:pPr>
        <w:pStyle w:val="282"/>
        <w:spacing w:before="0"/>
        <w:outlineLvl w:val="0"/>
        <w:rPr>
          <w:highlight w:val="none"/>
        </w:rPr>
      </w:pPr>
      <w:bookmarkStart w:id="1157" w:name="_Toc338944842"/>
      <w:bookmarkStart w:id="1158" w:name="_Toc434331318"/>
      <w:bookmarkStart w:id="1159" w:name="_Toc342296400"/>
      <w:bookmarkStart w:id="1160" w:name="_Toc2723"/>
      <w:r>
        <w:rPr>
          <w:rFonts w:hint="eastAsia"/>
          <w:highlight w:val="none"/>
        </w:rPr>
        <w:t>21. 不可抗力</w:t>
      </w:r>
      <w:bookmarkEnd w:id="1157"/>
      <w:bookmarkEnd w:id="1158"/>
      <w:bookmarkEnd w:id="1159"/>
      <w:bookmarkEnd w:id="1160"/>
    </w:p>
    <w:p>
      <w:pPr>
        <w:pStyle w:val="199"/>
        <w:outlineLvl w:val="0"/>
        <w:rPr>
          <w:highlight w:val="none"/>
        </w:rPr>
      </w:pPr>
      <w:bookmarkStart w:id="1161" w:name="_Toc342296401"/>
      <w:bookmarkStart w:id="1162" w:name="_Toc338944843"/>
      <w:bookmarkStart w:id="1163" w:name="_Toc9406"/>
      <w:bookmarkStart w:id="1164" w:name="_Toc434331319"/>
      <w:r>
        <w:rPr>
          <w:rFonts w:hint="eastAsia"/>
          <w:highlight w:val="none"/>
        </w:rPr>
        <w:t>21.1 不可抗力的确认</w:t>
      </w:r>
      <w:bookmarkEnd w:id="1161"/>
      <w:bookmarkEnd w:id="1162"/>
      <w:bookmarkEnd w:id="1163"/>
      <w:bookmarkEnd w:id="1164"/>
    </w:p>
    <w:p>
      <w:pPr>
        <w:spacing w:line="400" w:lineRule="exact"/>
        <w:ind w:firstLine="420" w:firstLineChars="200"/>
        <w:rPr>
          <w:highlight w:val="none"/>
        </w:rPr>
      </w:pPr>
      <w:r>
        <w:rPr>
          <w:rFonts w:hint="eastAsia"/>
          <w:highlight w:val="none"/>
        </w:rPr>
        <w:t>21.1.1 不可抗力是指承包人和发包人在订立合同时不可预见，在工程施工过程中不可避免发生并不能克服的自然灾害和社会性突发事件，如地震、海啸、瘟疫、水灾、骚乱、暴动、战争和专用合同条款约定的其他情形。</w:t>
      </w:r>
    </w:p>
    <w:p>
      <w:pPr>
        <w:spacing w:line="400" w:lineRule="exact"/>
        <w:ind w:firstLine="420" w:firstLineChars="200"/>
        <w:rPr>
          <w:highlight w:val="none"/>
        </w:rPr>
      </w:pPr>
      <w:r>
        <w:rPr>
          <w:rFonts w:hint="eastAsia"/>
          <w:highlight w:val="none"/>
        </w:rPr>
        <w:t>21.1.2 不可抗力发生后，发包人和承包人应及时认真统计所造成的损失，收集不可抗力造成损失的证据。合同双方对是否属于不可抗力或其损失的意见不一致的，由监理人按第3.5款商定或确定。发生争议时，按第24条的约定办理。</w:t>
      </w:r>
    </w:p>
    <w:p>
      <w:pPr>
        <w:pStyle w:val="199"/>
        <w:outlineLvl w:val="0"/>
        <w:rPr>
          <w:highlight w:val="none"/>
        </w:rPr>
      </w:pPr>
      <w:bookmarkStart w:id="1165" w:name="_Toc434331320"/>
      <w:bookmarkStart w:id="1166" w:name="_Toc179632769"/>
      <w:bookmarkStart w:id="1167" w:name="_Toc144974722"/>
      <w:bookmarkStart w:id="1168" w:name="_Toc342296402"/>
      <w:bookmarkStart w:id="1169" w:name="_Toc152045751"/>
      <w:bookmarkStart w:id="1170" w:name="_Toc24024"/>
      <w:bookmarkStart w:id="1171" w:name="_Toc152042530"/>
      <w:bookmarkStart w:id="1172" w:name="_Toc338944844"/>
      <w:r>
        <w:rPr>
          <w:rFonts w:hint="eastAsia"/>
          <w:highlight w:val="none"/>
        </w:rPr>
        <w:t>21.2 不可抗力的通知</w:t>
      </w:r>
      <w:bookmarkEnd w:id="1165"/>
      <w:bookmarkEnd w:id="1166"/>
      <w:bookmarkEnd w:id="1167"/>
      <w:bookmarkEnd w:id="1168"/>
      <w:bookmarkEnd w:id="1169"/>
      <w:bookmarkEnd w:id="1170"/>
      <w:bookmarkEnd w:id="1171"/>
      <w:bookmarkEnd w:id="1172"/>
    </w:p>
    <w:p>
      <w:pPr>
        <w:spacing w:line="400" w:lineRule="exact"/>
        <w:ind w:firstLine="420" w:firstLineChars="200"/>
        <w:rPr>
          <w:highlight w:val="none"/>
        </w:rPr>
      </w:pPr>
      <w:r>
        <w:rPr>
          <w:rFonts w:hint="eastAsia"/>
          <w:highlight w:val="none"/>
        </w:rPr>
        <w:t>21.2.1 合同一方当事人遇到不可抗力事件，使其履行合同义务受到阻碍时，应立即通知合同另一方当事人和监理人，书面说明不可抗力和受阻碍的详细情况，并提供必要的证明。</w:t>
      </w:r>
    </w:p>
    <w:p>
      <w:pPr>
        <w:spacing w:line="400" w:lineRule="exact"/>
        <w:ind w:firstLine="420" w:firstLineChars="200"/>
        <w:rPr>
          <w:highlight w:val="none"/>
        </w:rPr>
      </w:pPr>
      <w:r>
        <w:rPr>
          <w:rFonts w:hint="eastAsia"/>
          <w:highlight w:val="none"/>
        </w:rPr>
        <w:t>21.2.2 如不可抗力持续发生，合同一方当事人应及时向合同另一方当事人和监理人提交中间报告，说明不可抗力和履行合同受阻的情况，并于不可抗力事件结束后28天内提交最终报告及有关资料。</w:t>
      </w:r>
    </w:p>
    <w:p>
      <w:pPr>
        <w:pStyle w:val="199"/>
        <w:outlineLvl w:val="0"/>
        <w:rPr>
          <w:highlight w:val="none"/>
        </w:rPr>
      </w:pPr>
      <w:bookmarkStart w:id="1173" w:name="_Toc434331321"/>
      <w:bookmarkStart w:id="1174" w:name="_Toc342296403"/>
      <w:bookmarkStart w:id="1175" w:name="_Toc6779"/>
      <w:bookmarkStart w:id="1176" w:name="_Toc338944845"/>
      <w:r>
        <w:rPr>
          <w:rFonts w:hint="eastAsia"/>
          <w:highlight w:val="none"/>
        </w:rPr>
        <w:t>21.3 不可抗力后果及其处理</w:t>
      </w:r>
      <w:bookmarkEnd w:id="1173"/>
      <w:bookmarkEnd w:id="1174"/>
      <w:bookmarkEnd w:id="1175"/>
      <w:bookmarkEnd w:id="1176"/>
    </w:p>
    <w:p>
      <w:pPr>
        <w:spacing w:line="400" w:lineRule="exact"/>
        <w:ind w:firstLine="420" w:firstLineChars="200"/>
        <w:rPr>
          <w:highlight w:val="none"/>
        </w:rPr>
      </w:pPr>
      <w:r>
        <w:rPr>
          <w:rFonts w:hint="eastAsia"/>
          <w:highlight w:val="none"/>
        </w:rPr>
        <w:t xml:space="preserve">21.3.1 </w:t>
      </w:r>
      <w:r>
        <w:rPr>
          <w:rFonts w:hint="eastAsia" w:ascii="黑体" w:eastAsia="黑体"/>
          <w:highlight w:val="none"/>
        </w:rPr>
        <w:t>不可抗力造成损害的责任</w:t>
      </w:r>
    </w:p>
    <w:p>
      <w:pPr>
        <w:spacing w:line="400" w:lineRule="exact"/>
        <w:ind w:firstLine="420" w:firstLineChars="200"/>
        <w:rPr>
          <w:highlight w:val="none"/>
        </w:rPr>
      </w:pPr>
      <w:r>
        <w:rPr>
          <w:rFonts w:hint="eastAsia"/>
          <w:highlight w:val="none"/>
        </w:rPr>
        <w:t>除专用合同条款另有约定外，不可抗力导致的人员伤亡、财产损失、费用增加和（或）工期延误等后果，由合同双方按以下原则承担：</w:t>
      </w:r>
    </w:p>
    <w:p>
      <w:pPr>
        <w:spacing w:line="400" w:lineRule="exact"/>
        <w:ind w:firstLine="718" w:firstLineChars="342"/>
        <w:rPr>
          <w:highlight w:val="none"/>
        </w:rPr>
      </w:pPr>
      <w:r>
        <w:rPr>
          <w:rFonts w:hint="eastAsia"/>
          <w:highlight w:val="none"/>
        </w:rPr>
        <w:t>（1）永久工程，包括已运至施工场地的材料和工程设备的损害，以及因工程损害造成的第三者人员伤亡和财产损失由发包人承担；</w:t>
      </w:r>
    </w:p>
    <w:p>
      <w:pPr>
        <w:spacing w:line="400" w:lineRule="exact"/>
        <w:ind w:firstLine="718" w:firstLineChars="342"/>
        <w:rPr>
          <w:highlight w:val="none"/>
        </w:rPr>
      </w:pPr>
      <w:r>
        <w:rPr>
          <w:rFonts w:hint="eastAsia"/>
          <w:highlight w:val="none"/>
        </w:rPr>
        <w:t>（2）承包人设备的损坏由承包人承担；</w:t>
      </w:r>
    </w:p>
    <w:p>
      <w:pPr>
        <w:spacing w:line="400" w:lineRule="exact"/>
        <w:ind w:firstLine="718" w:firstLineChars="342"/>
        <w:rPr>
          <w:highlight w:val="none"/>
        </w:rPr>
      </w:pPr>
      <w:r>
        <w:rPr>
          <w:rFonts w:hint="eastAsia"/>
          <w:highlight w:val="none"/>
        </w:rPr>
        <w:t>（3）发包人和承包人各自承担其人员伤亡和其他财产损失及其相关费用；</w:t>
      </w:r>
    </w:p>
    <w:p>
      <w:pPr>
        <w:spacing w:line="400" w:lineRule="exact"/>
        <w:ind w:firstLine="718" w:firstLineChars="342"/>
        <w:rPr>
          <w:highlight w:val="none"/>
        </w:rPr>
      </w:pPr>
      <w:r>
        <w:rPr>
          <w:rFonts w:hint="eastAsia"/>
          <w:highlight w:val="none"/>
        </w:rPr>
        <w:t>（4）承包人的停工损失由承包人承担，但停工期间应监理人要求照管工程和清理、修复工程的金额由发包人承担；</w:t>
      </w:r>
    </w:p>
    <w:p>
      <w:pPr>
        <w:spacing w:line="400" w:lineRule="exact"/>
        <w:ind w:firstLine="718" w:firstLineChars="342"/>
        <w:rPr>
          <w:highlight w:val="none"/>
        </w:rPr>
      </w:pPr>
      <w:r>
        <w:rPr>
          <w:rFonts w:hint="eastAsia"/>
          <w:highlight w:val="none"/>
        </w:rPr>
        <w:t>（5）不能按期竣工的，应合理延长工期，承包人不需支付逾期竣工违约金。发包人要求赶工的，承包人应采取赶工措施，赶工费用由发包人承担。</w:t>
      </w:r>
    </w:p>
    <w:p>
      <w:pPr>
        <w:spacing w:line="400" w:lineRule="exact"/>
        <w:ind w:firstLine="420" w:firstLineChars="200"/>
        <w:rPr>
          <w:highlight w:val="none"/>
        </w:rPr>
      </w:pPr>
      <w:r>
        <w:rPr>
          <w:rFonts w:hint="eastAsia"/>
          <w:highlight w:val="none"/>
        </w:rPr>
        <w:t xml:space="preserve">21.3.2 </w:t>
      </w:r>
      <w:r>
        <w:rPr>
          <w:rFonts w:hint="eastAsia" w:ascii="黑体" w:eastAsia="黑体"/>
          <w:highlight w:val="none"/>
        </w:rPr>
        <w:t>延迟履行期间发生的不可抗力</w:t>
      </w:r>
    </w:p>
    <w:p>
      <w:pPr>
        <w:spacing w:line="400" w:lineRule="exact"/>
        <w:ind w:firstLine="420" w:firstLineChars="200"/>
        <w:rPr>
          <w:highlight w:val="none"/>
        </w:rPr>
      </w:pPr>
      <w:r>
        <w:rPr>
          <w:rFonts w:hint="eastAsia"/>
          <w:highlight w:val="none"/>
        </w:rPr>
        <w:t>合同一方当事人延迟履行，在延迟履行期间发生不可抗力的，不免除其责任。</w:t>
      </w:r>
    </w:p>
    <w:p>
      <w:pPr>
        <w:spacing w:line="400" w:lineRule="exact"/>
        <w:ind w:firstLine="420" w:firstLineChars="200"/>
        <w:rPr>
          <w:highlight w:val="none"/>
        </w:rPr>
      </w:pPr>
      <w:r>
        <w:rPr>
          <w:rFonts w:hint="eastAsia"/>
          <w:highlight w:val="none"/>
        </w:rPr>
        <w:t xml:space="preserve">21.3.3 </w:t>
      </w:r>
      <w:r>
        <w:rPr>
          <w:rFonts w:hint="eastAsia" w:ascii="黑体" w:eastAsia="黑体"/>
          <w:highlight w:val="none"/>
        </w:rPr>
        <w:t>避免和减少不可抗力损失</w:t>
      </w:r>
    </w:p>
    <w:p>
      <w:pPr>
        <w:spacing w:line="400" w:lineRule="exact"/>
        <w:ind w:firstLine="420" w:firstLineChars="200"/>
        <w:rPr>
          <w:highlight w:val="none"/>
        </w:rPr>
      </w:pPr>
      <w:r>
        <w:rPr>
          <w:rFonts w:hint="eastAsia"/>
          <w:highlight w:val="none"/>
        </w:rPr>
        <w:t>不可抗力发生后，发包人和承包人均应采取措施尽量避免和减少损失的扩大，任何一方没有采取有效措施导致损失扩大的，应对扩大的损失承担责任。</w:t>
      </w:r>
    </w:p>
    <w:p>
      <w:pPr>
        <w:spacing w:line="400" w:lineRule="exact"/>
        <w:ind w:firstLine="420" w:firstLineChars="200"/>
        <w:rPr>
          <w:highlight w:val="none"/>
        </w:rPr>
      </w:pPr>
      <w:r>
        <w:rPr>
          <w:rFonts w:hint="eastAsia"/>
          <w:highlight w:val="none"/>
        </w:rPr>
        <w:t xml:space="preserve">21.3.4 </w:t>
      </w:r>
      <w:r>
        <w:rPr>
          <w:rFonts w:hint="eastAsia" w:ascii="黑体" w:eastAsia="黑体"/>
          <w:highlight w:val="none"/>
        </w:rPr>
        <w:t>因不可抗力解除合同</w:t>
      </w:r>
    </w:p>
    <w:p>
      <w:pPr>
        <w:spacing w:line="400" w:lineRule="exact"/>
        <w:ind w:firstLine="420" w:firstLineChars="200"/>
        <w:rPr>
          <w:highlight w:val="none"/>
        </w:rPr>
      </w:pPr>
      <w:r>
        <w:rPr>
          <w:rFonts w:hint="eastAsia"/>
          <w:highlight w:val="none"/>
        </w:rPr>
        <w:t>合同一方当事人因不可抗力不能履行合同的，应当及时通知对方解除合同。合同解除后，承包人应按照第22.2.5项约定撤离施工场地。已经订货的材料、设备由订货方负责退货或解除订货合同，不能退还的货款和因退货、解除订货合同发生的费用，由发包人承担，因未及时退货造成的损失由责任方承担。合同解除后的付款，参照第22.2.4项约定，由监理人按第3.5款商定或确定。</w:t>
      </w:r>
    </w:p>
    <w:p>
      <w:pPr>
        <w:pStyle w:val="282"/>
        <w:spacing w:before="0"/>
        <w:outlineLvl w:val="0"/>
        <w:rPr>
          <w:highlight w:val="none"/>
        </w:rPr>
      </w:pPr>
      <w:bookmarkStart w:id="1177" w:name="_Toc152042532"/>
      <w:bookmarkStart w:id="1178" w:name="_Toc152045753"/>
      <w:bookmarkStart w:id="1179" w:name="_Toc342296404"/>
      <w:bookmarkStart w:id="1180" w:name="_Toc29228"/>
      <w:bookmarkStart w:id="1181" w:name="_Toc434331322"/>
      <w:bookmarkStart w:id="1182" w:name="_Toc338944846"/>
      <w:bookmarkStart w:id="1183" w:name="_Toc179632771"/>
      <w:bookmarkStart w:id="1184" w:name="_Toc144974724"/>
      <w:r>
        <w:rPr>
          <w:rFonts w:hint="eastAsia"/>
          <w:highlight w:val="none"/>
        </w:rPr>
        <w:t>22. 违约</w:t>
      </w:r>
      <w:bookmarkEnd w:id="1177"/>
      <w:bookmarkEnd w:id="1178"/>
      <w:bookmarkEnd w:id="1179"/>
      <w:bookmarkEnd w:id="1180"/>
      <w:bookmarkEnd w:id="1181"/>
      <w:bookmarkEnd w:id="1182"/>
      <w:bookmarkEnd w:id="1183"/>
      <w:bookmarkEnd w:id="1184"/>
    </w:p>
    <w:p>
      <w:pPr>
        <w:pStyle w:val="199"/>
        <w:outlineLvl w:val="0"/>
        <w:rPr>
          <w:highlight w:val="none"/>
        </w:rPr>
      </w:pPr>
      <w:bookmarkStart w:id="1185" w:name="_Toc342296405"/>
      <w:bookmarkStart w:id="1186" w:name="_Toc434331323"/>
      <w:bookmarkStart w:id="1187" w:name="_Toc338944847"/>
      <w:bookmarkStart w:id="1188" w:name="_Toc144974725"/>
      <w:bookmarkStart w:id="1189" w:name="_Toc12800"/>
      <w:bookmarkStart w:id="1190" w:name="_Toc179632772"/>
      <w:bookmarkStart w:id="1191" w:name="_Toc152042533"/>
      <w:bookmarkStart w:id="1192" w:name="_Toc152045754"/>
      <w:r>
        <w:rPr>
          <w:rFonts w:hint="eastAsia"/>
          <w:highlight w:val="none"/>
        </w:rPr>
        <w:t>22.1 承包人违约</w:t>
      </w:r>
      <w:bookmarkEnd w:id="1185"/>
      <w:bookmarkEnd w:id="1186"/>
      <w:bookmarkEnd w:id="1187"/>
      <w:bookmarkEnd w:id="1188"/>
      <w:bookmarkEnd w:id="1189"/>
      <w:bookmarkEnd w:id="1190"/>
      <w:bookmarkEnd w:id="1191"/>
      <w:bookmarkEnd w:id="1192"/>
    </w:p>
    <w:p>
      <w:pPr>
        <w:spacing w:line="400" w:lineRule="exact"/>
        <w:ind w:firstLine="420" w:firstLineChars="200"/>
        <w:rPr>
          <w:highlight w:val="none"/>
        </w:rPr>
      </w:pPr>
      <w:r>
        <w:rPr>
          <w:rFonts w:hint="eastAsia"/>
          <w:highlight w:val="none"/>
        </w:rPr>
        <w:t>22.1.1</w:t>
      </w:r>
      <w:r>
        <w:rPr>
          <w:rFonts w:hint="eastAsia" w:ascii="黑体" w:eastAsia="黑体"/>
          <w:highlight w:val="none"/>
        </w:rPr>
        <w:t xml:space="preserve"> 承包人违约的情形</w:t>
      </w:r>
    </w:p>
    <w:p>
      <w:pPr>
        <w:spacing w:line="400" w:lineRule="exact"/>
        <w:ind w:firstLine="420" w:firstLineChars="200"/>
        <w:rPr>
          <w:highlight w:val="none"/>
        </w:rPr>
      </w:pPr>
      <w:r>
        <w:rPr>
          <w:rFonts w:hint="eastAsia"/>
          <w:highlight w:val="none"/>
        </w:rPr>
        <w:t>在履行合同过程中发生的下列情况属承包人违约：</w:t>
      </w:r>
    </w:p>
    <w:p>
      <w:pPr>
        <w:spacing w:line="400" w:lineRule="exact"/>
        <w:ind w:firstLine="718" w:firstLineChars="342"/>
        <w:rPr>
          <w:highlight w:val="none"/>
        </w:rPr>
      </w:pPr>
      <w:r>
        <w:rPr>
          <w:rFonts w:hint="eastAsia"/>
          <w:highlight w:val="none"/>
        </w:rPr>
        <w:t>（1）承包人违反第1.8款或第4.3款的约定，私自将合同的全部或部分权利转让给其他人，或私自将合同的全部或部分义务转移给其他人；</w:t>
      </w:r>
    </w:p>
    <w:p>
      <w:pPr>
        <w:spacing w:line="400" w:lineRule="exact"/>
        <w:ind w:firstLine="718" w:firstLineChars="342"/>
        <w:rPr>
          <w:highlight w:val="none"/>
        </w:rPr>
      </w:pPr>
      <w:r>
        <w:rPr>
          <w:rFonts w:hint="eastAsia"/>
          <w:highlight w:val="none"/>
        </w:rPr>
        <w:t>（2）承包人违反第5.3款或第6.4款的约定，未经监理人批准，私自将已按合同约定进入施工场地的施工设备、临时设施或材料撤离施工场地；</w:t>
      </w:r>
    </w:p>
    <w:p>
      <w:pPr>
        <w:spacing w:line="400" w:lineRule="exact"/>
        <w:ind w:firstLine="718" w:firstLineChars="342"/>
        <w:rPr>
          <w:highlight w:val="none"/>
        </w:rPr>
      </w:pPr>
      <w:r>
        <w:rPr>
          <w:rFonts w:hint="eastAsia"/>
          <w:highlight w:val="none"/>
        </w:rPr>
        <w:t>（3）承包人违反第5.4款的约定使用了不合格材料或工程设备，工程质量达不到标准要求，又拒绝清除不合格工程；</w:t>
      </w:r>
    </w:p>
    <w:p>
      <w:pPr>
        <w:spacing w:line="400" w:lineRule="exact"/>
        <w:ind w:firstLine="718" w:firstLineChars="342"/>
        <w:rPr>
          <w:highlight w:val="none"/>
        </w:rPr>
      </w:pPr>
      <w:r>
        <w:rPr>
          <w:rFonts w:hint="eastAsia"/>
          <w:highlight w:val="none"/>
        </w:rPr>
        <w:t>（4）承包人未能按合同进度计划及时完成合同约定的工作，已造成或预期造成工期延误；</w:t>
      </w:r>
    </w:p>
    <w:p>
      <w:pPr>
        <w:spacing w:line="400" w:lineRule="exact"/>
        <w:ind w:firstLine="718" w:firstLineChars="342"/>
        <w:rPr>
          <w:highlight w:val="none"/>
        </w:rPr>
      </w:pPr>
      <w:r>
        <w:rPr>
          <w:rFonts w:hint="eastAsia"/>
          <w:highlight w:val="none"/>
        </w:rPr>
        <w:t>（5）承包人在缺陷责任期内，未能对工程接收证书所列的缺陷清单的内容或缺陷责任期内发生的缺陷进行修复，而又拒绝按监理人指示再进行修补；</w:t>
      </w:r>
    </w:p>
    <w:p>
      <w:pPr>
        <w:spacing w:line="400" w:lineRule="exact"/>
        <w:ind w:firstLine="718" w:firstLineChars="342"/>
        <w:rPr>
          <w:highlight w:val="none"/>
        </w:rPr>
      </w:pPr>
      <w:r>
        <w:rPr>
          <w:rFonts w:hint="eastAsia"/>
          <w:highlight w:val="none"/>
        </w:rPr>
        <w:t>（6）承包人无法继续履行或明确表示不履行或实质上已停止履行合同；</w:t>
      </w:r>
    </w:p>
    <w:p>
      <w:pPr>
        <w:spacing w:line="400" w:lineRule="exact"/>
        <w:ind w:firstLine="718" w:firstLineChars="342"/>
        <w:rPr>
          <w:highlight w:val="none"/>
        </w:rPr>
      </w:pPr>
      <w:r>
        <w:rPr>
          <w:rFonts w:hint="eastAsia"/>
          <w:highlight w:val="none"/>
        </w:rPr>
        <w:t>（7）承包人不按合同约定履行义务的其他情况。</w:t>
      </w:r>
    </w:p>
    <w:p>
      <w:pPr>
        <w:spacing w:line="400" w:lineRule="exact"/>
        <w:ind w:firstLine="420" w:firstLineChars="200"/>
        <w:rPr>
          <w:rFonts w:ascii="黑体" w:eastAsia="黑体"/>
          <w:highlight w:val="none"/>
        </w:rPr>
      </w:pPr>
      <w:r>
        <w:rPr>
          <w:rFonts w:hint="eastAsia"/>
          <w:highlight w:val="none"/>
        </w:rPr>
        <w:t>22.1.2</w:t>
      </w:r>
      <w:r>
        <w:rPr>
          <w:rFonts w:hint="eastAsia" w:ascii="黑体" w:eastAsia="黑体"/>
          <w:highlight w:val="none"/>
        </w:rPr>
        <w:t xml:space="preserve"> 对承包人违约的处理</w:t>
      </w:r>
    </w:p>
    <w:p>
      <w:pPr>
        <w:spacing w:line="400" w:lineRule="exact"/>
        <w:ind w:firstLine="718" w:firstLineChars="342"/>
        <w:rPr>
          <w:highlight w:val="none"/>
        </w:rPr>
      </w:pPr>
      <w:r>
        <w:rPr>
          <w:rFonts w:hint="eastAsia"/>
          <w:highlight w:val="none"/>
        </w:rPr>
        <w:t>（1）承包人发生第22.1.1（6）目约定的违约情况时，发包人可通知承包人立即解除合同，并按有关法律处理。</w:t>
      </w:r>
    </w:p>
    <w:p>
      <w:pPr>
        <w:spacing w:line="400" w:lineRule="exact"/>
        <w:ind w:firstLine="718" w:firstLineChars="342"/>
        <w:rPr>
          <w:highlight w:val="none"/>
        </w:rPr>
      </w:pPr>
      <w:r>
        <w:rPr>
          <w:rFonts w:hint="eastAsia"/>
          <w:highlight w:val="none"/>
        </w:rPr>
        <w:t>（2）承包人发生除第22.1.1（6）目约定以外的其他违约情况时，监理人可向承包人发出整改通知，要求其在指定的期限内改正。承包人应承担其违约所引起的费用增加和（或）工期延误。</w:t>
      </w:r>
    </w:p>
    <w:p>
      <w:pPr>
        <w:spacing w:line="400" w:lineRule="exact"/>
        <w:ind w:firstLine="718" w:firstLineChars="342"/>
        <w:rPr>
          <w:highlight w:val="none"/>
        </w:rPr>
      </w:pPr>
      <w:r>
        <w:rPr>
          <w:rFonts w:hint="eastAsia"/>
          <w:highlight w:val="none"/>
        </w:rPr>
        <w:t>（3）经检查证明承包人已采取了有效措施纠正违约行为，具备复工条件的，可由监理人签发复工通知复工。</w:t>
      </w:r>
    </w:p>
    <w:p>
      <w:pPr>
        <w:spacing w:line="400" w:lineRule="exact"/>
        <w:ind w:firstLine="420" w:firstLineChars="200"/>
        <w:rPr>
          <w:rFonts w:ascii="黑体" w:eastAsia="黑体"/>
          <w:highlight w:val="none"/>
        </w:rPr>
      </w:pPr>
      <w:r>
        <w:rPr>
          <w:rFonts w:hint="eastAsia"/>
          <w:highlight w:val="none"/>
        </w:rPr>
        <w:t>22.1.3</w:t>
      </w:r>
      <w:r>
        <w:rPr>
          <w:rFonts w:hint="eastAsia" w:ascii="黑体" w:eastAsia="黑体"/>
          <w:highlight w:val="none"/>
        </w:rPr>
        <w:t xml:space="preserve"> 承包人违约解除合同</w:t>
      </w:r>
    </w:p>
    <w:p>
      <w:pPr>
        <w:spacing w:line="400" w:lineRule="exact"/>
        <w:ind w:firstLine="420" w:firstLineChars="200"/>
        <w:rPr>
          <w:highlight w:val="none"/>
        </w:rPr>
      </w:pPr>
      <w:r>
        <w:rPr>
          <w:rFonts w:hint="eastAsia"/>
          <w:highlight w:val="none"/>
        </w:rPr>
        <w:t>监理人发出整改通知28天后，承包人仍不纠正违约行为的，发包人可向承包人发出解除合同通知。合同解除后，发包人可派员进驻施工场地，另行组织人员或委托其他承包人施工。发包人因继续完成该工程的需要，有权扣留使用承包人在现场的材料、设备和临时设施。但发包人的这一行动不免除承包人应承担的违约责任，也不影响发包人根据合同约定享有的索赔权利。</w:t>
      </w:r>
    </w:p>
    <w:p>
      <w:pPr>
        <w:spacing w:line="400" w:lineRule="exact"/>
        <w:ind w:firstLine="420" w:firstLineChars="200"/>
        <w:rPr>
          <w:rFonts w:ascii="黑体" w:eastAsia="黑体"/>
          <w:highlight w:val="none"/>
        </w:rPr>
      </w:pPr>
      <w:r>
        <w:rPr>
          <w:rFonts w:hint="eastAsia"/>
          <w:highlight w:val="none"/>
        </w:rPr>
        <w:t>22.1.4</w:t>
      </w:r>
      <w:r>
        <w:rPr>
          <w:rFonts w:hint="eastAsia" w:ascii="黑体" w:eastAsia="黑体"/>
          <w:highlight w:val="none"/>
        </w:rPr>
        <w:t xml:space="preserve"> 合同解除后的估价、付款和结清</w:t>
      </w:r>
    </w:p>
    <w:p>
      <w:pPr>
        <w:spacing w:line="400" w:lineRule="exact"/>
        <w:ind w:firstLine="718" w:firstLineChars="342"/>
        <w:rPr>
          <w:highlight w:val="none"/>
        </w:rPr>
      </w:pPr>
      <w:r>
        <w:rPr>
          <w:rFonts w:hint="eastAsia"/>
          <w:highlight w:val="none"/>
        </w:rPr>
        <w:t xml:space="preserve">（1）合同解除后，监理人按第3.5款商定或确定承包人实际完成工作的价值，以及承包人已提供的材料、施工设备、工程设备和临时工程等的价值。 </w:t>
      </w:r>
    </w:p>
    <w:p>
      <w:pPr>
        <w:spacing w:line="400" w:lineRule="exact"/>
        <w:ind w:firstLine="718" w:firstLineChars="342"/>
        <w:rPr>
          <w:highlight w:val="none"/>
        </w:rPr>
      </w:pPr>
      <w:r>
        <w:rPr>
          <w:rFonts w:hint="eastAsia"/>
          <w:highlight w:val="none"/>
        </w:rPr>
        <w:t xml:space="preserve">（2）合同解除后，发包人应暂停对承包人的一切付款，查清各项付款和已扣款金额，包括承包人应支付的违约金。 </w:t>
      </w:r>
    </w:p>
    <w:p>
      <w:pPr>
        <w:spacing w:line="400" w:lineRule="exact"/>
        <w:ind w:firstLine="718" w:firstLineChars="342"/>
        <w:rPr>
          <w:highlight w:val="none"/>
        </w:rPr>
      </w:pPr>
      <w:r>
        <w:rPr>
          <w:rFonts w:hint="eastAsia"/>
          <w:highlight w:val="none"/>
        </w:rPr>
        <w:t>（3）合同解除后，发包人应按第23.4款的约定向承包人索赔由于解除合同给发包人造成的损失。</w:t>
      </w:r>
    </w:p>
    <w:p>
      <w:pPr>
        <w:spacing w:line="400" w:lineRule="exact"/>
        <w:ind w:firstLine="718" w:firstLineChars="342"/>
        <w:rPr>
          <w:highlight w:val="none"/>
        </w:rPr>
      </w:pPr>
      <w:r>
        <w:rPr>
          <w:rFonts w:hint="eastAsia"/>
          <w:highlight w:val="none"/>
        </w:rPr>
        <w:t>（4）合同双方确认上述往来款项后，出具最终结清付款证书，结清全部合同款项。</w:t>
      </w:r>
    </w:p>
    <w:p>
      <w:pPr>
        <w:spacing w:line="400" w:lineRule="exact"/>
        <w:ind w:firstLine="718" w:firstLineChars="342"/>
        <w:rPr>
          <w:highlight w:val="none"/>
        </w:rPr>
      </w:pPr>
      <w:r>
        <w:rPr>
          <w:rFonts w:hint="eastAsia"/>
          <w:highlight w:val="none"/>
        </w:rPr>
        <w:t>（5）发包人和承包人未能就解除合同后的结清达成一致而形成争议的，按第24条的约定办理。</w:t>
      </w:r>
    </w:p>
    <w:p>
      <w:pPr>
        <w:spacing w:line="400" w:lineRule="exact"/>
        <w:ind w:firstLine="420" w:firstLineChars="200"/>
        <w:rPr>
          <w:rFonts w:ascii="黑体" w:eastAsia="黑体"/>
          <w:highlight w:val="none"/>
        </w:rPr>
      </w:pPr>
      <w:r>
        <w:rPr>
          <w:rFonts w:hint="eastAsia"/>
          <w:highlight w:val="none"/>
        </w:rPr>
        <w:t>22.1.5</w:t>
      </w:r>
      <w:r>
        <w:rPr>
          <w:rFonts w:hint="eastAsia" w:ascii="黑体" w:eastAsia="黑体"/>
          <w:highlight w:val="none"/>
        </w:rPr>
        <w:t xml:space="preserve"> 协议利益的转让</w:t>
      </w:r>
    </w:p>
    <w:p>
      <w:pPr>
        <w:spacing w:line="400" w:lineRule="exact"/>
        <w:ind w:firstLine="420" w:firstLineChars="200"/>
        <w:rPr>
          <w:highlight w:val="none"/>
        </w:rPr>
      </w:pPr>
      <w:r>
        <w:rPr>
          <w:rFonts w:hint="eastAsia"/>
          <w:highlight w:val="none"/>
        </w:rPr>
        <w:t xml:space="preserve">因承包人违约解除合同的，发包人有权要求承包人将其为实施合同而签订的材料和设备的订货协议或任何服务协议利益转让给发包人，并在解除合同后的14天内，依法办理转让手续。 </w:t>
      </w:r>
    </w:p>
    <w:p>
      <w:pPr>
        <w:spacing w:line="400" w:lineRule="exact"/>
        <w:ind w:firstLine="420" w:firstLineChars="200"/>
        <w:rPr>
          <w:rFonts w:ascii="黑体" w:eastAsia="黑体"/>
          <w:highlight w:val="none"/>
        </w:rPr>
      </w:pPr>
      <w:r>
        <w:rPr>
          <w:rFonts w:hint="eastAsia"/>
          <w:highlight w:val="none"/>
        </w:rPr>
        <w:t>22.1.6</w:t>
      </w:r>
      <w:r>
        <w:rPr>
          <w:rFonts w:hint="eastAsia" w:ascii="黑体" w:eastAsia="黑体"/>
          <w:highlight w:val="none"/>
        </w:rPr>
        <w:t xml:space="preserve"> 紧急情况下无能力或不愿进行抢救</w:t>
      </w:r>
    </w:p>
    <w:p>
      <w:pPr>
        <w:spacing w:line="400" w:lineRule="exact"/>
        <w:ind w:firstLine="420" w:firstLineChars="200"/>
        <w:rPr>
          <w:highlight w:val="none"/>
        </w:rPr>
      </w:pPr>
      <w:r>
        <w:rPr>
          <w:rFonts w:hint="eastAsia"/>
          <w:highlight w:val="none"/>
        </w:rPr>
        <w:t>在工程实施期间或缺陷责任期内发生危及工程安全的事件，监理人通知承包人进行抢救，承包人声明无能力或不愿立即执行的，发包人有权雇佣其他人员进行抢救。此类抢救按合同约定属于承包人义务的，由此发生的金额和（或）工期延误由承包人承担。</w:t>
      </w:r>
    </w:p>
    <w:p>
      <w:pPr>
        <w:pStyle w:val="199"/>
        <w:outlineLvl w:val="0"/>
        <w:rPr>
          <w:highlight w:val="none"/>
        </w:rPr>
      </w:pPr>
      <w:bookmarkStart w:id="1193" w:name="_Toc144974726"/>
      <w:bookmarkStart w:id="1194" w:name="_Toc179632773"/>
      <w:bookmarkStart w:id="1195" w:name="_Toc152045755"/>
      <w:bookmarkStart w:id="1196" w:name="_Toc3774"/>
      <w:bookmarkStart w:id="1197" w:name="_Toc338944848"/>
      <w:bookmarkStart w:id="1198" w:name="_Toc152042534"/>
      <w:bookmarkStart w:id="1199" w:name="_Toc434331324"/>
      <w:bookmarkStart w:id="1200" w:name="_Toc342296406"/>
      <w:r>
        <w:rPr>
          <w:rFonts w:hint="eastAsia"/>
          <w:highlight w:val="none"/>
        </w:rPr>
        <w:t>22.2 发包人违约</w:t>
      </w:r>
      <w:bookmarkEnd w:id="1193"/>
      <w:bookmarkEnd w:id="1194"/>
      <w:bookmarkEnd w:id="1195"/>
      <w:bookmarkEnd w:id="1196"/>
      <w:bookmarkEnd w:id="1197"/>
      <w:bookmarkEnd w:id="1198"/>
      <w:bookmarkEnd w:id="1199"/>
      <w:bookmarkEnd w:id="1200"/>
    </w:p>
    <w:p>
      <w:pPr>
        <w:spacing w:line="400" w:lineRule="exact"/>
        <w:ind w:firstLine="420" w:firstLineChars="200"/>
        <w:rPr>
          <w:rFonts w:ascii="黑体" w:eastAsia="黑体"/>
          <w:highlight w:val="none"/>
        </w:rPr>
      </w:pPr>
      <w:r>
        <w:rPr>
          <w:rFonts w:hint="eastAsia"/>
          <w:highlight w:val="none"/>
        </w:rPr>
        <w:t xml:space="preserve">22.2.1 </w:t>
      </w:r>
      <w:r>
        <w:rPr>
          <w:rFonts w:hint="eastAsia" w:ascii="黑体" w:eastAsia="黑体"/>
          <w:highlight w:val="none"/>
        </w:rPr>
        <w:t>发包人违约的情形</w:t>
      </w:r>
    </w:p>
    <w:p>
      <w:pPr>
        <w:spacing w:line="400" w:lineRule="exact"/>
        <w:ind w:firstLine="420" w:firstLineChars="200"/>
        <w:rPr>
          <w:highlight w:val="none"/>
        </w:rPr>
      </w:pPr>
      <w:r>
        <w:rPr>
          <w:rFonts w:hint="eastAsia"/>
          <w:highlight w:val="none"/>
        </w:rPr>
        <w:t>在履行合同过程中发生的下列情形，属发包人违约：</w:t>
      </w:r>
    </w:p>
    <w:p>
      <w:pPr>
        <w:spacing w:line="400" w:lineRule="exact"/>
        <w:ind w:firstLine="718" w:firstLineChars="342"/>
        <w:rPr>
          <w:highlight w:val="none"/>
        </w:rPr>
      </w:pPr>
      <w:r>
        <w:rPr>
          <w:rFonts w:hint="eastAsia"/>
          <w:highlight w:val="none"/>
        </w:rPr>
        <w:t>（1）发包人未能按合同约定支付预付款或合同价款，或拖延、拒绝批准付款申请和支付凭证，导致付款延误的；</w:t>
      </w:r>
    </w:p>
    <w:p>
      <w:pPr>
        <w:spacing w:line="400" w:lineRule="exact"/>
        <w:ind w:firstLine="718" w:firstLineChars="342"/>
        <w:rPr>
          <w:highlight w:val="none"/>
        </w:rPr>
      </w:pPr>
      <w:r>
        <w:rPr>
          <w:rFonts w:hint="eastAsia"/>
          <w:highlight w:val="none"/>
        </w:rPr>
        <w:t>（2）发包人原因造成停工的；</w:t>
      </w:r>
    </w:p>
    <w:p>
      <w:pPr>
        <w:spacing w:line="400" w:lineRule="exact"/>
        <w:ind w:firstLine="718" w:firstLineChars="342"/>
        <w:rPr>
          <w:highlight w:val="none"/>
        </w:rPr>
      </w:pPr>
      <w:r>
        <w:rPr>
          <w:rFonts w:hint="eastAsia"/>
          <w:highlight w:val="none"/>
        </w:rPr>
        <w:t>（3）监理人无正当理由没有在约定期限内发出复工指示，导致承包人无法复工的；</w:t>
      </w:r>
    </w:p>
    <w:p>
      <w:pPr>
        <w:spacing w:line="400" w:lineRule="exact"/>
        <w:ind w:firstLine="718" w:firstLineChars="342"/>
        <w:rPr>
          <w:highlight w:val="none"/>
        </w:rPr>
      </w:pPr>
      <w:r>
        <w:rPr>
          <w:rFonts w:hint="eastAsia"/>
          <w:highlight w:val="none"/>
        </w:rPr>
        <w:t>（4）发包人无法继续履行或明确表示不履行或实质上已停止履行合同的；</w:t>
      </w:r>
    </w:p>
    <w:p>
      <w:pPr>
        <w:spacing w:line="400" w:lineRule="exact"/>
        <w:ind w:firstLine="718" w:firstLineChars="342"/>
        <w:rPr>
          <w:highlight w:val="none"/>
        </w:rPr>
      </w:pPr>
      <w:r>
        <w:rPr>
          <w:rFonts w:hint="eastAsia"/>
          <w:highlight w:val="none"/>
        </w:rPr>
        <w:t>（5）发包人不履行合同约定其他义务的。</w:t>
      </w:r>
    </w:p>
    <w:p>
      <w:pPr>
        <w:spacing w:line="400" w:lineRule="exact"/>
        <w:ind w:firstLine="420" w:firstLineChars="200"/>
        <w:rPr>
          <w:highlight w:val="none"/>
        </w:rPr>
      </w:pPr>
      <w:r>
        <w:rPr>
          <w:rFonts w:hint="eastAsia"/>
          <w:highlight w:val="none"/>
        </w:rPr>
        <w:t>22.2.2</w:t>
      </w:r>
      <w:r>
        <w:rPr>
          <w:rFonts w:hint="eastAsia" w:ascii="黑体" w:eastAsia="黑体"/>
          <w:highlight w:val="none"/>
        </w:rPr>
        <w:t xml:space="preserve"> 承包人有权暂停施工</w:t>
      </w:r>
    </w:p>
    <w:p>
      <w:pPr>
        <w:spacing w:line="400" w:lineRule="exact"/>
        <w:ind w:firstLine="420" w:firstLineChars="200"/>
        <w:rPr>
          <w:highlight w:val="none"/>
        </w:rPr>
      </w:pPr>
      <w:r>
        <w:rPr>
          <w:rFonts w:hint="eastAsia"/>
          <w:highlight w:val="none"/>
        </w:rPr>
        <w:t>发包人发生除第22.2.1（4）目以外的违约情况时，承包人可向发包人发出通知，要求发包人采取有效措施纠正违约行为。发包人收到承包人通知后的28天内仍不履行合同义务，承包人有权暂停施工，并通知监理人，发包人应承担由此增加的费用和（或）工期延误，并支付承包人合理利润。</w:t>
      </w:r>
    </w:p>
    <w:p>
      <w:pPr>
        <w:spacing w:line="400" w:lineRule="exact"/>
        <w:ind w:firstLine="420" w:firstLineChars="200"/>
        <w:rPr>
          <w:highlight w:val="none"/>
        </w:rPr>
      </w:pPr>
      <w:r>
        <w:rPr>
          <w:rFonts w:hint="eastAsia"/>
          <w:highlight w:val="none"/>
        </w:rPr>
        <w:t>22.2.3</w:t>
      </w:r>
      <w:r>
        <w:rPr>
          <w:rFonts w:hint="eastAsia" w:ascii="黑体" w:eastAsia="黑体"/>
          <w:highlight w:val="none"/>
        </w:rPr>
        <w:t xml:space="preserve"> 发包人违约解除合同</w:t>
      </w:r>
      <w:r>
        <w:rPr>
          <w:rFonts w:hint="eastAsia"/>
          <w:highlight w:val="none"/>
        </w:rPr>
        <w:t xml:space="preserve"> </w:t>
      </w:r>
    </w:p>
    <w:p>
      <w:pPr>
        <w:spacing w:line="400" w:lineRule="exact"/>
        <w:ind w:firstLine="718" w:firstLineChars="342"/>
        <w:rPr>
          <w:highlight w:val="none"/>
        </w:rPr>
      </w:pPr>
      <w:r>
        <w:rPr>
          <w:rFonts w:hint="eastAsia"/>
          <w:highlight w:val="none"/>
        </w:rPr>
        <w:t xml:space="preserve">（1）发生第22.2.1（4）目的违约情况时，承包人可书面通知发包人解除合同。   </w:t>
      </w:r>
    </w:p>
    <w:p>
      <w:pPr>
        <w:spacing w:line="400" w:lineRule="exact"/>
        <w:ind w:firstLine="718" w:firstLineChars="342"/>
        <w:rPr>
          <w:highlight w:val="none"/>
        </w:rPr>
      </w:pPr>
      <w:r>
        <w:rPr>
          <w:rFonts w:hint="eastAsia"/>
          <w:highlight w:val="none"/>
        </w:rPr>
        <w:t>（2）承包人按22.2.2项暂停施工28天后，发包人仍不纠正违约行为的，承包人可向发包人发出解除合同通知。但承包人的这一行动不免除发包人承担的违约责任，也不影响承包人根据合同约定享有的索赔权利。</w:t>
      </w:r>
    </w:p>
    <w:p>
      <w:pPr>
        <w:spacing w:line="400" w:lineRule="exact"/>
        <w:ind w:firstLine="420" w:firstLineChars="200"/>
        <w:rPr>
          <w:rFonts w:ascii="黑体" w:eastAsia="黑体"/>
          <w:highlight w:val="none"/>
        </w:rPr>
      </w:pPr>
      <w:r>
        <w:rPr>
          <w:rFonts w:hint="eastAsia"/>
          <w:highlight w:val="none"/>
        </w:rPr>
        <w:t>22.2.4</w:t>
      </w:r>
      <w:r>
        <w:rPr>
          <w:rFonts w:hint="eastAsia" w:ascii="黑体" w:eastAsia="黑体"/>
          <w:highlight w:val="none"/>
        </w:rPr>
        <w:t xml:space="preserve"> 解除合同后的付款</w:t>
      </w:r>
    </w:p>
    <w:p>
      <w:pPr>
        <w:spacing w:line="400" w:lineRule="exact"/>
        <w:ind w:firstLine="420" w:firstLineChars="200"/>
        <w:rPr>
          <w:highlight w:val="none"/>
        </w:rPr>
      </w:pPr>
      <w:r>
        <w:rPr>
          <w:rFonts w:hint="eastAsia"/>
          <w:highlight w:val="none"/>
        </w:rPr>
        <w:t>因发包人违约解除合同的，发包人应在解除合同后28天内向承包人支付下列金额，承包人应在此期限内及时向发包人提交要求支付下列金额的有关资料和凭证：</w:t>
      </w:r>
    </w:p>
    <w:p>
      <w:pPr>
        <w:spacing w:line="400" w:lineRule="exact"/>
        <w:ind w:firstLine="718" w:firstLineChars="342"/>
        <w:rPr>
          <w:highlight w:val="none"/>
        </w:rPr>
      </w:pPr>
      <w:r>
        <w:rPr>
          <w:rFonts w:hint="eastAsia"/>
          <w:highlight w:val="none"/>
        </w:rPr>
        <w:t>（1）合同解除日以前所完成工作的价款；</w:t>
      </w:r>
    </w:p>
    <w:p>
      <w:pPr>
        <w:spacing w:line="400" w:lineRule="exact"/>
        <w:ind w:firstLine="718" w:firstLineChars="342"/>
        <w:rPr>
          <w:highlight w:val="none"/>
        </w:rPr>
      </w:pPr>
      <w:r>
        <w:rPr>
          <w:rFonts w:hint="eastAsia"/>
          <w:highlight w:val="none"/>
        </w:rPr>
        <w:t>（2）承包人为该工程施工订购并已付款的材料、工程设备和其他物品的金额。发包人付还后，该材料、工程设备和其他物品归发包人所有；</w:t>
      </w:r>
    </w:p>
    <w:p>
      <w:pPr>
        <w:spacing w:line="400" w:lineRule="exact"/>
        <w:ind w:firstLine="718" w:firstLineChars="342"/>
        <w:rPr>
          <w:highlight w:val="none"/>
        </w:rPr>
      </w:pPr>
      <w:r>
        <w:rPr>
          <w:rFonts w:hint="eastAsia"/>
          <w:highlight w:val="none"/>
        </w:rPr>
        <w:t>（3）承包人为完成工程所发生的，而发包人未支付的金额；</w:t>
      </w:r>
    </w:p>
    <w:p>
      <w:pPr>
        <w:spacing w:line="400" w:lineRule="exact"/>
        <w:ind w:firstLine="718" w:firstLineChars="342"/>
        <w:rPr>
          <w:highlight w:val="none"/>
        </w:rPr>
      </w:pPr>
      <w:r>
        <w:rPr>
          <w:rFonts w:hint="eastAsia"/>
          <w:highlight w:val="none"/>
        </w:rPr>
        <w:t>（4）承包人撤离施工场地以及遣散承包人人员的金额；</w:t>
      </w:r>
    </w:p>
    <w:p>
      <w:pPr>
        <w:spacing w:line="400" w:lineRule="exact"/>
        <w:ind w:firstLine="718" w:firstLineChars="342"/>
        <w:rPr>
          <w:highlight w:val="none"/>
        </w:rPr>
      </w:pPr>
      <w:r>
        <w:rPr>
          <w:rFonts w:hint="eastAsia"/>
          <w:highlight w:val="none"/>
        </w:rPr>
        <w:t>（5）由于解除合同应赔偿的承包人损失；</w:t>
      </w:r>
    </w:p>
    <w:p>
      <w:pPr>
        <w:spacing w:line="400" w:lineRule="exact"/>
        <w:ind w:firstLine="718" w:firstLineChars="342"/>
        <w:rPr>
          <w:highlight w:val="none"/>
        </w:rPr>
      </w:pPr>
      <w:r>
        <w:rPr>
          <w:rFonts w:hint="eastAsia"/>
          <w:highlight w:val="none"/>
        </w:rPr>
        <w:t>（6）按合同约定在合同解除日前应支付给承包人的其他金额。</w:t>
      </w:r>
    </w:p>
    <w:p>
      <w:pPr>
        <w:spacing w:line="400" w:lineRule="exact"/>
        <w:ind w:firstLine="420" w:firstLineChars="200"/>
        <w:rPr>
          <w:highlight w:val="none"/>
        </w:rPr>
      </w:pPr>
      <w:r>
        <w:rPr>
          <w:rFonts w:hint="eastAsia"/>
          <w:highlight w:val="none"/>
        </w:rPr>
        <w:t>发包人应按本项约定支付上述金额并退还质量保证金和履约担保，但有权要求承包人支付应偿还给发包人的各项金额。</w:t>
      </w:r>
    </w:p>
    <w:p>
      <w:pPr>
        <w:spacing w:line="400" w:lineRule="exact"/>
        <w:ind w:firstLine="420" w:firstLineChars="200"/>
        <w:rPr>
          <w:rFonts w:ascii="黑体" w:eastAsia="黑体"/>
          <w:highlight w:val="none"/>
        </w:rPr>
      </w:pPr>
      <w:r>
        <w:rPr>
          <w:rFonts w:hint="eastAsia"/>
          <w:highlight w:val="none"/>
        </w:rPr>
        <w:t>22.2.5</w:t>
      </w:r>
      <w:r>
        <w:rPr>
          <w:rFonts w:hint="eastAsia" w:ascii="黑体" w:eastAsia="黑体"/>
          <w:highlight w:val="none"/>
        </w:rPr>
        <w:t xml:space="preserve"> 解除合同后的承包人撤离</w:t>
      </w:r>
    </w:p>
    <w:p>
      <w:pPr>
        <w:spacing w:line="400" w:lineRule="exact"/>
        <w:ind w:firstLine="420" w:firstLineChars="200"/>
        <w:rPr>
          <w:highlight w:val="none"/>
        </w:rPr>
      </w:pPr>
      <w:r>
        <w:rPr>
          <w:rFonts w:hint="eastAsia"/>
          <w:highlight w:val="none"/>
        </w:rPr>
        <w:t>因发包人违约而解除合同后，承包人应妥善做好已竣工工程和已购材料、设备的保护和移交工作，按发包人要求将承包人设备和人员撤出施工场地。承包人撤出施工场地应遵守第18.7.1项的约定，发包人应为承包人撤出提供必要条件。</w:t>
      </w:r>
    </w:p>
    <w:p>
      <w:pPr>
        <w:pStyle w:val="199"/>
        <w:outlineLvl w:val="0"/>
        <w:rPr>
          <w:highlight w:val="none"/>
        </w:rPr>
      </w:pPr>
      <w:bookmarkStart w:id="1201" w:name="_Toc152045756"/>
      <w:bookmarkStart w:id="1202" w:name="_Toc179632774"/>
      <w:bookmarkStart w:id="1203" w:name="_Toc152042535"/>
      <w:bookmarkStart w:id="1204" w:name="_Toc342296407"/>
      <w:bookmarkStart w:id="1205" w:name="_Toc4359"/>
      <w:bookmarkStart w:id="1206" w:name="_Toc338944849"/>
      <w:bookmarkStart w:id="1207" w:name="_Toc434331325"/>
      <w:r>
        <w:rPr>
          <w:rFonts w:hint="eastAsia"/>
          <w:highlight w:val="none"/>
        </w:rPr>
        <w:t>22.3 第三人造成的违约</w:t>
      </w:r>
      <w:bookmarkEnd w:id="1201"/>
      <w:bookmarkEnd w:id="1202"/>
      <w:bookmarkEnd w:id="1203"/>
      <w:bookmarkEnd w:id="1204"/>
      <w:bookmarkEnd w:id="1205"/>
      <w:bookmarkEnd w:id="1206"/>
      <w:bookmarkEnd w:id="1207"/>
    </w:p>
    <w:p>
      <w:pPr>
        <w:spacing w:line="400" w:lineRule="exact"/>
        <w:ind w:firstLine="420" w:firstLineChars="200"/>
        <w:rPr>
          <w:highlight w:val="none"/>
        </w:rPr>
      </w:pPr>
      <w:r>
        <w:rPr>
          <w:rFonts w:hint="eastAsia"/>
          <w:highlight w:val="none"/>
        </w:rPr>
        <w:t>在履行合同过程中，一方当事人因第三人的原因造成违约的，应当向对方当事人承担违约责任。一方当事人和第三人之间的纠纷，依照法律规定或者按照约定解决。</w:t>
      </w:r>
    </w:p>
    <w:p>
      <w:pPr>
        <w:pStyle w:val="282"/>
        <w:spacing w:before="0"/>
        <w:outlineLvl w:val="0"/>
        <w:rPr>
          <w:highlight w:val="none"/>
        </w:rPr>
      </w:pPr>
      <w:bookmarkStart w:id="1208" w:name="_Toc342296408"/>
      <w:bookmarkStart w:id="1209" w:name="_Toc179632775"/>
      <w:bookmarkStart w:id="1210" w:name="_Toc14610"/>
      <w:bookmarkStart w:id="1211" w:name="_Toc144974727"/>
      <w:bookmarkStart w:id="1212" w:name="_Toc338944850"/>
      <w:bookmarkStart w:id="1213" w:name="_Toc152042536"/>
      <w:bookmarkStart w:id="1214" w:name="_Toc152045757"/>
      <w:bookmarkStart w:id="1215" w:name="_Toc434331326"/>
      <w:r>
        <w:rPr>
          <w:rFonts w:hint="eastAsia"/>
          <w:highlight w:val="none"/>
        </w:rPr>
        <w:t>23. 索赔</w:t>
      </w:r>
      <w:bookmarkEnd w:id="1208"/>
      <w:bookmarkEnd w:id="1209"/>
      <w:bookmarkEnd w:id="1210"/>
      <w:bookmarkEnd w:id="1211"/>
      <w:bookmarkEnd w:id="1212"/>
      <w:bookmarkEnd w:id="1213"/>
      <w:bookmarkEnd w:id="1214"/>
      <w:bookmarkEnd w:id="1215"/>
    </w:p>
    <w:p>
      <w:pPr>
        <w:pStyle w:val="199"/>
        <w:outlineLvl w:val="0"/>
        <w:rPr>
          <w:highlight w:val="none"/>
        </w:rPr>
      </w:pPr>
      <w:bookmarkStart w:id="1216" w:name="_Toc179632776"/>
      <w:bookmarkStart w:id="1217" w:name="_Toc2798"/>
      <w:bookmarkStart w:id="1218" w:name="_Toc144974728"/>
      <w:bookmarkStart w:id="1219" w:name="_Toc152042537"/>
      <w:bookmarkStart w:id="1220" w:name="_Toc338944851"/>
      <w:bookmarkStart w:id="1221" w:name="_Toc342296409"/>
      <w:bookmarkStart w:id="1222" w:name="_Toc434331327"/>
      <w:bookmarkStart w:id="1223" w:name="_Toc152045758"/>
      <w:r>
        <w:rPr>
          <w:rFonts w:hint="eastAsia"/>
          <w:highlight w:val="none"/>
        </w:rPr>
        <w:t>23.1 承包人索赔的提出</w:t>
      </w:r>
      <w:bookmarkEnd w:id="1216"/>
      <w:bookmarkEnd w:id="1217"/>
      <w:bookmarkEnd w:id="1218"/>
      <w:bookmarkEnd w:id="1219"/>
      <w:bookmarkEnd w:id="1220"/>
      <w:bookmarkEnd w:id="1221"/>
      <w:bookmarkEnd w:id="1222"/>
      <w:bookmarkEnd w:id="1223"/>
    </w:p>
    <w:p>
      <w:pPr>
        <w:spacing w:line="400" w:lineRule="exact"/>
        <w:ind w:firstLine="420" w:firstLineChars="200"/>
        <w:rPr>
          <w:highlight w:val="none"/>
        </w:rPr>
      </w:pPr>
      <w:r>
        <w:rPr>
          <w:rFonts w:hint="eastAsia"/>
          <w:highlight w:val="none"/>
        </w:rPr>
        <w:t>根据合同约定，承包人认为有权得到追加付款和（或）延长工期的，应按以下程序向发包人提出索赔：</w:t>
      </w:r>
    </w:p>
    <w:p>
      <w:pPr>
        <w:spacing w:line="400" w:lineRule="exact"/>
        <w:ind w:firstLine="359" w:firstLineChars="171"/>
        <w:rPr>
          <w:highlight w:val="none"/>
        </w:rPr>
      </w:pPr>
      <w:r>
        <w:rPr>
          <w:rFonts w:hint="eastAsia"/>
          <w:highlight w:val="none"/>
        </w:rPr>
        <w:t>（1）承包人应在知道或应当知道索赔事件发生后28天内，向监理人递交索赔意向通知书，并说明发生索赔事件的事由。承包人未在前述28天内发出索赔意向通知书的，丧失要求追加付款和（或）延长工期的权利；</w:t>
      </w:r>
    </w:p>
    <w:p>
      <w:pPr>
        <w:spacing w:line="400" w:lineRule="exact"/>
        <w:ind w:firstLine="359" w:firstLineChars="171"/>
        <w:rPr>
          <w:highlight w:val="none"/>
        </w:rPr>
      </w:pPr>
      <w:r>
        <w:rPr>
          <w:rFonts w:hint="eastAsia"/>
          <w:highlight w:val="none"/>
        </w:rPr>
        <w:t>（2）承包人应在发出索赔意向通知书后28天内，向监理人正式递交索赔通知书。索赔通知书应详细说明索赔理由以及要求追加的付款金额和（或）延长的工期，并附必要的记录和证明材料；</w:t>
      </w:r>
    </w:p>
    <w:p>
      <w:pPr>
        <w:spacing w:line="400" w:lineRule="exact"/>
        <w:ind w:firstLine="359" w:firstLineChars="171"/>
        <w:rPr>
          <w:highlight w:val="none"/>
        </w:rPr>
      </w:pPr>
      <w:r>
        <w:rPr>
          <w:rFonts w:hint="eastAsia"/>
          <w:highlight w:val="none"/>
        </w:rPr>
        <w:t>（3）索赔事件具有连续影响的，承包人应按合理时间间隔继续递交延续索赔通知，说明连续影响的实际情况和记录，列出累计的追加付款金额和（或）工期延长天数；</w:t>
      </w:r>
    </w:p>
    <w:p>
      <w:pPr>
        <w:spacing w:line="400" w:lineRule="exact"/>
        <w:ind w:firstLine="359" w:firstLineChars="171"/>
        <w:rPr>
          <w:highlight w:val="none"/>
        </w:rPr>
      </w:pPr>
      <w:r>
        <w:rPr>
          <w:rFonts w:hint="eastAsia"/>
          <w:highlight w:val="none"/>
        </w:rPr>
        <w:t>（4）在索赔事件影响结束后的28天内，承包人应向监理人递交最终索赔通知书，说明最终要求索赔的追加付款金额和延长的工期，并附必要的记录和证明材料。</w:t>
      </w:r>
    </w:p>
    <w:p>
      <w:pPr>
        <w:pStyle w:val="199"/>
        <w:outlineLvl w:val="0"/>
        <w:rPr>
          <w:highlight w:val="none"/>
        </w:rPr>
      </w:pPr>
      <w:bookmarkStart w:id="1224" w:name="_Toc338944852"/>
      <w:bookmarkStart w:id="1225" w:name="_Toc29521"/>
      <w:bookmarkStart w:id="1226" w:name="_Toc144974729"/>
      <w:bookmarkStart w:id="1227" w:name="_Toc152045759"/>
      <w:bookmarkStart w:id="1228" w:name="_Toc152042538"/>
      <w:bookmarkStart w:id="1229" w:name="_Toc434331328"/>
      <w:bookmarkStart w:id="1230" w:name="_Toc342296410"/>
      <w:bookmarkStart w:id="1231" w:name="_Toc179632777"/>
      <w:r>
        <w:rPr>
          <w:rFonts w:hint="eastAsia"/>
          <w:highlight w:val="none"/>
        </w:rPr>
        <w:t>23.2 承包人索赔处理程序</w:t>
      </w:r>
      <w:bookmarkEnd w:id="1224"/>
      <w:bookmarkEnd w:id="1225"/>
      <w:bookmarkEnd w:id="1226"/>
      <w:bookmarkEnd w:id="1227"/>
      <w:bookmarkEnd w:id="1228"/>
      <w:bookmarkEnd w:id="1229"/>
      <w:bookmarkEnd w:id="1230"/>
      <w:bookmarkEnd w:id="1231"/>
    </w:p>
    <w:p>
      <w:pPr>
        <w:spacing w:line="400" w:lineRule="exact"/>
        <w:ind w:firstLine="359" w:firstLineChars="171"/>
        <w:rPr>
          <w:highlight w:val="none"/>
        </w:rPr>
      </w:pPr>
      <w:r>
        <w:rPr>
          <w:rFonts w:hint="eastAsia"/>
          <w:highlight w:val="none"/>
        </w:rPr>
        <w:t>（1）监理人收到承包人提交的索赔通知书后，应及时审查索赔通知书的内容、查验承包人的记录和证明材料，必要时监理人可要求承包人提交全部原始记录副本。</w:t>
      </w:r>
    </w:p>
    <w:p>
      <w:pPr>
        <w:spacing w:line="400" w:lineRule="exact"/>
        <w:ind w:firstLine="359" w:firstLineChars="171"/>
        <w:rPr>
          <w:highlight w:val="none"/>
        </w:rPr>
      </w:pPr>
      <w:r>
        <w:rPr>
          <w:rFonts w:hint="eastAsia"/>
          <w:highlight w:val="none"/>
        </w:rPr>
        <w:t>（2）监理人应按第3.5款商定或确定追加的付款和（或）延长的工期，并在收到上述索赔通知书或有关索赔的进一步证明材料后的42天内，将索赔处理结果答复承包人。</w:t>
      </w:r>
    </w:p>
    <w:p>
      <w:pPr>
        <w:spacing w:line="400" w:lineRule="exact"/>
        <w:ind w:firstLine="359" w:firstLineChars="171"/>
        <w:rPr>
          <w:highlight w:val="none"/>
        </w:rPr>
      </w:pPr>
      <w:r>
        <w:rPr>
          <w:rFonts w:hint="eastAsia"/>
          <w:highlight w:val="none"/>
        </w:rPr>
        <w:t>（3）承包人接受索赔处理结果的，发包人应在作出索赔处理结果答复后28天内完成赔付。承包人不接受索赔处理结果的，按第24条的约定办理。</w:t>
      </w:r>
    </w:p>
    <w:p>
      <w:pPr>
        <w:pStyle w:val="199"/>
        <w:outlineLvl w:val="0"/>
        <w:rPr>
          <w:highlight w:val="none"/>
        </w:rPr>
      </w:pPr>
      <w:bookmarkStart w:id="1232" w:name="_Toc338944853"/>
      <w:bookmarkStart w:id="1233" w:name="_Toc11384"/>
      <w:bookmarkStart w:id="1234" w:name="_Toc342296411"/>
      <w:bookmarkStart w:id="1235" w:name="_Toc434331329"/>
      <w:bookmarkStart w:id="1236" w:name="_Toc152042539"/>
      <w:bookmarkStart w:id="1237" w:name="_Toc179632778"/>
      <w:bookmarkStart w:id="1238" w:name="_Toc144974730"/>
      <w:bookmarkStart w:id="1239" w:name="_Toc152045760"/>
      <w:r>
        <w:rPr>
          <w:rFonts w:hint="eastAsia"/>
          <w:highlight w:val="none"/>
        </w:rPr>
        <w:t>23.3 承包人提出索赔的期限</w:t>
      </w:r>
      <w:bookmarkEnd w:id="1232"/>
      <w:bookmarkEnd w:id="1233"/>
      <w:bookmarkEnd w:id="1234"/>
      <w:bookmarkEnd w:id="1235"/>
      <w:bookmarkEnd w:id="1236"/>
      <w:bookmarkEnd w:id="1237"/>
      <w:bookmarkEnd w:id="1238"/>
      <w:bookmarkEnd w:id="1239"/>
    </w:p>
    <w:p>
      <w:pPr>
        <w:spacing w:line="400" w:lineRule="exact"/>
        <w:ind w:firstLine="420" w:firstLineChars="200"/>
        <w:rPr>
          <w:highlight w:val="none"/>
        </w:rPr>
      </w:pPr>
      <w:r>
        <w:rPr>
          <w:rFonts w:hint="eastAsia"/>
          <w:highlight w:val="none"/>
        </w:rPr>
        <w:t>23.3.1 承包人按第17.5款的约定接受了竣工付款证书后，应被认为已无权再提出在合同工程接收证书颁发前所发生的任何索赔。</w:t>
      </w:r>
    </w:p>
    <w:p>
      <w:pPr>
        <w:spacing w:line="400" w:lineRule="exact"/>
        <w:ind w:firstLine="420" w:firstLineChars="200"/>
        <w:rPr>
          <w:highlight w:val="none"/>
          <w:shd w:val="pct10" w:color="auto" w:fill="FFFFFF"/>
        </w:rPr>
      </w:pPr>
      <w:r>
        <w:rPr>
          <w:rFonts w:hint="eastAsia"/>
          <w:highlight w:val="none"/>
        </w:rPr>
        <w:t xml:space="preserve">23.3.2 承包人按第17.6款的约定提交的最终结清申请单中，只限于提出工程接收证书颁发后发生的索赔。提出索赔的期限自接受最终结清证书时终止。 </w:t>
      </w:r>
    </w:p>
    <w:p>
      <w:pPr>
        <w:pStyle w:val="199"/>
        <w:outlineLvl w:val="0"/>
        <w:rPr>
          <w:highlight w:val="none"/>
        </w:rPr>
      </w:pPr>
      <w:bookmarkStart w:id="1240" w:name="_Toc434331330"/>
      <w:bookmarkStart w:id="1241" w:name="_Toc338944854"/>
      <w:bookmarkStart w:id="1242" w:name="_Toc342296412"/>
      <w:bookmarkStart w:id="1243" w:name="_Toc179632779"/>
      <w:bookmarkStart w:id="1244" w:name="_Toc152045761"/>
      <w:bookmarkStart w:id="1245" w:name="_Toc144974731"/>
      <w:bookmarkStart w:id="1246" w:name="_Toc152042540"/>
      <w:bookmarkStart w:id="1247" w:name="_Toc17792"/>
      <w:r>
        <w:rPr>
          <w:rFonts w:hint="eastAsia"/>
          <w:highlight w:val="none"/>
        </w:rPr>
        <w:t>23.4 发包人的索赔</w:t>
      </w:r>
      <w:bookmarkEnd w:id="1240"/>
      <w:bookmarkEnd w:id="1241"/>
      <w:bookmarkEnd w:id="1242"/>
      <w:bookmarkEnd w:id="1243"/>
      <w:bookmarkEnd w:id="1244"/>
      <w:bookmarkEnd w:id="1245"/>
      <w:bookmarkEnd w:id="1246"/>
      <w:bookmarkEnd w:id="1247"/>
    </w:p>
    <w:p>
      <w:pPr>
        <w:spacing w:line="400" w:lineRule="exact"/>
        <w:ind w:firstLine="420" w:firstLineChars="200"/>
        <w:rPr>
          <w:highlight w:val="none"/>
        </w:rPr>
      </w:pPr>
      <w:r>
        <w:rPr>
          <w:rFonts w:hint="eastAsia"/>
          <w:highlight w:val="none"/>
        </w:rPr>
        <w:t>23.4.1 发生索赔事件后，监理人应及时书面通知承包人，详细说明发包人有权得到的索赔金额和（或）延长缺陷责任期的细节和依据。发包人提出索赔的期限和要求与第23.3款的约定相同，延长缺陷责任期的通知应在缺陷责任期届满前发出。</w:t>
      </w:r>
    </w:p>
    <w:p>
      <w:pPr>
        <w:spacing w:line="400" w:lineRule="exact"/>
        <w:ind w:firstLine="420" w:firstLineChars="200"/>
        <w:rPr>
          <w:highlight w:val="none"/>
        </w:rPr>
      </w:pPr>
      <w:r>
        <w:rPr>
          <w:rFonts w:hint="eastAsia"/>
          <w:highlight w:val="none"/>
        </w:rPr>
        <w:t>23.4.2 监理人按第3.5款商定或确定发包人从承包人处得到赔付的金额和（或）缺陷责任期的延长期。承包人应付给发包人的金额可从拟支付给承包人的合同价款中扣除，或由承包人以其他方式支付给发包人。</w:t>
      </w:r>
    </w:p>
    <w:p>
      <w:pPr>
        <w:pStyle w:val="282"/>
        <w:spacing w:before="0"/>
        <w:outlineLvl w:val="0"/>
        <w:rPr>
          <w:highlight w:val="none"/>
        </w:rPr>
      </w:pPr>
      <w:bookmarkStart w:id="1248" w:name="_Toc338944855"/>
      <w:bookmarkStart w:id="1249" w:name="_Toc6809"/>
      <w:bookmarkStart w:id="1250" w:name="_Toc434331331"/>
      <w:bookmarkStart w:id="1251" w:name="_Toc342296413"/>
      <w:r>
        <w:rPr>
          <w:rFonts w:hint="eastAsia"/>
          <w:highlight w:val="none"/>
        </w:rPr>
        <w:t>24. 争议的解决</w:t>
      </w:r>
      <w:bookmarkEnd w:id="1248"/>
      <w:bookmarkEnd w:id="1249"/>
      <w:bookmarkEnd w:id="1250"/>
      <w:bookmarkEnd w:id="1251"/>
    </w:p>
    <w:p>
      <w:pPr>
        <w:pStyle w:val="199"/>
        <w:outlineLvl w:val="0"/>
        <w:rPr>
          <w:highlight w:val="none"/>
        </w:rPr>
      </w:pPr>
      <w:bookmarkStart w:id="1252" w:name="_Toc338944856"/>
      <w:bookmarkStart w:id="1253" w:name="_Toc342296414"/>
      <w:bookmarkStart w:id="1254" w:name="_Toc12715"/>
      <w:bookmarkStart w:id="1255" w:name="_Toc434331332"/>
      <w:r>
        <w:rPr>
          <w:rFonts w:hint="eastAsia"/>
          <w:highlight w:val="none"/>
        </w:rPr>
        <w:t>24.1 争议的解决方式</w:t>
      </w:r>
      <w:bookmarkEnd w:id="1252"/>
      <w:bookmarkEnd w:id="1253"/>
      <w:bookmarkEnd w:id="1254"/>
      <w:bookmarkEnd w:id="1255"/>
    </w:p>
    <w:p>
      <w:pPr>
        <w:spacing w:line="400" w:lineRule="exact"/>
        <w:ind w:firstLine="420" w:firstLineChars="200"/>
        <w:rPr>
          <w:highlight w:val="none"/>
        </w:rPr>
      </w:pPr>
      <w:r>
        <w:rPr>
          <w:rFonts w:hint="eastAsia"/>
          <w:highlight w:val="none"/>
        </w:rPr>
        <w:t>发包人和承包人在履行合同中发生争议的，可以友好协商解决或者提请争议评审组评审。合同当事人友好协商解决不成、不愿提请争议评审或者不接受争议评审组意见的，可在专用合同条款中约定下列一种方式解决。</w:t>
      </w:r>
    </w:p>
    <w:p>
      <w:pPr>
        <w:spacing w:line="400" w:lineRule="exact"/>
        <w:ind w:firstLine="420" w:firstLineChars="200"/>
        <w:rPr>
          <w:highlight w:val="none"/>
        </w:rPr>
      </w:pPr>
      <w:r>
        <w:rPr>
          <w:rFonts w:hint="eastAsia"/>
          <w:highlight w:val="none"/>
        </w:rPr>
        <w:t>（1）向约定的仲裁委员会申请仲裁；</w:t>
      </w:r>
    </w:p>
    <w:p>
      <w:pPr>
        <w:spacing w:line="400" w:lineRule="exact"/>
        <w:ind w:firstLine="420" w:firstLineChars="200"/>
        <w:rPr>
          <w:highlight w:val="none"/>
        </w:rPr>
      </w:pPr>
      <w:r>
        <w:rPr>
          <w:rFonts w:hint="eastAsia"/>
          <w:highlight w:val="none"/>
        </w:rPr>
        <w:t>（2）向有管辖权的人民法院提起诉讼。</w:t>
      </w:r>
    </w:p>
    <w:p>
      <w:pPr>
        <w:pStyle w:val="199"/>
        <w:outlineLvl w:val="0"/>
        <w:rPr>
          <w:highlight w:val="none"/>
        </w:rPr>
      </w:pPr>
      <w:bookmarkStart w:id="1256" w:name="_Toc1166"/>
      <w:bookmarkStart w:id="1257" w:name="_Toc434331333"/>
      <w:bookmarkStart w:id="1258" w:name="_Toc338944857"/>
      <w:bookmarkStart w:id="1259" w:name="_Toc342296415"/>
      <w:r>
        <w:rPr>
          <w:rFonts w:hint="eastAsia"/>
          <w:highlight w:val="none"/>
        </w:rPr>
        <w:t>24.2 友好解决</w:t>
      </w:r>
      <w:bookmarkEnd w:id="1256"/>
      <w:bookmarkEnd w:id="1257"/>
      <w:bookmarkEnd w:id="1258"/>
      <w:bookmarkEnd w:id="1259"/>
    </w:p>
    <w:p>
      <w:pPr>
        <w:spacing w:line="400" w:lineRule="exact"/>
        <w:ind w:firstLine="420" w:firstLineChars="200"/>
        <w:rPr>
          <w:highlight w:val="none"/>
        </w:rPr>
      </w:pPr>
      <w:r>
        <w:rPr>
          <w:rFonts w:hint="eastAsia"/>
          <w:highlight w:val="none"/>
        </w:rPr>
        <w:t>在提请争议评审、仲裁或者诉讼前，以及在争议评审、仲裁或诉讼过程中，发包人和承包人均可共同努力友好协商解决争议。</w:t>
      </w:r>
    </w:p>
    <w:p>
      <w:pPr>
        <w:pStyle w:val="199"/>
        <w:outlineLvl w:val="0"/>
        <w:rPr>
          <w:highlight w:val="none"/>
        </w:rPr>
      </w:pPr>
      <w:bookmarkStart w:id="1260" w:name="_Toc338944858"/>
      <w:bookmarkStart w:id="1261" w:name="_Toc434331334"/>
      <w:bookmarkStart w:id="1262" w:name="_Toc29196"/>
      <w:bookmarkStart w:id="1263" w:name="_Toc342296416"/>
      <w:r>
        <w:rPr>
          <w:rFonts w:hint="eastAsia"/>
          <w:highlight w:val="none"/>
        </w:rPr>
        <w:t>24.3 争议评审</w:t>
      </w:r>
      <w:bookmarkEnd w:id="1260"/>
      <w:bookmarkEnd w:id="1261"/>
      <w:bookmarkEnd w:id="1262"/>
      <w:bookmarkEnd w:id="1263"/>
    </w:p>
    <w:p>
      <w:pPr>
        <w:spacing w:line="400" w:lineRule="exact"/>
        <w:ind w:firstLine="420" w:firstLineChars="200"/>
        <w:rPr>
          <w:highlight w:val="none"/>
        </w:rPr>
      </w:pPr>
      <w:r>
        <w:rPr>
          <w:rFonts w:hint="eastAsia"/>
          <w:highlight w:val="none"/>
        </w:rPr>
        <w:t>24.3.1 采用争议评审的，发包人和承包人应在开工日后的28天内或在争议发生后，协商成立争议评审组。争议评审组由有合同管理和工程实践经验的专家组成。</w:t>
      </w:r>
    </w:p>
    <w:p>
      <w:pPr>
        <w:spacing w:line="400" w:lineRule="exact"/>
        <w:ind w:firstLine="420" w:firstLineChars="200"/>
        <w:rPr>
          <w:highlight w:val="none"/>
        </w:rPr>
      </w:pPr>
      <w:r>
        <w:rPr>
          <w:rFonts w:hint="eastAsia"/>
          <w:highlight w:val="none"/>
        </w:rPr>
        <w:t>24.3.2 合同双方的争议，应首先由申请人向争议评审组提交一份详细的评审申请报告，并附必要的文件、图纸和证明材料，申请人还应将上述报告的副本同时提交给被申请人和监理人。</w:t>
      </w:r>
    </w:p>
    <w:p>
      <w:pPr>
        <w:spacing w:line="400" w:lineRule="exact"/>
        <w:ind w:firstLine="420" w:firstLineChars="200"/>
        <w:rPr>
          <w:highlight w:val="none"/>
        </w:rPr>
      </w:pPr>
      <w:r>
        <w:rPr>
          <w:rFonts w:hint="eastAsia"/>
          <w:highlight w:val="none"/>
        </w:rPr>
        <w:t>24.3.3 被申请人在收到申请人评审申请报告副本后的28天内，向争议评审组提交一份答辩报告，并附证明材料。被申请人应将答辩报告的副本同时提交给申请人和监理人。</w:t>
      </w:r>
    </w:p>
    <w:p>
      <w:pPr>
        <w:spacing w:line="400" w:lineRule="exact"/>
        <w:ind w:firstLine="420" w:firstLineChars="200"/>
        <w:rPr>
          <w:highlight w:val="none"/>
        </w:rPr>
      </w:pPr>
      <w:r>
        <w:rPr>
          <w:rFonts w:hint="eastAsia"/>
          <w:highlight w:val="none"/>
        </w:rPr>
        <w:t>24.3.4 除专用合同条款另有约定外，争议评审组在收到合同双方报告后的14天内，邀请双方代表和有关人员举行调查会，向双方调查争议细节；必要时争议评审组可要求双方进一步提供补充材料。</w:t>
      </w:r>
    </w:p>
    <w:p>
      <w:pPr>
        <w:spacing w:line="400" w:lineRule="exact"/>
        <w:ind w:firstLine="420" w:firstLineChars="200"/>
        <w:rPr>
          <w:highlight w:val="none"/>
        </w:rPr>
      </w:pPr>
      <w:r>
        <w:rPr>
          <w:rFonts w:hint="eastAsia"/>
          <w:highlight w:val="none"/>
        </w:rPr>
        <w:t>24.3.5 除专用合同条款另有约定外，在调查会结束后的14天内，争议评审组应在不受任何干扰的情况下进行独立、公正的评审，作出书面评审意见，并说明理由。在争议评审期间，争议双方暂按总监理工程师的确定执行。</w:t>
      </w:r>
    </w:p>
    <w:p>
      <w:pPr>
        <w:spacing w:line="400" w:lineRule="exact"/>
        <w:ind w:firstLine="420" w:firstLineChars="200"/>
        <w:rPr>
          <w:highlight w:val="none"/>
        </w:rPr>
      </w:pPr>
      <w:r>
        <w:rPr>
          <w:rFonts w:hint="eastAsia"/>
          <w:highlight w:val="none"/>
        </w:rPr>
        <w:t>24.3.6 发包人和承包人接受评审意见的，由监理人根据评审意见拟定执行协议，经争议双方签字后作为合同的补充文件，并遵照执行。</w:t>
      </w:r>
    </w:p>
    <w:p>
      <w:pPr>
        <w:spacing w:line="400" w:lineRule="exact"/>
        <w:ind w:firstLine="420" w:firstLineChars="200"/>
        <w:rPr>
          <w:highlight w:val="none"/>
        </w:rPr>
      </w:pPr>
      <w:r>
        <w:rPr>
          <w:rFonts w:hint="eastAsia"/>
          <w:highlight w:val="none"/>
        </w:rPr>
        <w:t>24.3.7 发包人或承包人不接受评审意见，并要求提交仲裁或提起诉讼的，应在收到评审意见后的14天内将仲裁或起诉意向书面通知另一方，并抄送监理人，但在仲裁或诉讼结束前应暂按总监理工程师的确定执行。</w:t>
      </w:r>
    </w:p>
    <w:p>
      <w:pPr>
        <w:rPr>
          <w:rFonts w:ascii="Arial" w:hAnsi="Arial" w:cs="Arial"/>
          <w:highlight w:val="none"/>
        </w:rPr>
      </w:pPr>
    </w:p>
    <w:p>
      <w:pPr>
        <w:rPr>
          <w:rFonts w:ascii="Arial" w:hAnsi="Arial" w:cs="Arial"/>
          <w:highlight w:val="none"/>
        </w:rPr>
      </w:pPr>
    </w:p>
    <w:p>
      <w:pPr>
        <w:rPr>
          <w:rFonts w:ascii="Arial" w:hAnsi="Arial" w:cs="Arial"/>
          <w:highlight w:val="none"/>
        </w:rPr>
        <w:sectPr>
          <w:footerReference r:id="rId9"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linePitch="312" w:charSpace="0"/>
        </w:sectPr>
      </w:pPr>
    </w:p>
    <w:p>
      <w:pPr>
        <w:rPr>
          <w:rFonts w:ascii="Arial" w:hAnsi="Arial" w:cs="Arial"/>
          <w:highlight w:val="none"/>
        </w:rPr>
      </w:pPr>
    </w:p>
    <w:p>
      <w:pPr>
        <w:rPr>
          <w:rFonts w:ascii="Arial" w:hAnsi="Arial" w:cs="Arial"/>
          <w:highlight w:val="none"/>
        </w:rPr>
      </w:pPr>
    </w:p>
    <w:p>
      <w:pPr>
        <w:rPr>
          <w:rFonts w:ascii="Arial" w:hAnsi="Arial" w:cs="Arial"/>
          <w:highlight w:val="none"/>
        </w:rPr>
      </w:pPr>
    </w:p>
    <w:p>
      <w:pPr>
        <w:rPr>
          <w:rFonts w:ascii="Arial" w:hAnsi="Arial" w:cs="Arial"/>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pStyle w:val="282"/>
        <w:spacing w:before="0" w:after="120" w:afterLines="50" w:line="300" w:lineRule="auto"/>
        <w:jc w:val="center"/>
        <w:rPr>
          <w:rFonts w:ascii="Arial" w:hAnsi="Arial" w:cs="Arial"/>
          <w:highlight w:val="none"/>
        </w:rPr>
      </w:pPr>
      <w:bookmarkStart w:id="1264" w:name="_Toc241459658"/>
      <w:bookmarkStart w:id="1265" w:name="_Toc11218"/>
      <w:bookmarkStart w:id="1266" w:name="_Toc434331335"/>
      <w:bookmarkStart w:id="1267" w:name="_Toc342296417"/>
      <w:r>
        <w:rPr>
          <w:rFonts w:ascii="Arial" w:hAnsi="Arial" w:cs="Arial"/>
          <w:highlight w:val="none"/>
        </w:rPr>
        <w:t>第二节 专用合同条款</w:t>
      </w:r>
      <w:bookmarkEnd w:id="1264"/>
      <w:bookmarkEnd w:id="1265"/>
      <w:bookmarkEnd w:id="1266"/>
      <w:bookmarkEnd w:id="1267"/>
    </w:p>
    <w:p>
      <w:pPr>
        <w:rPr>
          <w:rFonts w:ascii="Arial" w:hAnsi="Arial" w:cs="Arial"/>
          <w:highlight w:val="none"/>
        </w:rPr>
      </w:pPr>
    </w:p>
    <w:p>
      <w:pPr>
        <w:rPr>
          <w:rFonts w:ascii="Arial" w:hAnsi="Arial" w:cs="Arial"/>
          <w:highlight w:val="none"/>
        </w:rPr>
      </w:pPr>
    </w:p>
    <w:p>
      <w:pPr>
        <w:rPr>
          <w:rFonts w:ascii="Arial" w:hAnsi="Arial" w:cs="Arial"/>
          <w:highlight w:val="none"/>
        </w:rPr>
      </w:pPr>
    </w:p>
    <w:p>
      <w:pPr>
        <w:rPr>
          <w:rFonts w:ascii="Arial" w:hAnsi="Arial" w:cs="Arial"/>
          <w:highlight w:val="none"/>
        </w:rPr>
        <w:sectPr>
          <w:footerReference r:id="rId10"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linePitch="312" w:charSpace="0"/>
        </w:sectPr>
      </w:pPr>
    </w:p>
    <w:p>
      <w:pPr>
        <w:rPr>
          <w:rFonts w:ascii="Arial" w:hAnsi="Arial" w:cs="Arial"/>
          <w:highlight w:val="none"/>
        </w:rPr>
      </w:pPr>
    </w:p>
    <w:p>
      <w:pPr>
        <w:jc w:val="center"/>
        <w:rPr>
          <w:rFonts w:ascii="黑体" w:hAnsi="Arial" w:eastAsia="黑体" w:cs="Arial"/>
          <w:b/>
          <w:sz w:val="28"/>
          <w:szCs w:val="28"/>
          <w:highlight w:val="none"/>
        </w:rPr>
      </w:pPr>
      <w:r>
        <w:rPr>
          <w:rFonts w:hint="eastAsia" w:ascii="黑体" w:hAnsi="Arial" w:eastAsia="黑体" w:cs="Arial"/>
          <w:b/>
          <w:sz w:val="28"/>
          <w:szCs w:val="28"/>
          <w:highlight w:val="none"/>
        </w:rPr>
        <w:t>专用合同条款</w:t>
      </w:r>
    </w:p>
    <w:p>
      <w:pPr>
        <w:pStyle w:val="282"/>
        <w:spacing w:before="0"/>
        <w:outlineLvl w:val="0"/>
        <w:rPr>
          <w:highlight w:val="none"/>
        </w:rPr>
      </w:pPr>
      <w:bookmarkStart w:id="1268" w:name="_Toc241459659"/>
      <w:bookmarkStart w:id="1269" w:name="_Toc434331336"/>
      <w:bookmarkStart w:id="1270" w:name="_Toc6575"/>
      <w:bookmarkStart w:id="1271" w:name="_Toc342296418"/>
      <w:r>
        <w:rPr>
          <w:highlight w:val="none"/>
        </w:rPr>
        <w:t>1. 一般约定</w:t>
      </w:r>
      <w:bookmarkEnd w:id="1268"/>
      <w:bookmarkEnd w:id="1269"/>
      <w:bookmarkEnd w:id="1270"/>
      <w:bookmarkEnd w:id="1271"/>
    </w:p>
    <w:p>
      <w:pPr>
        <w:pStyle w:val="199"/>
        <w:outlineLvl w:val="0"/>
        <w:rPr>
          <w:rFonts w:ascii="Arial" w:hAnsi="Arial" w:cs="Arial"/>
          <w:highlight w:val="none"/>
        </w:rPr>
      </w:pPr>
      <w:bookmarkStart w:id="1272" w:name="_Toc342296419"/>
      <w:bookmarkStart w:id="1273" w:name="_Toc434331337"/>
      <w:bookmarkStart w:id="1274" w:name="_Toc144974580"/>
      <w:bookmarkStart w:id="1275" w:name="_Toc241459660"/>
      <w:bookmarkStart w:id="1276" w:name="_Toc22710"/>
      <w:bookmarkStart w:id="1277" w:name="_Toc179632630"/>
      <w:bookmarkStart w:id="1278" w:name="_Toc152045612"/>
      <w:bookmarkStart w:id="1279" w:name="_Toc152042390"/>
      <w:r>
        <w:rPr>
          <w:rFonts w:ascii="Arial" w:hAnsi="Arial" w:cs="Arial"/>
          <w:highlight w:val="none"/>
        </w:rPr>
        <w:t>1.1 词语定义</w:t>
      </w:r>
      <w:bookmarkEnd w:id="1272"/>
      <w:bookmarkEnd w:id="1273"/>
      <w:bookmarkEnd w:id="1274"/>
      <w:bookmarkEnd w:id="1275"/>
      <w:bookmarkEnd w:id="1276"/>
      <w:bookmarkEnd w:id="1277"/>
      <w:bookmarkEnd w:id="1278"/>
      <w:bookmarkEnd w:id="1279"/>
    </w:p>
    <w:p>
      <w:pPr>
        <w:spacing w:line="400" w:lineRule="exact"/>
        <w:ind w:firstLine="420" w:firstLineChars="200"/>
        <w:rPr>
          <w:rFonts w:ascii="黑体" w:eastAsia="黑体"/>
          <w:szCs w:val="21"/>
          <w:highlight w:val="none"/>
        </w:rPr>
      </w:pPr>
      <w:r>
        <w:rPr>
          <w:rFonts w:hint="eastAsia" w:ascii="黑体" w:eastAsia="黑体"/>
          <w:szCs w:val="21"/>
          <w:highlight w:val="none"/>
        </w:rPr>
        <w:t>1.1.2合同当事人和人员</w:t>
      </w:r>
    </w:p>
    <w:p>
      <w:pPr>
        <w:spacing w:line="400" w:lineRule="exact"/>
        <w:ind w:firstLine="420" w:firstLineChars="200"/>
        <w:jc w:val="left"/>
        <w:rPr>
          <w:szCs w:val="21"/>
          <w:highlight w:val="none"/>
        </w:rPr>
      </w:pPr>
      <w:r>
        <w:rPr>
          <w:rFonts w:hint="eastAsia"/>
          <w:szCs w:val="21"/>
          <w:highlight w:val="none"/>
        </w:rPr>
        <w:t>1.1.2.2发包人：</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1.1.2.6监理人：</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1.1.2.8发包人代表：指发包人指定的派驻施工场地（现场）的全权代表。</w:t>
      </w:r>
    </w:p>
    <w:p>
      <w:pPr>
        <w:spacing w:line="400" w:lineRule="exact"/>
        <w:ind w:firstLine="420" w:firstLineChars="200"/>
        <w:jc w:val="left"/>
        <w:rPr>
          <w:szCs w:val="21"/>
          <w:highlight w:val="none"/>
        </w:rPr>
      </w:pPr>
      <w:r>
        <w:rPr>
          <w:rFonts w:hint="eastAsia"/>
          <w:szCs w:val="21"/>
          <w:highlight w:val="none"/>
        </w:rPr>
        <w:t>姓    名：</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职    称：</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联系电话：</w:t>
      </w:r>
      <w:r>
        <w:rPr>
          <w:rFonts w:hint="eastAsia"/>
          <w:szCs w:val="21"/>
          <w:highlight w:val="none"/>
          <w:u w:val="single"/>
        </w:rPr>
        <w:t xml:space="preserve">                                                                 </w:t>
      </w:r>
      <w:r>
        <w:rPr>
          <w:rFonts w:hint="eastAsia"/>
          <w:szCs w:val="21"/>
          <w:highlight w:val="none"/>
        </w:rPr>
        <w:t xml:space="preserve">。                                                                 </w:t>
      </w:r>
    </w:p>
    <w:p>
      <w:pPr>
        <w:spacing w:line="400" w:lineRule="exact"/>
        <w:ind w:firstLine="420" w:firstLineChars="200"/>
        <w:jc w:val="left"/>
        <w:rPr>
          <w:szCs w:val="21"/>
          <w:highlight w:val="none"/>
        </w:rPr>
      </w:pPr>
      <w:r>
        <w:rPr>
          <w:rFonts w:hint="eastAsia"/>
          <w:szCs w:val="21"/>
          <w:highlight w:val="none"/>
        </w:rPr>
        <w:t>电子信箱：</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通信地址：</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1.1.2.9专业分包人：指根据合同条款第15.8.1项的约定，由发包人和承包人以招标方式选择的分包人。</w:t>
      </w:r>
    </w:p>
    <w:p>
      <w:pPr>
        <w:spacing w:line="400" w:lineRule="exact"/>
        <w:ind w:firstLine="420" w:firstLineChars="200"/>
        <w:jc w:val="left"/>
        <w:rPr>
          <w:szCs w:val="21"/>
          <w:highlight w:val="none"/>
        </w:rPr>
      </w:pPr>
      <w:r>
        <w:rPr>
          <w:rFonts w:hint="eastAsia"/>
          <w:szCs w:val="21"/>
          <w:highlight w:val="none"/>
        </w:rPr>
        <w:t>1.1.2.10专项供应商：指根据合同条款第15.8.1项的约定，由发包人和承包人以招标方式选择的供应商。</w:t>
      </w:r>
    </w:p>
    <w:p>
      <w:pPr>
        <w:spacing w:line="400" w:lineRule="exact"/>
        <w:ind w:firstLine="420" w:firstLineChars="200"/>
        <w:jc w:val="left"/>
        <w:rPr>
          <w:szCs w:val="21"/>
          <w:highlight w:val="none"/>
        </w:rPr>
      </w:pPr>
      <w:r>
        <w:rPr>
          <w:rFonts w:hint="eastAsia"/>
          <w:szCs w:val="21"/>
          <w:highlight w:val="none"/>
        </w:rPr>
        <w:t>1.1.2.11独立承包人：指与发包人直接订立工程承包合同，负责实施与工程有关的其他工作的当事人。</w:t>
      </w:r>
    </w:p>
    <w:p>
      <w:pPr>
        <w:spacing w:line="400" w:lineRule="exact"/>
        <w:ind w:firstLine="420" w:firstLineChars="200"/>
        <w:jc w:val="left"/>
        <w:rPr>
          <w:szCs w:val="21"/>
          <w:highlight w:val="none"/>
        </w:rPr>
      </w:pPr>
      <w:r>
        <w:rPr>
          <w:rFonts w:hint="eastAsia"/>
          <w:szCs w:val="21"/>
          <w:highlight w:val="none"/>
        </w:rPr>
        <w:t>1.2.12独立供应商：与发包人单独签订发包人供应的材料和工程设备采购合同的供应商。</w:t>
      </w:r>
    </w:p>
    <w:p>
      <w:pPr>
        <w:spacing w:line="400" w:lineRule="exact"/>
        <w:ind w:firstLine="420" w:firstLineChars="200"/>
        <w:jc w:val="left"/>
        <w:rPr>
          <w:szCs w:val="21"/>
          <w:highlight w:val="none"/>
        </w:rPr>
      </w:pPr>
      <w:r>
        <w:rPr>
          <w:rFonts w:hint="eastAsia"/>
          <w:szCs w:val="21"/>
          <w:highlight w:val="none"/>
        </w:rPr>
        <w:t>1.2.13咨询人：受发包人委托对合同履行实施全过程造价管理的法人或其他组织。</w:t>
      </w:r>
    </w:p>
    <w:p>
      <w:pPr>
        <w:spacing w:line="400" w:lineRule="exact"/>
        <w:ind w:firstLine="420" w:firstLineChars="200"/>
        <w:jc w:val="left"/>
        <w:rPr>
          <w:rFonts w:ascii="黑体" w:eastAsia="黑体"/>
          <w:szCs w:val="21"/>
          <w:highlight w:val="none"/>
        </w:rPr>
      </w:pPr>
      <w:r>
        <w:rPr>
          <w:rFonts w:hint="eastAsia" w:ascii="黑体" w:eastAsia="黑体"/>
          <w:szCs w:val="21"/>
          <w:highlight w:val="none"/>
        </w:rPr>
        <w:t>1.1.3工程和设备</w:t>
      </w:r>
    </w:p>
    <w:p>
      <w:pPr>
        <w:spacing w:line="400" w:lineRule="exact"/>
        <w:ind w:firstLine="420" w:firstLineChars="200"/>
        <w:jc w:val="left"/>
        <w:rPr>
          <w:szCs w:val="21"/>
          <w:highlight w:val="none"/>
          <w:u w:val="single"/>
        </w:rPr>
      </w:pPr>
      <w:r>
        <w:rPr>
          <w:rFonts w:hint="eastAsia"/>
          <w:szCs w:val="21"/>
          <w:highlight w:val="none"/>
        </w:rPr>
        <w:t>1.1.3.2永久工程：</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1.1.3.3临时工程：</w:t>
      </w:r>
      <w:r>
        <w:rPr>
          <w:rFonts w:hint="eastAsia"/>
          <w:szCs w:val="21"/>
          <w:highlight w:val="none"/>
          <w:u w:val="single"/>
        </w:rPr>
        <w:t>包括但不限于以下内容：施工现场占地内全部的临时性道路工程、临时施工水电、临时办公、生活、加工、仓储、临时围墙及围档等临时设施，或者因施工现场场地有限，需在场外租用的临时场所（用于生活、办公、加工、仓储等）临时设施工程等。</w:t>
      </w:r>
    </w:p>
    <w:p>
      <w:pPr>
        <w:spacing w:line="400" w:lineRule="exact"/>
        <w:ind w:firstLine="420" w:firstLineChars="200"/>
        <w:jc w:val="left"/>
        <w:rPr>
          <w:szCs w:val="21"/>
          <w:highlight w:val="none"/>
        </w:rPr>
      </w:pPr>
      <w:r>
        <w:rPr>
          <w:rFonts w:hint="eastAsia"/>
          <w:szCs w:val="21"/>
          <w:highlight w:val="none"/>
        </w:rPr>
        <w:t>1.1.3.4</w:t>
      </w:r>
      <w:r>
        <w:rPr>
          <w:szCs w:val="21"/>
          <w:highlight w:val="none"/>
        </w:rPr>
        <w:t>单位工程</w:t>
      </w:r>
      <w:r>
        <w:rPr>
          <w:rFonts w:hint="eastAsia"/>
          <w:szCs w:val="21"/>
          <w:highlight w:val="none"/>
        </w:rPr>
        <w:t>：指具有相对独立的设计文件，能够独立组织施工并能形成独立使用功能的永久工程的组成部分。</w:t>
      </w:r>
    </w:p>
    <w:p>
      <w:pPr>
        <w:spacing w:line="400" w:lineRule="exact"/>
        <w:ind w:firstLine="420" w:firstLineChars="200"/>
        <w:jc w:val="left"/>
        <w:rPr>
          <w:szCs w:val="21"/>
          <w:highlight w:val="none"/>
          <w:u w:val="single"/>
        </w:rPr>
      </w:pPr>
      <w:r>
        <w:rPr>
          <w:rFonts w:hint="eastAsia"/>
          <w:szCs w:val="21"/>
          <w:highlight w:val="none"/>
        </w:rPr>
        <w:t>1.1.3.10永久占地：</w:t>
      </w:r>
      <w:r>
        <w:rPr>
          <w:rFonts w:hint="eastAsia"/>
          <w:szCs w:val="21"/>
          <w:highlight w:val="none"/>
          <w:u w:val="single"/>
        </w:rPr>
        <w:t>详见征地图纸</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1.1.3.11临时占地：</w:t>
      </w:r>
      <w:r>
        <w:rPr>
          <w:rFonts w:hint="eastAsia"/>
          <w:szCs w:val="21"/>
          <w:highlight w:val="none"/>
          <w:u w:val="single"/>
        </w:rPr>
        <w:t xml:space="preserve"> </w:t>
      </w:r>
      <w:r>
        <w:rPr>
          <w:szCs w:val="21"/>
          <w:highlight w:val="none"/>
          <w:u w:val="single"/>
        </w:rPr>
        <w:t>本施工现场如果用于临设或仓储等临时工程的用地不能满足承包人就本工程组织施工的要求</w:t>
      </w:r>
      <w:r>
        <w:rPr>
          <w:rFonts w:hint="eastAsia"/>
          <w:szCs w:val="21"/>
          <w:highlight w:val="none"/>
          <w:u w:val="single"/>
        </w:rPr>
        <w:t>（</w:t>
      </w:r>
      <w:r>
        <w:rPr>
          <w:szCs w:val="21"/>
          <w:highlight w:val="none"/>
          <w:u w:val="single"/>
        </w:rPr>
        <w:t>包括项目实施过程中随着工程的实施进度，部分临时工程需要进行拆移，而现场的临时占地不能满足实际需要时</w:t>
      </w:r>
      <w:r>
        <w:rPr>
          <w:rFonts w:hint="eastAsia"/>
          <w:szCs w:val="21"/>
          <w:highlight w:val="none"/>
          <w:u w:val="single"/>
        </w:rPr>
        <w:t>）</w:t>
      </w:r>
      <w:r>
        <w:rPr>
          <w:szCs w:val="21"/>
          <w:highlight w:val="none"/>
          <w:u w:val="single"/>
        </w:rPr>
        <w:t>，承包人应考虑场外租地作为为实施本合同工程需要的临时占地，承包人租地的费用应在其投标书中已经作充分考虑，包</w:t>
      </w:r>
      <w:r>
        <w:rPr>
          <w:rFonts w:hint="eastAsia"/>
          <w:szCs w:val="21"/>
          <w:highlight w:val="none"/>
          <w:u w:val="single"/>
        </w:rPr>
        <w:t>干</w:t>
      </w:r>
      <w:r>
        <w:rPr>
          <w:szCs w:val="21"/>
          <w:highlight w:val="none"/>
          <w:u w:val="single"/>
        </w:rPr>
        <w:t>在合同价中。承包人应保证发包人免于任何与承包人使用此类租地相关的索赔、损失或损害，除此之外，承包人不得非法使用任何现场边界以外的土地，非法侵用或侵占的后果完全由承包人负责</w:t>
      </w:r>
      <w:r>
        <w:rPr>
          <w:rFonts w:hint="eastAsia"/>
          <w:szCs w:val="21"/>
          <w:highlight w:val="none"/>
        </w:rPr>
        <w:t>。</w:t>
      </w:r>
    </w:p>
    <w:p>
      <w:pPr>
        <w:spacing w:line="400" w:lineRule="exact"/>
        <w:ind w:firstLine="420" w:firstLineChars="200"/>
        <w:jc w:val="left"/>
        <w:rPr>
          <w:rFonts w:ascii="黑体" w:eastAsia="黑体"/>
          <w:szCs w:val="21"/>
          <w:highlight w:val="none"/>
        </w:rPr>
      </w:pPr>
      <w:r>
        <w:rPr>
          <w:rFonts w:hint="eastAsia" w:ascii="黑体" w:eastAsia="黑体"/>
          <w:szCs w:val="21"/>
          <w:highlight w:val="none"/>
        </w:rPr>
        <w:t>1.1.4日期</w:t>
      </w:r>
    </w:p>
    <w:p>
      <w:pPr>
        <w:spacing w:line="400" w:lineRule="exact"/>
        <w:ind w:firstLine="420" w:firstLineChars="200"/>
        <w:jc w:val="left"/>
        <w:rPr>
          <w:szCs w:val="21"/>
          <w:highlight w:val="none"/>
          <w:u w:val="single"/>
        </w:rPr>
      </w:pPr>
      <w:r>
        <w:rPr>
          <w:rFonts w:hint="eastAsia"/>
          <w:szCs w:val="21"/>
          <w:highlight w:val="none"/>
        </w:rPr>
        <w:t>1.1.4.5缺陷责任期期限：</w:t>
      </w:r>
      <w:r>
        <w:rPr>
          <w:rFonts w:hint="eastAsia"/>
          <w:szCs w:val="21"/>
          <w:highlight w:val="none"/>
          <w:u w:val="single"/>
        </w:rPr>
        <w:t xml:space="preserve">    24    </w:t>
      </w:r>
      <w:r>
        <w:rPr>
          <w:rFonts w:hint="eastAsia"/>
          <w:szCs w:val="21"/>
          <w:highlight w:val="none"/>
        </w:rPr>
        <w:t>月。</w:t>
      </w:r>
    </w:p>
    <w:p>
      <w:pPr>
        <w:spacing w:line="400" w:lineRule="exact"/>
        <w:ind w:firstLine="420" w:firstLineChars="200"/>
        <w:jc w:val="left"/>
        <w:rPr>
          <w:szCs w:val="21"/>
          <w:highlight w:val="none"/>
        </w:rPr>
      </w:pPr>
      <w:r>
        <w:rPr>
          <w:rFonts w:hint="eastAsia"/>
          <w:szCs w:val="21"/>
          <w:highlight w:val="none"/>
        </w:rPr>
        <w:t>1.1.4.8保修期：是根据现行有关法律规定，在合同条款第19.7款中约定的由承包人负责对合同约定的保修范围内发生的质量问题履行保修义务并对造成的损失承担赔偿责任的期限。</w:t>
      </w:r>
    </w:p>
    <w:p>
      <w:pPr>
        <w:spacing w:line="400" w:lineRule="exact"/>
        <w:ind w:firstLine="420" w:firstLineChars="200"/>
        <w:jc w:val="left"/>
        <w:rPr>
          <w:rFonts w:ascii="黑体" w:eastAsia="黑体"/>
          <w:szCs w:val="21"/>
          <w:highlight w:val="none"/>
        </w:rPr>
      </w:pPr>
      <w:r>
        <w:rPr>
          <w:rFonts w:hint="eastAsia" w:ascii="黑体" w:eastAsia="黑体"/>
          <w:szCs w:val="21"/>
          <w:highlight w:val="none"/>
        </w:rPr>
        <w:t>1.1.6其他</w:t>
      </w:r>
    </w:p>
    <w:p>
      <w:pPr>
        <w:spacing w:line="400" w:lineRule="exact"/>
        <w:ind w:firstLine="420" w:firstLineChars="200"/>
        <w:rPr>
          <w:szCs w:val="21"/>
          <w:highlight w:val="none"/>
        </w:rPr>
      </w:pPr>
      <w:r>
        <w:rPr>
          <w:rFonts w:hint="eastAsia"/>
          <w:szCs w:val="21"/>
          <w:highlight w:val="none"/>
        </w:rPr>
        <w:t>1.1.6.2材料：指构成或将构成永久工程组成部分的各类物品(工程设备除外)，包括合同中可能约定的承包人仅负责供应的材料。</w:t>
      </w:r>
    </w:p>
    <w:p>
      <w:pPr>
        <w:spacing w:line="400" w:lineRule="exact"/>
        <w:ind w:firstLine="420" w:firstLineChars="200"/>
        <w:jc w:val="left"/>
        <w:rPr>
          <w:szCs w:val="21"/>
          <w:highlight w:val="none"/>
        </w:rPr>
      </w:pPr>
      <w:r>
        <w:rPr>
          <w:rFonts w:hint="eastAsia"/>
          <w:szCs w:val="21"/>
          <w:highlight w:val="none"/>
        </w:rPr>
        <w:t>1.1.6.3争议评审组：是由发包人和承包人共同聘请的人员组成的独立、公正的第三方临时性组织，一般由一名或者三名合同管理和（或）工程管理专家组成。争议评审组负责对发包人和（或）承包人提请进行评审的本合同项下的争议进行评审并在规定的期限内给出评审意见，合同双方在规定的期限内均未对评审意见提出异议时，评审意见对合同双方有最终约束力。发包人和承包人应当分别与接受聘请的争议评审专家签订聘用协议，就评审的争议范围、评审意见效力等必要事项做出约定。</w:t>
      </w:r>
    </w:p>
    <w:p>
      <w:pPr>
        <w:pStyle w:val="12"/>
        <w:spacing w:line="400" w:lineRule="exact"/>
        <w:outlineLvl w:val="0"/>
        <w:rPr>
          <w:rFonts w:ascii="宋体" w:hAnsi="宋体"/>
          <w:szCs w:val="21"/>
          <w:highlight w:val="none"/>
        </w:rPr>
      </w:pPr>
      <w:bookmarkStart w:id="1280" w:name="_Toc13113"/>
      <w:bookmarkStart w:id="1281" w:name="_Toc434331338"/>
      <w:bookmarkStart w:id="1282" w:name="_Toc434230648"/>
      <w:r>
        <w:rPr>
          <w:rFonts w:hint="eastAsia" w:ascii="宋体" w:hAnsi="宋体"/>
          <w:szCs w:val="21"/>
          <w:highlight w:val="none"/>
        </w:rPr>
        <w:t>1.1.6.4 除另有特别指明外，专用合同条款中使用的措辞“合同条款”指通用合同条款和（或）专用合同条款。</w:t>
      </w:r>
      <w:bookmarkEnd w:id="1280"/>
      <w:bookmarkEnd w:id="1281"/>
      <w:bookmarkEnd w:id="1282"/>
    </w:p>
    <w:p>
      <w:pPr>
        <w:pStyle w:val="199"/>
        <w:outlineLvl w:val="0"/>
        <w:rPr>
          <w:rFonts w:ascii="黑体" w:hAnsi="宋体" w:cs="Arial"/>
          <w:highlight w:val="none"/>
        </w:rPr>
      </w:pPr>
      <w:bookmarkStart w:id="1283" w:name="_Toc434331339"/>
      <w:bookmarkStart w:id="1284" w:name="_Toc2203"/>
      <w:bookmarkStart w:id="1285" w:name="_Toc144974583"/>
      <w:bookmarkStart w:id="1286" w:name="_Toc152045615"/>
      <w:bookmarkStart w:id="1287" w:name="_Toc179632633"/>
      <w:bookmarkStart w:id="1288" w:name="_Toc342296420"/>
      <w:bookmarkStart w:id="1289" w:name="_Toc152042393"/>
      <w:bookmarkStart w:id="1290" w:name="_Toc241459661"/>
      <w:r>
        <w:rPr>
          <w:rFonts w:hint="eastAsia" w:ascii="黑体" w:hAnsi="宋体" w:cs="Arial"/>
          <w:highlight w:val="none"/>
        </w:rPr>
        <w:t>1.4 合同文件的优先顺序</w:t>
      </w:r>
      <w:bookmarkEnd w:id="1283"/>
      <w:bookmarkEnd w:id="1284"/>
      <w:bookmarkEnd w:id="1285"/>
      <w:bookmarkEnd w:id="1286"/>
      <w:bookmarkEnd w:id="1287"/>
      <w:bookmarkEnd w:id="1288"/>
      <w:bookmarkEnd w:id="1289"/>
      <w:bookmarkEnd w:id="1290"/>
    </w:p>
    <w:p>
      <w:pPr>
        <w:spacing w:line="400" w:lineRule="exact"/>
        <w:ind w:firstLine="482"/>
        <w:rPr>
          <w:rFonts w:cs="Arial"/>
          <w:szCs w:val="21"/>
          <w:highlight w:val="none"/>
        </w:rPr>
      </w:pPr>
      <w:r>
        <w:rPr>
          <w:rFonts w:hint="eastAsia" w:cs="Arial"/>
          <w:szCs w:val="21"/>
          <w:highlight w:val="none"/>
        </w:rPr>
        <w:t>合同文件的优先解释顺序如下：</w:t>
      </w:r>
    </w:p>
    <w:p>
      <w:pPr>
        <w:spacing w:line="400" w:lineRule="exact"/>
        <w:ind w:firstLine="482"/>
        <w:rPr>
          <w:rFonts w:cs="Arial"/>
          <w:szCs w:val="21"/>
          <w:highlight w:val="none"/>
        </w:rPr>
      </w:pPr>
      <w:r>
        <w:rPr>
          <w:rFonts w:hint="eastAsia" w:cs="Arial"/>
          <w:szCs w:val="21"/>
          <w:highlight w:val="none"/>
        </w:rPr>
        <w:t>（1）合同协议书；</w:t>
      </w:r>
    </w:p>
    <w:p>
      <w:pPr>
        <w:spacing w:line="400" w:lineRule="exact"/>
        <w:ind w:firstLine="482"/>
        <w:rPr>
          <w:rFonts w:cs="Arial"/>
          <w:szCs w:val="21"/>
          <w:highlight w:val="none"/>
        </w:rPr>
      </w:pPr>
      <w:r>
        <w:rPr>
          <w:rFonts w:hint="eastAsia" w:cs="Arial"/>
          <w:szCs w:val="21"/>
          <w:highlight w:val="none"/>
        </w:rPr>
        <w:t>（2）中标通知书；</w:t>
      </w:r>
    </w:p>
    <w:p>
      <w:pPr>
        <w:spacing w:line="400" w:lineRule="exact"/>
        <w:ind w:firstLine="482"/>
        <w:rPr>
          <w:rFonts w:cs="Arial"/>
          <w:szCs w:val="21"/>
          <w:highlight w:val="none"/>
        </w:rPr>
      </w:pPr>
      <w:r>
        <w:rPr>
          <w:rFonts w:hint="eastAsia" w:cs="Arial"/>
          <w:szCs w:val="21"/>
          <w:highlight w:val="none"/>
        </w:rPr>
        <w:t>（3）投标函及投标函附录；</w:t>
      </w:r>
    </w:p>
    <w:p>
      <w:pPr>
        <w:spacing w:line="400" w:lineRule="exact"/>
        <w:ind w:firstLine="482"/>
        <w:rPr>
          <w:rFonts w:cs="Arial"/>
          <w:szCs w:val="21"/>
          <w:highlight w:val="none"/>
        </w:rPr>
      </w:pPr>
      <w:r>
        <w:rPr>
          <w:rFonts w:hint="eastAsia" w:cs="Arial"/>
          <w:szCs w:val="21"/>
          <w:highlight w:val="none"/>
        </w:rPr>
        <w:t>（4）专用合同条款；</w:t>
      </w:r>
    </w:p>
    <w:p>
      <w:pPr>
        <w:spacing w:line="400" w:lineRule="exact"/>
        <w:ind w:firstLine="482"/>
        <w:rPr>
          <w:rFonts w:cs="Arial"/>
          <w:szCs w:val="21"/>
          <w:highlight w:val="none"/>
        </w:rPr>
      </w:pPr>
      <w:r>
        <w:rPr>
          <w:rFonts w:hint="eastAsia" w:cs="Arial"/>
          <w:szCs w:val="21"/>
          <w:highlight w:val="none"/>
        </w:rPr>
        <w:t>（5）通用合同条款；</w:t>
      </w:r>
    </w:p>
    <w:p>
      <w:pPr>
        <w:spacing w:line="400" w:lineRule="exact"/>
        <w:ind w:firstLine="480"/>
        <w:rPr>
          <w:rFonts w:cs="Arial"/>
          <w:szCs w:val="21"/>
          <w:highlight w:val="none"/>
          <w:u w:val="single"/>
        </w:rPr>
      </w:pPr>
      <w:r>
        <w:rPr>
          <w:rFonts w:hint="eastAsia" w:cs="Arial"/>
          <w:szCs w:val="21"/>
          <w:highlight w:val="none"/>
          <w:u w:val="single"/>
        </w:rPr>
        <w:t>（6）技术标准和要求；</w:t>
      </w:r>
    </w:p>
    <w:p>
      <w:pPr>
        <w:spacing w:line="400" w:lineRule="exact"/>
        <w:ind w:firstLine="480"/>
        <w:rPr>
          <w:rFonts w:cs="Arial"/>
          <w:szCs w:val="21"/>
          <w:highlight w:val="none"/>
          <w:u w:val="single"/>
        </w:rPr>
      </w:pPr>
      <w:r>
        <w:rPr>
          <w:rFonts w:hint="eastAsia" w:cs="Arial"/>
          <w:szCs w:val="21"/>
          <w:highlight w:val="none"/>
          <w:u w:val="single"/>
        </w:rPr>
        <w:t>（7）图纸；</w:t>
      </w:r>
    </w:p>
    <w:p>
      <w:pPr>
        <w:spacing w:line="400" w:lineRule="exact"/>
        <w:ind w:firstLine="482"/>
        <w:rPr>
          <w:rFonts w:cs="Arial"/>
          <w:szCs w:val="21"/>
          <w:highlight w:val="none"/>
        </w:rPr>
      </w:pPr>
      <w:r>
        <w:rPr>
          <w:rFonts w:hint="eastAsia" w:cs="Arial"/>
          <w:szCs w:val="21"/>
          <w:highlight w:val="none"/>
          <w:u w:val="single"/>
        </w:rPr>
        <w:t>（8）已标价的工程量清单；</w:t>
      </w:r>
    </w:p>
    <w:p>
      <w:pPr>
        <w:spacing w:line="400" w:lineRule="exact"/>
        <w:ind w:firstLine="480"/>
        <w:rPr>
          <w:rFonts w:cs="Arial"/>
          <w:highlight w:val="none"/>
        </w:rPr>
      </w:pPr>
      <w:r>
        <w:rPr>
          <w:rFonts w:hint="eastAsia" w:cs="Arial"/>
          <w:szCs w:val="21"/>
          <w:highlight w:val="none"/>
          <w:u w:val="single"/>
        </w:rPr>
        <w:t>（9）施工组织设</w:t>
      </w:r>
      <w:r>
        <w:rPr>
          <w:rFonts w:hint="eastAsia" w:cs="Arial"/>
          <w:szCs w:val="21"/>
          <w:highlight w:val="none"/>
        </w:rPr>
        <w:t>计。</w:t>
      </w:r>
    </w:p>
    <w:p>
      <w:pPr>
        <w:spacing w:line="400" w:lineRule="exact"/>
        <w:ind w:firstLine="480"/>
        <w:rPr>
          <w:rFonts w:cs="Arial"/>
          <w:szCs w:val="21"/>
          <w:highlight w:val="none"/>
        </w:rPr>
      </w:pPr>
      <w:r>
        <w:rPr>
          <w:rFonts w:hint="eastAsia" w:cs="Arial"/>
          <w:szCs w:val="21"/>
          <w:highlight w:val="none"/>
        </w:rPr>
        <w:t>（说明：</w:t>
      </w:r>
      <w:r>
        <w:rPr>
          <w:rFonts w:hint="eastAsia" w:ascii="楷体_GB2312" w:hAnsi="华文楷体" w:eastAsia="楷体_GB2312" w:cs="Arial"/>
          <w:szCs w:val="21"/>
          <w:highlight w:val="none"/>
        </w:rPr>
        <w:t>（6）、（7）、（8）填空内容分别限于技术标准和要求、图纸、已标价工程量清单三者之一。</w:t>
      </w:r>
      <w:r>
        <w:rPr>
          <w:rFonts w:hint="eastAsia" w:cs="Arial"/>
          <w:szCs w:val="21"/>
          <w:highlight w:val="none"/>
        </w:rPr>
        <w:t>）</w:t>
      </w:r>
    </w:p>
    <w:p>
      <w:pPr>
        <w:spacing w:line="400" w:lineRule="exact"/>
        <w:ind w:firstLine="420" w:firstLineChars="200"/>
        <w:rPr>
          <w:rFonts w:cs="Arial"/>
          <w:highlight w:val="none"/>
        </w:rPr>
      </w:pPr>
      <w:r>
        <w:rPr>
          <w:rFonts w:hint="eastAsia" w:cs="Arial"/>
          <w:highlight w:val="none"/>
        </w:rPr>
        <w:t>图纸与技术标准和要求之间有矛盾或者不一致的，以其中要求较严格的标准为准。</w:t>
      </w:r>
    </w:p>
    <w:p>
      <w:pPr>
        <w:spacing w:line="400" w:lineRule="exact"/>
        <w:ind w:firstLine="420" w:firstLineChars="200"/>
        <w:rPr>
          <w:rFonts w:cs="Arial"/>
          <w:highlight w:val="none"/>
        </w:rPr>
      </w:pPr>
      <w:r>
        <w:rPr>
          <w:rFonts w:hint="eastAsia" w:cs="Arial"/>
          <w:highlight w:val="none"/>
        </w:rPr>
        <w:t>合同双方在合同履行过程中签订的补充协议亦构成合同文件的组成部分，其解释顺序视其内容与其他合同文件的相互关系而定。</w:t>
      </w:r>
    </w:p>
    <w:p>
      <w:pPr>
        <w:pStyle w:val="199"/>
        <w:outlineLvl w:val="0"/>
        <w:rPr>
          <w:rFonts w:ascii="黑体" w:hAnsi="宋体" w:cs="Arial"/>
          <w:highlight w:val="none"/>
        </w:rPr>
      </w:pPr>
      <w:bookmarkStart w:id="1291" w:name="_Toc144974584"/>
      <w:bookmarkStart w:id="1292" w:name="_Toc152045616"/>
      <w:bookmarkStart w:id="1293" w:name="_Toc342296421"/>
      <w:bookmarkStart w:id="1294" w:name="_Toc241459662"/>
      <w:bookmarkStart w:id="1295" w:name="_Toc5798"/>
      <w:bookmarkStart w:id="1296" w:name="_Toc179632634"/>
      <w:bookmarkStart w:id="1297" w:name="_Toc152042394"/>
      <w:bookmarkStart w:id="1298" w:name="_Toc434331340"/>
      <w:r>
        <w:rPr>
          <w:rFonts w:hint="eastAsia" w:ascii="黑体" w:hAnsi="宋体" w:cs="Arial"/>
          <w:highlight w:val="none"/>
        </w:rPr>
        <w:t>1.5 合同协议书</w:t>
      </w:r>
      <w:bookmarkEnd w:id="1291"/>
      <w:bookmarkEnd w:id="1292"/>
      <w:bookmarkEnd w:id="1293"/>
      <w:bookmarkEnd w:id="1294"/>
      <w:bookmarkEnd w:id="1295"/>
      <w:bookmarkEnd w:id="1296"/>
      <w:bookmarkEnd w:id="1297"/>
      <w:bookmarkEnd w:id="1298"/>
    </w:p>
    <w:p>
      <w:pPr>
        <w:spacing w:line="400" w:lineRule="exact"/>
        <w:ind w:firstLine="420" w:firstLineChars="200"/>
        <w:rPr>
          <w:szCs w:val="21"/>
          <w:highlight w:val="none"/>
          <w:u w:val="single"/>
        </w:rPr>
      </w:pPr>
      <w:r>
        <w:rPr>
          <w:rFonts w:hint="eastAsia"/>
          <w:szCs w:val="21"/>
          <w:highlight w:val="none"/>
        </w:rPr>
        <w:t>合同生效的条件：</w:t>
      </w:r>
      <w:r>
        <w:rPr>
          <w:rFonts w:hint="eastAsia"/>
          <w:szCs w:val="21"/>
          <w:highlight w:val="none"/>
          <w:u w:val="single"/>
        </w:rPr>
        <w:t xml:space="preserve">   双方法定代表人或授权代表 签字盖章后   </w:t>
      </w:r>
      <w:r>
        <w:rPr>
          <w:rFonts w:hint="eastAsia"/>
          <w:szCs w:val="21"/>
          <w:highlight w:val="none"/>
        </w:rPr>
        <w:t>。</w:t>
      </w:r>
    </w:p>
    <w:p>
      <w:pPr>
        <w:pStyle w:val="199"/>
        <w:outlineLvl w:val="0"/>
        <w:rPr>
          <w:rFonts w:ascii="黑体" w:hAnsi="宋体" w:cs="Arial"/>
          <w:highlight w:val="none"/>
        </w:rPr>
      </w:pPr>
      <w:bookmarkStart w:id="1299" w:name="_Toc241459663"/>
      <w:bookmarkStart w:id="1300" w:name="_Toc342296422"/>
      <w:bookmarkStart w:id="1301" w:name="_Toc152042395"/>
      <w:bookmarkStart w:id="1302" w:name="_Toc179632635"/>
      <w:bookmarkStart w:id="1303" w:name="_Toc434331341"/>
      <w:bookmarkStart w:id="1304" w:name="_Toc152045617"/>
      <w:bookmarkStart w:id="1305" w:name="_Toc19235"/>
      <w:bookmarkStart w:id="1306" w:name="_Toc144974585"/>
      <w:r>
        <w:rPr>
          <w:rFonts w:hint="eastAsia" w:ascii="黑体" w:hAnsi="宋体" w:cs="Arial"/>
          <w:highlight w:val="none"/>
        </w:rPr>
        <w:t>1.6 图纸和承包人文件</w:t>
      </w:r>
      <w:bookmarkEnd w:id="1299"/>
      <w:bookmarkEnd w:id="1300"/>
      <w:bookmarkEnd w:id="1301"/>
      <w:bookmarkEnd w:id="1302"/>
      <w:bookmarkEnd w:id="1303"/>
      <w:bookmarkEnd w:id="1304"/>
      <w:bookmarkEnd w:id="1305"/>
      <w:bookmarkEnd w:id="1306"/>
    </w:p>
    <w:p>
      <w:pPr>
        <w:spacing w:line="400" w:lineRule="exact"/>
        <w:ind w:firstLine="420" w:firstLineChars="200"/>
        <w:jc w:val="left"/>
        <w:rPr>
          <w:rFonts w:ascii="黑体" w:eastAsia="黑体"/>
          <w:szCs w:val="21"/>
          <w:highlight w:val="none"/>
        </w:rPr>
      </w:pPr>
      <w:r>
        <w:rPr>
          <w:rFonts w:hint="eastAsia" w:ascii="黑体" w:eastAsia="黑体"/>
          <w:szCs w:val="21"/>
          <w:highlight w:val="none"/>
        </w:rPr>
        <w:t>1.6.1图纸的提供</w:t>
      </w:r>
    </w:p>
    <w:p>
      <w:pPr>
        <w:spacing w:line="400" w:lineRule="exact"/>
        <w:ind w:firstLine="315" w:firstLineChars="150"/>
        <w:rPr>
          <w:szCs w:val="21"/>
          <w:highlight w:val="none"/>
        </w:rPr>
      </w:pPr>
      <w:r>
        <w:rPr>
          <w:rFonts w:hint="eastAsia"/>
          <w:szCs w:val="21"/>
          <w:highlight w:val="none"/>
        </w:rPr>
        <w:t>（1） 发包人按照合同条款本项的约定向承包人提供图纸。承包人需要增加图纸套数的，发包人应代为复制，复制费用由承包人承担。</w:t>
      </w:r>
    </w:p>
    <w:p>
      <w:pPr>
        <w:spacing w:line="400" w:lineRule="exact"/>
        <w:ind w:firstLine="315" w:firstLineChars="150"/>
        <w:rPr>
          <w:szCs w:val="21"/>
          <w:highlight w:val="none"/>
        </w:rPr>
      </w:pPr>
      <w:r>
        <w:rPr>
          <w:rFonts w:hint="eastAsia"/>
          <w:szCs w:val="21"/>
          <w:highlight w:val="none"/>
        </w:rPr>
        <w:t>（2） 在监理人批准合同条款第10.1款约定的合同进度计划或者合同条款10.2款约定的合同进度计划修改后7天内,承包人应当根据合同进度计划和本项约定的图纸提供期限和数量，编制或者修改图纸供应计划并报送监理人，其中应当载明承包人对各区段最新版本图纸(包括合同条款第1.6.3项约定的图纸修改图)的最迟需求时间，监理人应当在收到图纸供应计划后7天内批复或提出修改意见，否则该图纸供应计划视为得到批准。经监理人批准的最新的图纸供应计划对合同双方有合同约束力，作为发包人或者监理人向承包人提供图纸的主要依据。发包人或者监理人不按照图纸供应计划提供图纸而导致承包人费用增加和（或）工期延误的，由发包人承担赔偿责任。承包人未按照本目约定的时间向监理人提交图纸供应计划,致使发包人或者监理人未能在合理的时间内提供相应图纸或者承包人未按照图纸供应计划组织施工所造成的费用增加和（或）工期延误由承包人承担。</w:t>
      </w:r>
    </w:p>
    <w:p>
      <w:pPr>
        <w:spacing w:line="400" w:lineRule="exact"/>
        <w:ind w:firstLine="315" w:firstLineChars="150"/>
        <w:rPr>
          <w:szCs w:val="21"/>
          <w:highlight w:val="none"/>
        </w:rPr>
      </w:pPr>
      <w:r>
        <w:rPr>
          <w:rFonts w:hint="eastAsia"/>
          <w:szCs w:val="21"/>
          <w:highlight w:val="none"/>
        </w:rPr>
        <w:t>（3）发包人提供图纸的期限：</w:t>
      </w:r>
      <w:r>
        <w:rPr>
          <w:rFonts w:hint="eastAsia"/>
          <w:szCs w:val="21"/>
          <w:highlight w:val="none"/>
          <w:u w:val="single"/>
        </w:rPr>
        <w:t>监理人发出开工通知后7天内</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（4）发包人提供图纸的数量：</w:t>
      </w:r>
      <w:r>
        <w:rPr>
          <w:rFonts w:hint="eastAsia"/>
          <w:szCs w:val="21"/>
          <w:highlight w:val="none"/>
          <w:u w:val="single"/>
        </w:rPr>
        <w:t>4套</w:t>
      </w:r>
      <w:r>
        <w:rPr>
          <w:szCs w:val="21"/>
          <w:highlight w:val="none"/>
          <w:u w:val="single"/>
        </w:rPr>
        <w:t>晒印蓝图（含用于编制竣工图的图纸）</w:t>
      </w:r>
      <w:r>
        <w:rPr>
          <w:rFonts w:hint="eastAsia"/>
          <w:szCs w:val="21"/>
          <w:highlight w:val="none"/>
          <w:u w:val="single"/>
        </w:rPr>
        <w:t xml:space="preserve">，如发包人提供的图纸数量不能满足使用需求，由承包人自行解决，发包人不再另行提供或支付相应费用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（5）其他约定：</w:t>
      </w:r>
      <w:r>
        <w:rPr>
          <w:rFonts w:hint="eastAsia"/>
          <w:bCs/>
          <w:szCs w:val="21"/>
          <w:highlight w:val="none"/>
          <w:u w:val="single"/>
        </w:rPr>
        <w:t>①项目所有专业竣工图纸编制等所涉及的费用已包含在合同价款中；②对施工合同履行数据网上填报工作，承包人应依据相关规定全面执行。</w:t>
      </w:r>
    </w:p>
    <w:p>
      <w:pPr>
        <w:spacing w:line="400" w:lineRule="exact"/>
        <w:ind w:firstLine="420" w:firstLineChars="200"/>
        <w:jc w:val="left"/>
        <w:rPr>
          <w:rFonts w:ascii="黑体" w:eastAsia="黑体"/>
          <w:szCs w:val="21"/>
          <w:highlight w:val="none"/>
        </w:rPr>
      </w:pPr>
      <w:r>
        <w:rPr>
          <w:rFonts w:hint="eastAsia" w:ascii="黑体" w:eastAsia="黑体"/>
          <w:szCs w:val="21"/>
          <w:highlight w:val="none"/>
        </w:rPr>
        <w:t>1.6.2 承包人提供的文件</w:t>
      </w:r>
    </w:p>
    <w:p>
      <w:pPr>
        <w:spacing w:line="400" w:lineRule="exact"/>
        <w:ind w:firstLine="315" w:firstLineChars="150"/>
        <w:rPr>
          <w:szCs w:val="21"/>
          <w:highlight w:val="none"/>
          <w:u w:val="single"/>
        </w:rPr>
      </w:pPr>
      <w:r>
        <w:rPr>
          <w:rFonts w:hint="eastAsia"/>
          <w:szCs w:val="21"/>
          <w:highlight w:val="none"/>
        </w:rPr>
        <w:t>（1）除专用合同条款第4.1.10(1)目约定的由承包人提供的设计文件外，本项约定的其他应由承包人提供的文件，包括必要的加工图和大样图，均不是合同计量与支付的依据文件。由承包人提供的文件范围：</w:t>
      </w:r>
      <w:r>
        <w:rPr>
          <w:rFonts w:hint="eastAsia"/>
          <w:szCs w:val="21"/>
          <w:highlight w:val="none"/>
          <w:u w:val="single"/>
        </w:rPr>
        <w:t>包括但不限于以下内容：综合管线迁改的方案及施工图设计；</w:t>
      </w:r>
      <w:r>
        <w:rPr>
          <w:szCs w:val="21"/>
          <w:highlight w:val="none"/>
          <w:u w:val="single"/>
        </w:rPr>
        <w:t>现场临时工程的设计文件；模板及其支架的支撑体系设计及计算文件；</w:t>
      </w:r>
      <w:r>
        <w:rPr>
          <w:rFonts w:hint="eastAsia"/>
          <w:szCs w:val="21"/>
          <w:highlight w:val="none"/>
          <w:u w:val="single"/>
        </w:rPr>
        <w:t>专业分包的深化设计；</w:t>
      </w:r>
      <w:r>
        <w:rPr>
          <w:szCs w:val="21"/>
          <w:highlight w:val="none"/>
          <w:u w:val="single"/>
        </w:rPr>
        <w:t>脚手架及安全支护的设计文件；以及承包人承包范围内所有必要提供的文件（包括满足有关规范及标准以及发包人和监理人的要求）</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（2）承包人提供文件的期限：</w:t>
      </w:r>
      <w:r>
        <w:rPr>
          <w:szCs w:val="21"/>
          <w:highlight w:val="none"/>
          <w:u w:val="single"/>
        </w:rPr>
        <w:t>根据审批的进度计划中规定的日期报送监理人及发包人，只能提前，不能滞后</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（3）承包人提供文件的数量：</w:t>
      </w:r>
      <w:r>
        <w:rPr>
          <w:rFonts w:hint="eastAsia"/>
          <w:szCs w:val="21"/>
          <w:highlight w:val="none"/>
          <w:u w:val="single"/>
        </w:rPr>
        <w:t xml:space="preserve">  </w:t>
      </w:r>
      <w:r>
        <w:rPr>
          <w:szCs w:val="21"/>
          <w:highlight w:val="none"/>
          <w:u w:val="single"/>
        </w:rPr>
        <w:t>一式陆份</w:t>
      </w:r>
      <w:r>
        <w:rPr>
          <w:rFonts w:hint="eastAsia"/>
          <w:szCs w:val="21"/>
          <w:highlight w:val="none"/>
          <w:u w:val="single"/>
        </w:rPr>
        <w:t xml:space="preserve">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（4）监理人批复承包人提供文件的期限：</w:t>
      </w:r>
      <w:r>
        <w:rPr>
          <w:szCs w:val="21"/>
          <w:highlight w:val="none"/>
          <w:u w:val="single"/>
        </w:rPr>
        <w:t>收到承包人提供</w:t>
      </w:r>
      <w:r>
        <w:rPr>
          <w:rFonts w:hint="eastAsia"/>
          <w:szCs w:val="21"/>
          <w:highlight w:val="none"/>
          <w:u w:val="single"/>
        </w:rPr>
        <w:t>完整的</w:t>
      </w:r>
      <w:r>
        <w:rPr>
          <w:szCs w:val="21"/>
          <w:highlight w:val="none"/>
          <w:u w:val="single"/>
        </w:rPr>
        <w:t>文件14天</w:t>
      </w:r>
      <w:r>
        <w:rPr>
          <w:rFonts w:hint="eastAsia"/>
          <w:szCs w:val="21"/>
          <w:highlight w:val="none"/>
          <w:u w:val="single"/>
        </w:rPr>
        <w:t>内</w:t>
      </w:r>
      <w:r>
        <w:rPr>
          <w:szCs w:val="21"/>
          <w:highlight w:val="none"/>
          <w:u w:val="single"/>
        </w:rPr>
        <w:t xml:space="preserve"> </w:t>
      </w:r>
      <w:r>
        <w:rPr>
          <w:rFonts w:hint="eastAsia"/>
          <w:szCs w:val="21"/>
          <w:highlight w:val="none"/>
          <w:u w:val="single"/>
        </w:rPr>
        <w:t xml:space="preserve">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（5）其他约定：</w:t>
      </w:r>
      <w:r>
        <w:rPr>
          <w:rFonts w:hint="eastAsia"/>
          <w:szCs w:val="21"/>
          <w:highlight w:val="none"/>
          <w:u w:val="single"/>
        </w:rPr>
        <w:t xml:space="preserve"> </w:t>
      </w:r>
      <w:r>
        <w:rPr>
          <w:szCs w:val="21"/>
          <w:highlight w:val="none"/>
          <w:u w:val="single"/>
        </w:rPr>
        <w:t>在项目实施过程中，承包人所提供的文件应具有相应资格的专业人员签字和确认。如果发包人和监理工程师认为除以上文件外的某个工程实施需要经过发包人和监理人审批的，承包人应依据上述条款约定执行</w:t>
      </w:r>
      <w:r>
        <w:rPr>
          <w:rFonts w:hint="eastAsia"/>
          <w:szCs w:val="21"/>
          <w:highlight w:val="none"/>
        </w:rPr>
        <w:t>。</w:t>
      </w:r>
    </w:p>
    <w:p>
      <w:pPr>
        <w:spacing w:line="400" w:lineRule="exact"/>
        <w:ind w:firstLine="420" w:firstLineChars="200"/>
        <w:jc w:val="left"/>
        <w:rPr>
          <w:rFonts w:ascii="黑体" w:eastAsia="黑体"/>
          <w:highlight w:val="none"/>
        </w:rPr>
      </w:pPr>
      <w:r>
        <w:rPr>
          <w:rFonts w:hint="eastAsia" w:ascii="黑体" w:eastAsia="黑体"/>
          <w:szCs w:val="21"/>
          <w:highlight w:val="none"/>
        </w:rPr>
        <w:t>1.6.3 图纸的修改</w:t>
      </w:r>
    </w:p>
    <w:p>
      <w:pPr>
        <w:spacing w:line="400" w:lineRule="exact"/>
        <w:ind w:firstLine="420" w:firstLineChars="200"/>
        <w:rPr>
          <w:szCs w:val="21"/>
          <w:highlight w:val="none"/>
        </w:rPr>
      </w:pPr>
      <w:r>
        <w:rPr>
          <w:rFonts w:hint="eastAsia"/>
          <w:szCs w:val="21"/>
          <w:highlight w:val="none"/>
        </w:rPr>
        <w:t>监理人应当按照合同条款第1.6.1（2）目约定的有合同约束力的图纸供应计划，签发图纸修改图给承包人。</w:t>
      </w:r>
    </w:p>
    <w:p>
      <w:pPr>
        <w:spacing w:line="400" w:lineRule="exact"/>
        <w:ind w:firstLine="315" w:firstLineChars="150"/>
        <w:rPr>
          <w:rFonts w:ascii="黑体" w:eastAsia="黑体"/>
          <w:highlight w:val="none"/>
        </w:rPr>
      </w:pPr>
      <w:r>
        <w:rPr>
          <w:highlight w:val="none"/>
        </w:rPr>
        <w:t>1.6.</w:t>
      </w:r>
      <w:r>
        <w:rPr>
          <w:rFonts w:hint="eastAsia"/>
          <w:highlight w:val="none"/>
        </w:rPr>
        <w:t>4</w:t>
      </w:r>
      <w:r>
        <w:rPr>
          <w:rFonts w:hint="eastAsia" w:ascii="黑体" w:eastAsia="黑体"/>
          <w:highlight w:val="none"/>
        </w:rPr>
        <w:t>图纸的错误</w:t>
      </w:r>
    </w:p>
    <w:p>
      <w:pPr>
        <w:spacing w:line="400" w:lineRule="exact"/>
        <w:ind w:firstLine="315" w:firstLineChars="150"/>
        <w:rPr>
          <w:highlight w:val="none"/>
        </w:rPr>
      </w:pPr>
      <w:r>
        <w:rPr>
          <w:rFonts w:hint="eastAsia"/>
          <w:highlight w:val="none"/>
        </w:rPr>
        <w:t>承包人应当在收到图纸后审查相关图纸中可能存在的不符合法律规定、适用标准、施工规范的任何错误、冲突，并在收到图纸后的【28】天内以书面方式报发包人及监理人。对承包人已发现或应能发现的任何错误、冲突，承包人未及时报告发包人而造成工程造价增加或工期延误的，由承包人赔偿发包人的损失。</w:t>
      </w:r>
    </w:p>
    <w:p>
      <w:pPr>
        <w:spacing w:line="400" w:lineRule="exact"/>
        <w:ind w:firstLine="315" w:firstLineChars="150"/>
        <w:rPr>
          <w:highlight w:val="none"/>
        </w:rPr>
      </w:pPr>
      <w:r>
        <w:rPr>
          <w:rFonts w:hint="eastAsia"/>
          <w:highlight w:val="none"/>
        </w:rPr>
        <w:t>如果招标图纸与合同图纸一致，则无论承包人是否有此类建议或方案，承包人必须按发包人批准或指示的变更实施，且不会得到任何费用的补偿。</w:t>
      </w:r>
    </w:p>
    <w:p>
      <w:pPr>
        <w:spacing w:line="400" w:lineRule="exact"/>
        <w:ind w:firstLine="420" w:firstLineChars="200"/>
        <w:rPr>
          <w:highlight w:val="none"/>
        </w:rPr>
      </w:pPr>
      <w:r>
        <w:rPr>
          <w:highlight w:val="none"/>
        </w:rPr>
        <w:t>1.6.5</w:t>
      </w:r>
      <w:r>
        <w:rPr>
          <w:rFonts w:hint="eastAsia" w:ascii="黑体" w:eastAsia="黑体"/>
          <w:highlight w:val="none"/>
        </w:rPr>
        <w:t>图纸和承包人文件的保管</w:t>
      </w:r>
    </w:p>
    <w:p>
      <w:pPr>
        <w:spacing w:line="400" w:lineRule="exact"/>
        <w:ind w:firstLine="315" w:firstLineChars="150"/>
        <w:rPr>
          <w:highlight w:val="none"/>
        </w:rPr>
      </w:pPr>
      <w:r>
        <w:rPr>
          <w:rFonts w:hint="eastAsia"/>
          <w:highlight w:val="none"/>
        </w:rPr>
        <w:t>未经发包人同意，承包人不得将本工程图纸转给第三方。工程质量保修期满后，除承包人存档需要的图纸外，应将全部图纸退还给发包人。</w:t>
      </w:r>
    </w:p>
    <w:p>
      <w:pPr>
        <w:spacing w:line="400" w:lineRule="exact"/>
        <w:ind w:firstLine="315" w:firstLineChars="150"/>
        <w:rPr>
          <w:highlight w:val="none"/>
        </w:rPr>
      </w:pPr>
      <w:r>
        <w:rPr>
          <w:rFonts w:hint="eastAsia"/>
          <w:highlight w:val="none"/>
        </w:rPr>
        <w:t>1.6.6图纸的保密</w:t>
      </w:r>
    </w:p>
    <w:p>
      <w:pPr>
        <w:spacing w:line="400" w:lineRule="exact"/>
        <w:ind w:firstLine="420" w:firstLineChars="200"/>
        <w:rPr>
          <w:szCs w:val="21"/>
          <w:highlight w:val="none"/>
        </w:rPr>
      </w:pPr>
      <w:r>
        <w:rPr>
          <w:rFonts w:hint="eastAsia"/>
          <w:highlight w:val="none"/>
        </w:rPr>
        <w:t>发包人对图纸的保密要求：图纸不得丢失、损毁，未经发包人书面允许，承包人不得泄露本工程的图纸内容；亦不得将本工程的设计造型、设计图纸、及有关数据进行修改、复制、描绘或提供给第三方使用，亦不得作为非本工程所属的其它工程建设之用。工程竣工验收后1个月内，承包人退还所有完整图纸。未退还所有完整的图纸，承包人应按本合同承担违约责任。</w:t>
      </w:r>
    </w:p>
    <w:p>
      <w:pPr>
        <w:pStyle w:val="199"/>
        <w:outlineLvl w:val="0"/>
        <w:rPr>
          <w:rFonts w:ascii="黑体" w:hAnsi="宋体"/>
          <w:highlight w:val="none"/>
        </w:rPr>
      </w:pPr>
      <w:bookmarkStart w:id="1307" w:name="_Toc152042396"/>
      <w:bookmarkStart w:id="1308" w:name="_Toc434331342"/>
      <w:bookmarkStart w:id="1309" w:name="_Toc13888"/>
      <w:bookmarkStart w:id="1310" w:name="_Toc152045618"/>
      <w:bookmarkStart w:id="1311" w:name="_Toc241459664"/>
      <w:bookmarkStart w:id="1312" w:name="_Toc144974586"/>
      <w:bookmarkStart w:id="1313" w:name="_Toc179632636"/>
      <w:bookmarkStart w:id="1314" w:name="_Toc342296423"/>
      <w:r>
        <w:rPr>
          <w:rFonts w:hint="eastAsia" w:ascii="黑体" w:hAnsi="宋体" w:cs="Arial"/>
          <w:highlight w:val="none"/>
        </w:rPr>
        <w:t>1.7 联 络</w:t>
      </w:r>
      <w:bookmarkEnd w:id="1307"/>
      <w:bookmarkEnd w:id="1308"/>
      <w:bookmarkEnd w:id="1309"/>
      <w:bookmarkEnd w:id="1310"/>
      <w:bookmarkEnd w:id="1311"/>
      <w:bookmarkEnd w:id="1312"/>
      <w:bookmarkEnd w:id="1313"/>
      <w:bookmarkEnd w:id="1314"/>
    </w:p>
    <w:p>
      <w:pPr>
        <w:spacing w:line="400" w:lineRule="exact"/>
        <w:ind w:firstLine="420" w:firstLineChars="200"/>
        <w:jc w:val="left"/>
        <w:rPr>
          <w:rFonts w:ascii="黑体" w:eastAsia="黑体" w:cs="Arial"/>
          <w:szCs w:val="21"/>
          <w:highlight w:val="none"/>
        </w:rPr>
      </w:pPr>
      <w:r>
        <w:rPr>
          <w:rFonts w:hint="eastAsia" w:ascii="黑体" w:eastAsia="黑体"/>
          <w:szCs w:val="21"/>
          <w:highlight w:val="none"/>
        </w:rPr>
        <w:t>1.7.2联络来往函件的送达和接收</w:t>
      </w:r>
    </w:p>
    <w:p>
      <w:pPr>
        <w:spacing w:line="400" w:lineRule="exact"/>
        <w:ind w:firstLine="315" w:firstLineChars="150"/>
        <w:rPr>
          <w:szCs w:val="21"/>
          <w:highlight w:val="none"/>
        </w:rPr>
      </w:pPr>
      <w:r>
        <w:rPr>
          <w:rFonts w:hint="eastAsia"/>
          <w:szCs w:val="21"/>
          <w:highlight w:val="none"/>
        </w:rPr>
        <w:t>（1）联络来往信函的送达期限：合同约定了发出期限的，送达期限为合同约定的发出期限后的24小时内；合同约定了通知、提供或者报送期限的，通知、提供或者报送期限即为送达期限。</w:t>
      </w:r>
    </w:p>
    <w:p>
      <w:pPr>
        <w:spacing w:line="400" w:lineRule="exact"/>
        <w:ind w:firstLine="315" w:firstLineChars="150"/>
        <w:rPr>
          <w:szCs w:val="21"/>
          <w:highlight w:val="none"/>
        </w:rPr>
      </w:pPr>
      <w:r>
        <w:rPr>
          <w:rFonts w:hint="eastAsia"/>
          <w:szCs w:val="21"/>
          <w:highlight w:val="none"/>
        </w:rPr>
        <w:t>（2）发包人指定的接收地点：</w:t>
      </w:r>
      <w:r>
        <w:rPr>
          <w:rFonts w:hint="eastAsia"/>
          <w:szCs w:val="21"/>
          <w:highlight w:val="none"/>
          <w:u w:val="single"/>
        </w:rPr>
        <w:t xml:space="preserve">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（3）发包人指定的接收人为：</w:t>
      </w:r>
      <w:r>
        <w:rPr>
          <w:rFonts w:hint="eastAsia"/>
          <w:szCs w:val="21"/>
          <w:highlight w:val="none"/>
          <w:u w:val="single"/>
        </w:rPr>
        <w:t xml:space="preserve">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（4）监理人指定的接收地点：</w:t>
      </w:r>
      <w:r>
        <w:rPr>
          <w:rFonts w:hint="eastAsia"/>
          <w:szCs w:val="21"/>
          <w:highlight w:val="none"/>
          <w:u w:val="single"/>
        </w:rPr>
        <w:t xml:space="preserve">                                               </w:t>
      </w:r>
      <w:r>
        <w:rPr>
          <w:rFonts w:hint="eastAsia"/>
          <w:szCs w:val="21"/>
          <w:highlight w:val="none"/>
        </w:rPr>
        <w:t>。</w:t>
      </w:r>
    </w:p>
    <w:p>
      <w:pPr>
        <w:spacing w:line="400" w:lineRule="exact"/>
        <w:ind w:firstLine="315" w:firstLineChars="150"/>
        <w:rPr>
          <w:szCs w:val="21"/>
          <w:highlight w:val="none"/>
        </w:rPr>
      </w:pPr>
      <w:r>
        <w:rPr>
          <w:rFonts w:hint="eastAsia"/>
          <w:szCs w:val="21"/>
          <w:highlight w:val="none"/>
        </w:rPr>
        <w:t>（5）监理人指定的接收人为：</w:t>
      </w:r>
      <w:r>
        <w:rPr>
          <w:rFonts w:hint="eastAsia"/>
          <w:szCs w:val="21"/>
          <w:highlight w:val="none"/>
          <w:u w:val="single"/>
        </w:rPr>
        <w:t xml:space="preserve">                                               </w:t>
      </w:r>
      <w:r>
        <w:rPr>
          <w:rFonts w:hint="eastAsia"/>
          <w:szCs w:val="21"/>
          <w:highlight w:val="none"/>
        </w:rPr>
        <w:t>。</w:t>
      </w:r>
    </w:p>
    <w:p>
      <w:pPr>
        <w:spacing w:line="400" w:lineRule="exact"/>
        <w:ind w:firstLine="315" w:firstLineChars="150"/>
        <w:rPr>
          <w:rFonts w:cs="Arial"/>
          <w:szCs w:val="21"/>
          <w:highlight w:val="none"/>
        </w:rPr>
      </w:pPr>
      <w:r>
        <w:rPr>
          <w:rFonts w:hint="eastAsia"/>
          <w:szCs w:val="21"/>
          <w:highlight w:val="none"/>
        </w:rPr>
        <w:t>（6）承包人指定的接收人为合同协议书中载明的承包人项目经理本人或者项目经理的授权代表。承包人应在收到开工通知后7天内，按照合同条款第4.5.4项的约定，将授权代表其接收来往信函的项目经理的授权代表姓名和授权范围通知监理人。除合同另有约定外，承包人施工场地管理机构的办公地点即为承包人指定的接收地点。</w:t>
      </w:r>
    </w:p>
    <w:p>
      <w:pPr>
        <w:spacing w:line="400" w:lineRule="exact"/>
        <w:ind w:firstLine="315" w:firstLineChars="150"/>
        <w:rPr>
          <w:rFonts w:cs="Arial"/>
          <w:szCs w:val="21"/>
          <w:highlight w:val="none"/>
        </w:rPr>
      </w:pPr>
      <w:r>
        <w:rPr>
          <w:rFonts w:hint="eastAsia"/>
          <w:szCs w:val="21"/>
          <w:highlight w:val="none"/>
        </w:rPr>
        <w:t>（7）发包人（包括监理人）和承包人中任何一方指定的接收人或者接收地点发生变动，应当在实际变动前提前至少一个工作日以书面方式通知另一方。发包人（包括监理人）和承包人应当确保其各自指定的接收人在法定的和（或）符合合同约定的工作时间内始终工作在指定的接收地点，指定接收人离开工作岗位而无法及时签收来往信函构成拒不签收。</w:t>
      </w:r>
    </w:p>
    <w:p>
      <w:pPr>
        <w:spacing w:line="400" w:lineRule="exact"/>
        <w:ind w:firstLine="315" w:firstLineChars="150"/>
        <w:rPr>
          <w:highlight w:val="none"/>
        </w:rPr>
      </w:pPr>
      <w:r>
        <w:rPr>
          <w:rFonts w:hint="eastAsia"/>
          <w:szCs w:val="21"/>
          <w:highlight w:val="none"/>
        </w:rPr>
        <w:t>（8）发包人（包括监理人）和承包人中任何一方均应当及时签收另一方送达其指定接收地点的来往信函，拒不签收的，送达信函的一方可以采用挂号或者公证方式送达，由此所造成的直接的和间接的费用增加（包括被迫采用特殊送达方式所发生的费用）和（或）延误的工期由拒绝签收一方承担。</w:t>
      </w:r>
    </w:p>
    <w:p>
      <w:pPr>
        <w:pStyle w:val="282"/>
        <w:spacing w:before="0"/>
        <w:outlineLvl w:val="0"/>
        <w:rPr>
          <w:highlight w:val="none"/>
        </w:rPr>
      </w:pPr>
      <w:bookmarkStart w:id="1315" w:name="_Toc434331343"/>
      <w:bookmarkStart w:id="1316" w:name="_Toc11739"/>
      <w:bookmarkStart w:id="1317" w:name="_Toc241459665"/>
      <w:bookmarkStart w:id="1318" w:name="_Toc342296424"/>
      <w:bookmarkStart w:id="1319" w:name="_Toc144974592"/>
      <w:bookmarkStart w:id="1320" w:name="_Toc152045624"/>
      <w:bookmarkStart w:id="1321" w:name="_Toc152042402"/>
      <w:bookmarkStart w:id="1322" w:name="_Toc179632642"/>
      <w:r>
        <w:rPr>
          <w:rFonts w:hint="eastAsia"/>
          <w:highlight w:val="none"/>
        </w:rPr>
        <w:t>2. 发包人义务</w:t>
      </w:r>
      <w:bookmarkEnd w:id="1315"/>
      <w:bookmarkEnd w:id="1316"/>
      <w:bookmarkEnd w:id="1317"/>
      <w:bookmarkEnd w:id="1318"/>
      <w:bookmarkEnd w:id="1319"/>
      <w:bookmarkEnd w:id="1320"/>
      <w:bookmarkEnd w:id="1321"/>
      <w:bookmarkEnd w:id="1322"/>
    </w:p>
    <w:p>
      <w:pPr>
        <w:pStyle w:val="199"/>
        <w:outlineLvl w:val="0"/>
        <w:rPr>
          <w:rFonts w:ascii="黑体" w:hAnsi="宋体" w:cs="Arial"/>
          <w:highlight w:val="none"/>
        </w:rPr>
      </w:pPr>
      <w:bookmarkStart w:id="1323" w:name="_Toc152042405"/>
      <w:bookmarkStart w:id="1324" w:name="_Toc342296425"/>
      <w:bookmarkStart w:id="1325" w:name="_Toc144974595"/>
      <w:bookmarkStart w:id="1326" w:name="_Toc241459666"/>
      <w:bookmarkStart w:id="1327" w:name="_Toc152045627"/>
      <w:bookmarkStart w:id="1328" w:name="_Toc434331344"/>
      <w:bookmarkStart w:id="1329" w:name="_Toc25638"/>
      <w:bookmarkStart w:id="1330" w:name="_Toc179632645"/>
      <w:r>
        <w:rPr>
          <w:rFonts w:hint="eastAsia" w:ascii="黑体" w:hAnsi="宋体" w:cs="Arial"/>
          <w:highlight w:val="none"/>
        </w:rPr>
        <w:t>2.3 提供施工场地</w:t>
      </w:r>
      <w:bookmarkEnd w:id="1323"/>
      <w:bookmarkEnd w:id="1324"/>
      <w:bookmarkEnd w:id="1325"/>
      <w:bookmarkEnd w:id="1326"/>
      <w:bookmarkEnd w:id="1327"/>
      <w:bookmarkEnd w:id="1328"/>
      <w:bookmarkEnd w:id="1329"/>
      <w:bookmarkEnd w:id="1330"/>
    </w:p>
    <w:p>
      <w:pPr>
        <w:spacing w:line="400" w:lineRule="exact"/>
        <w:ind w:firstLine="420" w:firstLineChars="200"/>
        <w:rPr>
          <w:szCs w:val="21"/>
          <w:highlight w:val="none"/>
        </w:rPr>
      </w:pPr>
      <w:r>
        <w:rPr>
          <w:rFonts w:hint="eastAsia"/>
          <w:szCs w:val="21"/>
          <w:highlight w:val="none"/>
        </w:rPr>
        <w:t>施工场地应当在监理人发出的开工通知中载明的开工日期前</w:t>
      </w:r>
      <w:r>
        <w:rPr>
          <w:rFonts w:hint="eastAsia"/>
          <w:szCs w:val="21"/>
          <w:highlight w:val="none"/>
          <w:u w:val="single"/>
        </w:rPr>
        <w:t xml:space="preserve">  7  </w:t>
      </w:r>
      <w:r>
        <w:rPr>
          <w:rFonts w:hint="eastAsia"/>
          <w:szCs w:val="21"/>
          <w:highlight w:val="none"/>
        </w:rPr>
        <w:t>天具备施工条件并移交给承包人，具体施工条件在 “技术标准和要求”第一节“一般要求”中约定。发包人最迟应当在移交施工场地的同时向承包人提供施工场地内地下管线和地下设施等有关资料，并保证资料的真实、准确和完整。</w:t>
      </w:r>
    </w:p>
    <w:p>
      <w:pPr>
        <w:pStyle w:val="199"/>
        <w:outlineLvl w:val="0"/>
        <w:rPr>
          <w:rFonts w:ascii="黑体" w:hAnsi="宋体" w:cs="Arial"/>
          <w:highlight w:val="none"/>
        </w:rPr>
      </w:pPr>
      <w:bookmarkStart w:id="1331" w:name="_Toc434331345"/>
      <w:bookmarkStart w:id="1332" w:name="_Toc152045629"/>
      <w:bookmarkStart w:id="1333" w:name="_Toc144974597"/>
      <w:bookmarkStart w:id="1334" w:name="_Toc152042407"/>
      <w:bookmarkStart w:id="1335" w:name="_Toc179632647"/>
      <w:bookmarkStart w:id="1336" w:name="_Toc342296426"/>
      <w:bookmarkStart w:id="1337" w:name="_Toc241459667"/>
      <w:bookmarkStart w:id="1338" w:name="_Toc21024"/>
      <w:r>
        <w:rPr>
          <w:rFonts w:hint="eastAsia" w:ascii="黑体" w:hAnsi="宋体" w:cs="Arial"/>
          <w:highlight w:val="none"/>
        </w:rPr>
        <w:t>2.5 组织设计交底</w:t>
      </w:r>
      <w:bookmarkEnd w:id="1331"/>
      <w:bookmarkEnd w:id="1332"/>
      <w:bookmarkEnd w:id="1333"/>
      <w:bookmarkEnd w:id="1334"/>
      <w:bookmarkEnd w:id="1335"/>
      <w:bookmarkEnd w:id="1336"/>
      <w:bookmarkEnd w:id="1337"/>
      <w:bookmarkEnd w:id="1338"/>
    </w:p>
    <w:p>
      <w:pPr>
        <w:spacing w:line="400" w:lineRule="exact"/>
        <w:ind w:firstLine="420" w:firstLineChars="200"/>
        <w:rPr>
          <w:szCs w:val="21"/>
          <w:highlight w:val="none"/>
        </w:rPr>
      </w:pPr>
      <w:bookmarkStart w:id="1339" w:name="_Toc144974598"/>
      <w:bookmarkStart w:id="1340" w:name="_Toc152042408"/>
      <w:bookmarkStart w:id="1341" w:name="_Toc179632648"/>
      <w:bookmarkStart w:id="1342" w:name="_Toc152045630"/>
      <w:r>
        <w:rPr>
          <w:rFonts w:hint="eastAsia"/>
          <w:szCs w:val="21"/>
          <w:highlight w:val="none"/>
        </w:rPr>
        <w:t>发包人应当在合同条款11.1.1项约定的开工日期前组织设计人向承包人进行合同工程总体设计交底（包括图纸会审）。发包人还应按照合同进度计划中载明的阶段性设计交底时间组织和安排阶段工程设计交底（包括图纸会审）。承包人可以书面方式通过监理人向发包人申请增加紧急的设计交底，发包人在认为确有必要且条件许可时，应当尽快组织这类设计交底。</w:t>
      </w:r>
    </w:p>
    <w:bookmarkEnd w:id="1339"/>
    <w:bookmarkEnd w:id="1340"/>
    <w:bookmarkEnd w:id="1341"/>
    <w:bookmarkEnd w:id="1342"/>
    <w:p>
      <w:pPr>
        <w:pStyle w:val="199"/>
        <w:outlineLvl w:val="0"/>
        <w:rPr>
          <w:rFonts w:ascii="黑体" w:hAnsi="宋体" w:cs="Arial"/>
          <w:highlight w:val="none"/>
        </w:rPr>
      </w:pPr>
      <w:bookmarkStart w:id="1343" w:name="_Toc342296427"/>
      <w:bookmarkStart w:id="1344" w:name="_Toc179632650"/>
      <w:bookmarkStart w:id="1345" w:name="_Toc23824"/>
      <w:bookmarkStart w:id="1346" w:name="_Toc152042410"/>
      <w:bookmarkStart w:id="1347" w:name="_Toc434331346"/>
      <w:bookmarkStart w:id="1348" w:name="_Toc144974600"/>
      <w:bookmarkStart w:id="1349" w:name="_Toc152045632"/>
      <w:bookmarkStart w:id="1350" w:name="_Toc241459668"/>
      <w:r>
        <w:rPr>
          <w:rFonts w:hint="eastAsia" w:ascii="黑体" w:hAnsi="宋体" w:cs="Arial"/>
          <w:highlight w:val="none"/>
        </w:rPr>
        <w:t>2.8 其他义务</w:t>
      </w:r>
      <w:bookmarkEnd w:id="1343"/>
      <w:bookmarkEnd w:id="1344"/>
      <w:bookmarkEnd w:id="1345"/>
      <w:bookmarkEnd w:id="1346"/>
      <w:bookmarkEnd w:id="1347"/>
      <w:bookmarkEnd w:id="1348"/>
      <w:bookmarkEnd w:id="1349"/>
      <w:bookmarkEnd w:id="1350"/>
    </w:p>
    <w:p>
      <w:pPr>
        <w:spacing w:line="400" w:lineRule="exact"/>
        <w:ind w:firstLine="315" w:firstLineChars="150"/>
        <w:rPr>
          <w:szCs w:val="21"/>
          <w:highlight w:val="none"/>
        </w:rPr>
      </w:pPr>
      <w:r>
        <w:rPr>
          <w:rFonts w:hint="eastAsia"/>
          <w:szCs w:val="21"/>
          <w:highlight w:val="none"/>
        </w:rPr>
        <w:t>（1）按有关规定及时办理工程质量监督手续。</w:t>
      </w:r>
    </w:p>
    <w:p>
      <w:pPr>
        <w:spacing w:line="400" w:lineRule="exact"/>
        <w:ind w:firstLine="315" w:firstLineChars="150"/>
        <w:rPr>
          <w:szCs w:val="21"/>
          <w:highlight w:val="none"/>
        </w:rPr>
      </w:pPr>
      <w:r>
        <w:rPr>
          <w:rFonts w:hint="eastAsia"/>
          <w:szCs w:val="21"/>
          <w:highlight w:val="none"/>
        </w:rPr>
        <w:t>（2）根据建设行政主管部门和（或）城市建设档案管理机构的规定，收集、整理、立卷、归档工程资料，并按规定时间向建设行政主管部门或者城市建设档案管理机构移交规定的工程档案。</w:t>
      </w:r>
    </w:p>
    <w:p>
      <w:pPr>
        <w:spacing w:line="400" w:lineRule="exact"/>
        <w:ind w:firstLine="315" w:firstLineChars="150"/>
        <w:rPr>
          <w:szCs w:val="21"/>
          <w:highlight w:val="none"/>
        </w:rPr>
      </w:pPr>
      <w:r>
        <w:rPr>
          <w:rFonts w:hint="eastAsia"/>
          <w:szCs w:val="21"/>
          <w:highlight w:val="none"/>
        </w:rPr>
        <w:t>（3）</w:t>
      </w:r>
      <w:r>
        <w:rPr>
          <w:szCs w:val="21"/>
          <w:highlight w:val="none"/>
        </w:rPr>
        <w:t>批准和确认</w:t>
      </w:r>
      <w:r>
        <w:rPr>
          <w:rFonts w:hint="eastAsia"/>
          <w:szCs w:val="21"/>
          <w:highlight w:val="none"/>
        </w:rPr>
        <w:t>：在合同约定的期限内</w:t>
      </w:r>
      <w:r>
        <w:rPr>
          <w:szCs w:val="21"/>
          <w:highlight w:val="none"/>
        </w:rPr>
        <w:t>按合同约定</w:t>
      </w:r>
      <w:r>
        <w:rPr>
          <w:rFonts w:hint="eastAsia"/>
          <w:szCs w:val="21"/>
          <w:highlight w:val="none"/>
        </w:rPr>
        <w:t>应当由监理人或者发包人</w:t>
      </w:r>
      <w:r>
        <w:rPr>
          <w:szCs w:val="21"/>
          <w:highlight w:val="none"/>
        </w:rPr>
        <w:t>回复、</w:t>
      </w:r>
      <w:r>
        <w:rPr>
          <w:rFonts w:hint="eastAsia"/>
          <w:szCs w:val="21"/>
          <w:highlight w:val="none"/>
        </w:rPr>
        <w:t>批复、</w:t>
      </w:r>
      <w:r>
        <w:rPr>
          <w:szCs w:val="21"/>
          <w:highlight w:val="none"/>
        </w:rPr>
        <w:t>批</w:t>
      </w:r>
      <w:r>
        <w:rPr>
          <w:rFonts w:hint="eastAsia"/>
          <w:szCs w:val="21"/>
          <w:highlight w:val="none"/>
        </w:rPr>
        <w:t>准、确认或提出修改意见的</w:t>
      </w:r>
      <w:r>
        <w:rPr>
          <w:szCs w:val="21"/>
          <w:highlight w:val="none"/>
        </w:rPr>
        <w:t>承包人的</w:t>
      </w:r>
      <w:r>
        <w:rPr>
          <w:rFonts w:hint="eastAsia"/>
          <w:szCs w:val="21"/>
          <w:highlight w:val="none"/>
        </w:rPr>
        <w:t>要求</w:t>
      </w:r>
      <w:r>
        <w:rPr>
          <w:szCs w:val="21"/>
          <w:highlight w:val="none"/>
        </w:rPr>
        <w:t>、</w:t>
      </w:r>
      <w:r>
        <w:rPr>
          <w:rFonts w:hint="eastAsia"/>
          <w:szCs w:val="21"/>
          <w:highlight w:val="none"/>
        </w:rPr>
        <w:t>请求、</w:t>
      </w:r>
      <w:r>
        <w:rPr>
          <w:szCs w:val="21"/>
          <w:highlight w:val="none"/>
        </w:rPr>
        <w:t>申请</w:t>
      </w:r>
      <w:r>
        <w:rPr>
          <w:rFonts w:hint="eastAsia"/>
          <w:szCs w:val="21"/>
          <w:highlight w:val="none"/>
        </w:rPr>
        <w:t>和报批等，自监理人或者发包人指定的接收人收到承包人发出的相应要求、请求、申请和报批之日起，如果监理人或者发包人在合同约定的期限内未予回复、批复、批准、确认或提出修改意见的，视为监理人和发包人已经同意、确认或者批准。</w:t>
      </w:r>
    </w:p>
    <w:p>
      <w:pPr>
        <w:spacing w:before="100" w:beforeAutospacing="1" w:after="100" w:afterAutospacing="1" w:line="345" w:lineRule="atLeast"/>
        <w:rPr>
          <w:rFonts w:cs="Arial"/>
          <w:highlight w:val="none"/>
          <w:u w:val="single"/>
        </w:rPr>
      </w:pPr>
      <w:r>
        <w:rPr>
          <w:rFonts w:hint="eastAsia" w:cs="Arial"/>
          <w:szCs w:val="21"/>
          <w:highlight w:val="none"/>
        </w:rPr>
        <w:t>（4）</w:t>
      </w:r>
      <w:r>
        <w:rPr>
          <w:rFonts w:hint="eastAsia"/>
          <w:szCs w:val="21"/>
          <w:highlight w:val="none"/>
        </w:rPr>
        <w:t>发包人应当履行合同约定的其他义务以及</w:t>
      </w:r>
      <w:r>
        <w:rPr>
          <w:rFonts w:hint="eastAsia" w:cs="Arial"/>
          <w:szCs w:val="21"/>
          <w:highlight w:val="none"/>
        </w:rPr>
        <w:t>下述义务</w:t>
      </w:r>
      <w:r>
        <w:rPr>
          <w:rFonts w:hint="eastAsia" w:cs="Arial"/>
          <w:highlight w:val="none"/>
        </w:rPr>
        <w:t>：</w:t>
      </w:r>
      <w:r>
        <w:rPr>
          <w:rFonts w:hint="eastAsia" w:cs="Arial"/>
          <w:highlight w:val="none"/>
          <w:u w:val="single"/>
        </w:rPr>
        <w:t xml:space="preserve">   </w:t>
      </w:r>
    </w:p>
    <w:p>
      <w:pPr>
        <w:spacing w:before="100" w:beforeAutospacing="1" w:after="100" w:afterAutospacing="1" w:line="345" w:lineRule="atLeast"/>
        <w:ind w:firstLine="420" w:firstLineChars="200"/>
        <w:outlineLvl w:val="0"/>
        <w:rPr>
          <w:szCs w:val="21"/>
          <w:highlight w:val="none"/>
        </w:rPr>
      </w:pPr>
      <w:bookmarkStart w:id="1351" w:name="_Toc26454"/>
      <w:bookmarkStart w:id="1352" w:name="_Toc434331347"/>
      <w:r>
        <w:rPr>
          <w:rFonts w:hint="eastAsia"/>
          <w:szCs w:val="21"/>
          <w:highlight w:val="none"/>
        </w:rPr>
        <w:t>1)关于扬尘治理义务</w:t>
      </w:r>
      <w:bookmarkEnd w:id="1351"/>
      <w:bookmarkEnd w:id="1352"/>
    </w:p>
    <w:p>
      <w:pPr>
        <w:widowControl/>
        <w:spacing w:before="100" w:beforeAutospacing="1" w:after="100" w:afterAutospacing="1" w:line="345" w:lineRule="atLeast"/>
        <w:jc w:val="left"/>
        <w:rPr>
          <w:szCs w:val="21"/>
          <w:highlight w:val="none"/>
        </w:rPr>
      </w:pPr>
      <w:r>
        <w:rPr>
          <w:rFonts w:hint="eastAsia"/>
          <w:szCs w:val="21"/>
          <w:highlight w:val="none"/>
        </w:rPr>
        <w:t>　　a.发包人在建设工程开工前，应当开立扬尘治理专项资金的专用存款账户，将文明施工、环境保护总费用作为建设工程扬尘治理专项资金一次性存入银行专用存款账户内。发包人为财政预算管理单位的，应取得同级财政部门同意开户的证明。</w:t>
      </w:r>
    </w:p>
    <w:p>
      <w:pPr>
        <w:widowControl/>
        <w:spacing w:before="100" w:beforeAutospacing="1" w:after="100" w:afterAutospacing="1" w:line="345" w:lineRule="atLeast"/>
        <w:jc w:val="left"/>
        <w:rPr>
          <w:szCs w:val="21"/>
          <w:highlight w:val="none"/>
        </w:rPr>
      </w:pPr>
      <w:r>
        <w:rPr>
          <w:rFonts w:hint="eastAsia"/>
          <w:szCs w:val="21"/>
          <w:highlight w:val="none"/>
        </w:rPr>
        <w:t>　　b.发包人负责治理扬尘的整体组织工作，负责制定治理扬尘的质量和总目标，并对工程扬尘治理的决策、实施等环节实行全面管理，总体控制治理情况，进行中间检查验收等。</w:t>
      </w:r>
    </w:p>
    <w:p>
      <w:pPr>
        <w:widowControl/>
        <w:spacing w:before="100" w:beforeAutospacing="1" w:after="100" w:afterAutospacing="1" w:line="345" w:lineRule="atLeast"/>
        <w:jc w:val="left"/>
        <w:rPr>
          <w:szCs w:val="21"/>
          <w:highlight w:val="none"/>
        </w:rPr>
      </w:pPr>
      <w:r>
        <w:rPr>
          <w:rFonts w:hint="eastAsia"/>
          <w:szCs w:val="21"/>
          <w:highlight w:val="none"/>
        </w:rPr>
        <w:t>　　c.发包人对承包人治理情况依据相关部门要求进行评价，按照评价结果并依据相关合同约定及时支付相应的扬尘治理费用；承包人不能满足合同约定的，发包人有权责令改进并保留索赔权利。</w:t>
      </w:r>
    </w:p>
    <w:p>
      <w:pPr>
        <w:widowControl/>
        <w:spacing w:before="100" w:beforeAutospacing="1" w:after="100" w:afterAutospacing="1" w:line="345" w:lineRule="atLeast"/>
        <w:ind w:firstLine="420"/>
        <w:jc w:val="left"/>
        <w:rPr>
          <w:szCs w:val="21"/>
          <w:highlight w:val="none"/>
        </w:rPr>
      </w:pPr>
      <w:r>
        <w:rPr>
          <w:rFonts w:hint="eastAsia"/>
          <w:szCs w:val="21"/>
          <w:highlight w:val="none"/>
        </w:rPr>
        <w:t>d.发包人委托工程监理单位对承包人落实文明施工和环境保护措施情况进行现场监理。</w:t>
      </w:r>
    </w:p>
    <w:p>
      <w:pPr>
        <w:widowControl/>
        <w:spacing w:before="100" w:beforeAutospacing="1" w:after="100" w:afterAutospacing="1" w:line="345" w:lineRule="atLeast"/>
        <w:ind w:firstLine="420" w:firstLineChars="200"/>
        <w:jc w:val="left"/>
        <w:rPr>
          <w:szCs w:val="21"/>
          <w:highlight w:val="none"/>
        </w:rPr>
      </w:pPr>
      <w:r>
        <w:rPr>
          <w:rFonts w:hint="eastAsia"/>
          <w:szCs w:val="21"/>
          <w:highlight w:val="none"/>
        </w:rPr>
        <w:t>2）发包人应当履行合同约定的其他义务以及下述义务：发包人</w:t>
      </w:r>
      <w:r>
        <w:rPr>
          <w:szCs w:val="21"/>
          <w:highlight w:val="none"/>
        </w:rPr>
        <w:t>向</w:t>
      </w:r>
      <w:r>
        <w:rPr>
          <w:rFonts w:hint="eastAsia"/>
          <w:szCs w:val="21"/>
          <w:highlight w:val="none"/>
        </w:rPr>
        <w:t>承包人</w:t>
      </w:r>
      <w:r>
        <w:rPr>
          <w:szCs w:val="21"/>
          <w:highlight w:val="none"/>
        </w:rPr>
        <w:t>提供的有关现场的数据和资料，是</w:t>
      </w:r>
      <w:r>
        <w:rPr>
          <w:rFonts w:hint="eastAsia"/>
          <w:szCs w:val="21"/>
          <w:highlight w:val="none"/>
        </w:rPr>
        <w:t>发包人</w:t>
      </w:r>
      <w:r>
        <w:rPr>
          <w:szCs w:val="21"/>
          <w:highlight w:val="none"/>
        </w:rPr>
        <w:t>现有的能被</w:t>
      </w:r>
      <w:r>
        <w:rPr>
          <w:rFonts w:hint="eastAsia"/>
          <w:szCs w:val="21"/>
          <w:highlight w:val="none"/>
        </w:rPr>
        <w:t>承包人</w:t>
      </w:r>
      <w:r>
        <w:rPr>
          <w:szCs w:val="21"/>
          <w:highlight w:val="none"/>
        </w:rPr>
        <w:t>利用的资料，</w:t>
      </w:r>
      <w:r>
        <w:rPr>
          <w:rFonts w:hint="eastAsia"/>
          <w:szCs w:val="21"/>
          <w:highlight w:val="none"/>
        </w:rPr>
        <w:t>承包人应积极并尽一切可能对施工现场进行详细了解，发包人</w:t>
      </w:r>
      <w:r>
        <w:rPr>
          <w:szCs w:val="21"/>
          <w:highlight w:val="none"/>
        </w:rPr>
        <w:t>对</w:t>
      </w:r>
      <w:r>
        <w:rPr>
          <w:rFonts w:hint="eastAsia"/>
          <w:szCs w:val="21"/>
          <w:highlight w:val="none"/>
        </w:rPr>
        <w:t>承包人</w:t>
      </w:r>
      <w:r>
        <w:rPr>
          <w:szCs w:val="21"/>
          <w:highlight w:val="none"/>
        </w:rPr>
        <w:t>做出的任何推论、理解和结论均不负责任</w:t>
      </w:r>
      <w:r>
        <w:rPr>
          <w:rFonts w:hint="eastAsia"/>
          <w:szCs w:val="21"/>
          <w:highlight w:val="none"/>
        </w:rPr>
        <w:t>。</w:t>
      </w:r>
    </w:p>
    <w:p>
      <w:pPr>
        <w:widowControl/>
        <w:spacing w:before="100" w:beforeAutospacing="1" w:after="100" w:afterAutospacing="1" w:line="345" w:lineRule="atLeast"/>
        <w:ind w:firstLine="420" w:firstLineChars="200"/>
        <w:jc w:val="left"/>
        <w:rPr>
          <w:szCs w:val="21"/>
          <w:highlight w:val="none"/>
        </w:rPr>
      </w:pPr>
      <w:r>
        <w:rPr>
          <w:rFonts w:hint="eastAsia"/>
          <w:szCs w:val="21"/>
          <w:highlight w:val="none"/>
        </w:rPr>
        <w:t>3）</w:t>
      </w:r>
      <w:r>
        <w:rPr>
          <w:rFonts w:hint="eastAsia" w:cs="Arial"/>
          <w:szCs w:val="21"/>
          <w:highlight w:val="none"/>
        </w:rPr>
        <w:t>任何涉及经济内容的变更单、洽商文件、备忘录，通知等，如果没有发包人法定代表人或其授权的代理人亲笔签署外，均为无效文件。承包人和监理人均应了解此项规定。</w:t>
      </w:r>
    </w:p>
    <w:p>
      <w:pPr>
        <w:widowControl/>
        <w:spacing w:before="100" w:beforeAutospacing="1" w:after="100" w:afterAutospacing="1" w:line="345" w:lineRule="atLeast"/>
        <w:ind w:firstLine="420" w:firstLineChars="200"/>
        <w:jc w:val="left"/>
        <w:rPr>
          <w:szCs w:val="21"/>
          <w:highlight w:val="none"/>
        </w:rPr>
      </w:pPr>
      <w:r>
        <w:rPr>
          <w:rFonts w:hint="eastAsia"/>
          <w:szCs w:val="21"/>
          <w:highlight w:val="none"/>
        </w:rPr>
        <w:t>4）</w:t>
      </w:r>
      <w:r>
        <w:rPr>
          <w:rFonts w:hint="eastAsia" w:cs="Arial"/>
          <w:szCs w:val="21"/>
          <w:highlight w:val="none"/>
        </w:rPr>
        <w:t>凡合同文件中说明应由发包人审批、认可的文件、物品或工作，承包人均应在合理的时间提交给发包人审批或认可。发包人的任何批准、不批准或修改建议都不会减轻或免除承包人按合同文件或法律应承担的责任。发包人的批准应以书面形式发出，否则无效。发包人可委托监理人执行审批的工作。此种委托审批须有书面委托手续，否则无效。</w:t>
      </w:r>
    </w:p>
    <w:p>
      <w:pPr>
        <w:pStyle w:val="282"/>
        <w:spacing w:before="0"/>
        <w:outlineLvl w:val="0"/>
        <w:rPr>
          <w:highlight w:val="none"/>
        </w:rPr>
      </w:pPr>
      <w:bookmarkStart w:id="1353" w:name="_Toc152042411"/>
      <w:bookmarkStart w:id="1354" w:name="_Toc2616"/>
      <w:bookmarkStart w:id="1355" w:name="_Toc434331348"/>
      <w:bookmarkStart w:id="1356" w:name="_Toc179632651"/>
      <w:bookmarkStart w:id="1357" w:name="_Toc342296428"/>
      <w:bookmarkStart w:id="1358" w:name="_Toc152045633"/>
      <w:bookmarkStart w:id="1359" w:name="_Toc241459669"/>
      <w:bookmarkStart w:id="1360" w:name="_Toc144974601"/>
      <w:r>
        <w:rPr>
          <w:rFonts w:hint="eastAsia"/>
          <w:highlight w:val="none"/>
        </w:rPr>
        <w:t>3. 监理人</w:t>
      </w:r>
      <w:bookmarkEnd w:id="1353"/>
      <w:bookmarkEnd w:id="1354"/>
      <w:bookmarkEnd w:id="1355"/>
      <w:bookmarkEnd w:id="1356"/>
      <w:bookmarkEnd w:id="1357"/>
      <w:bookmarkEnd w:id="1358"/>
      <w:bookmarkEnd w:id="1359"/>
      <w:bookmarkEnd w:id="1360"/>
    </w:p>
    <w:p>
      <w:pPr>
        <w:pStyle w:val="199"/>
        <w:outlineLvl w:val="0"/>
        <w:rPr>
          <w:rFonts w:ascii="黑体" w:hAnsi="宋体" w:cs="Arial"/>
          <w:highlight w:val="none"/>
        </w:rPr>
      </w:pPr>
      <w:bookmarkStart w:id="1361" w:name="_Toc21413"/>
      <w:bookmarkStart w:id="1362" w:name="_Toc152042412"/>
      <w:bookmarkStart w:id="1363" w:name="_Toc241459670"/>
      <w:bookmarkStart w:id="1364" w:name="_Toc434331349"/>
      <w:bookmarkStart w:id="1365" w:name="_Toc152045634"/>
      <w:bookmarkStart w:id="1366" w:name="_Toc179632652"/>
      <w:bookmarkStart w:id="1367" w:name="_Toc144974602"/>
      <w:bookmarkStart w:id="1368" w:name="_Toc342296429"/>
      <w:r>
        <w:rPr>
          <w:rFonts w:hint="eastAsia" w:ascii="黑体" w:hAnsi="宋体" w:cs="Arial"/>
          <w:highlight w:val="none"/>
        </w:rPr>
        <w:t>3.1 监理人的职责和权力</w:t>
      </w:r>
      <w:bookmarkEnd w:id="1361"/>
      <w:bookmarkEnd w:id="1362"/>
      <w:bookmarkEnd w:id="1363"/>
      <w:bookmarkEnd w:id="1364"/>
      <w:bookmarkEnd w:id="1365"/>
      <w:bookmarkEnd w:id="1366"/>
      <w:bookmarkEnd w:id="1367"/>
      <w:bookmarkEnd w:id="1368"/>
    </w:p>
    <w:p>
      <w:pPr>
        <w:spacing w:line="400" w:lineRule="exact"/>
        <w:ind w:firstLine="420" w:firstLineChars="200"/>
        <w:rPr>
          <w:szCs w:val="21"/>
          <w:highlight w:val="none"/>
        </w:rPr>
      </w:pPr>
      <w:r>
        <w:rPr>
          <w:rFonts w:hint="eastAsia"/>
          <w:szCs w:val="21"/>
          <w:highlight w:val="none"/>
        </w:rPr>
        <w:t>3.1.1须经发包人批准行使的权力：</w:t>
      </w:r>
      <w:r>
        <w:rPr>
          <w:szCs w:val="21"/>
          <w:highlight w:val="none"/>
          <w:u w:val="single"/>
        </w:rPr>
        <w:t>所有由监理人发出的书面通知、指示、同意、批准、证书、决定及其它通讯联络，均要</w:t>
      </w:r>
      <w:r>
        <w:rPr>
          <w:rFonts w:hint="eastAsia"/>
          <w:szCs w:val="21"/>
          <w:highlight w:val="none"/>
          <w:u w:val="single"/>
        </w:rPr>
        <w:t>按照发包人的管理流程及相关规定执行；</w:t>
      </w:r>
      <w:r>
        <w:rPr>
          <w:szCs w:val="21"/>
          <w:highlight w:val="none"/>
          <w:u w:val="single"/>
        </w:rPr>
        <w:t>并且当发包人和监理人各自的任何书面通知、指示、同意、批准、证书、决定及其它通讯联络之间出现冲突、矛盾和不一致时，发包人的决定应是最终的和具有合同约束力的</w:t>
      </w:r>
      <w:r>
        <w:rPr>
          <w:rFonts w:hint="eastAsia"/>
          <w:szCs w:val="21"/>
          <w:highlight w:val="none"/>
        </w:rPr>
        <w:t>。</w:t>
      </w:r>
    </w:p>
    <w:p>
      <w:pPr>
        <w:spacing w:line="400" w:lineRule="exact"/>
        <w:ind w:firstLine="420" w:firstLineChars="200"/>
        <w:rPr>
          <w:szCs w:val="21"/>
          <w:highlight w:val="none"/>
          <w:u w:val="single"/>
        </w:rPr>
      </w:pPr>
      <w:r>
        <w:rPr>
          <w:rFonts w:hint="eastAsia"/>
          <w:szCs w:val="21"/>
          <w:highlight w:val="none"/>
        </w:rPr>
        <w:t>不管通用合同条款第3.1.1项如何约定，</w:t>
      </w:r>
      <w:r>
        <w:rPr>
          <w:rFonts w:hint="eastAsia"/>
          <w:highlight w:val="none"/>
        </w:rPr>
        <w:t>监理人履行须经发包人批准行使的权力时，应当向承包人出示其行使该权力已经取得发包人批准的文件或者其他合法有效的证明</w:t>
      </w:r>
      <w:r>
        <w:rPr>
          <w:rFonts w:hint="eastAsia"/>
          <w:szCs w:val="21"/>
          <w:highlight w:val="none"/>
        </w:rPr>
        <w:t>。</w:t>
      </w:r>
    </w:p>
    <w:p>
      <w:pPr>
        <w:pStyle w:val="199"/>
        <w:outlineLvl w:val="0"/>
        <w:rPr>
          <w:rFonts w:ascii="黑体" w:hAnsi="宋体" w:cs="Arial"/>
          <w:highlight w:val="none"/>
        </w:rPr>
      </w:pPr>
      <w:bookmarkStart w:id="1369" w:name="_Toc434331350"/>
      <w:bookmarkStart w:id="1370" w:name="_Toc152042414"/>
      <w:bookmarkStart w:id="1371" w:name="_Toc342296430"/>
      <w:bookmarkStart w:id="1372" w:name="_Toc241459671"/>
      <w:bookmarkStart w:id="1373" w:name="_Toc26587"/>
      <w:bookmarkStart w:id="1374" w:name="_Toc144974604"/>
      <w:bookmarkStart w:id="1375" w:name="_Toc179632654"/>
      <w:bookmarkStart w:id="1376" w:name="_Toc152045636"/>
      <w:r>
        <w:rPr>
          <w:rFonts w:hint="eastAsia" w:ascii="黑体" w:hAnsi="宋体" w:cs="Arial"/>
          <w:highlight w:val="none"/>
        </w:rPr>
        <w:t>3.3 监理人员</w:t>
      </w:r>
      <w:bookmarkEnd w:id="1369"/>
      <w:bookmarkEnd w:id="1370"/>
      <w:bookmarkEnd w:id="1371"/>
      <w:bookmarkEnd w:id="1372"/>
      <w:bookmarkEnd w:id="1373"/>
      <w:bookmarkEnd w:id="1374"/>
      <w:bookmarkEnd w:id="1375"/>
      <w:bookmarkEnd w:id="1376"/>
    </w:p>
    <w:p>
      <w:pPr>
        <w:spacing w:line="400" w:lineRule="exact"/>
        <w:ind w:firstLine="420" w:firstLineChars="200"/>
        <w:rPr>
          <w:rFonts w:cs="Arial"/>
          <w:highlight w:val="none"/>
        </w:rPr>
      </w:pPr>
      <w:r>
        <w:rPr>
          <w:rFonts w:hint="eastAsia"/>
          <w:szCs w:val="21"/>
          <w:highlight w:val="none"/>
        </w:rPr>
        <w:t>3.3.4 总监理工程师不应将第3.5款约定应由总监理工程师作出确定的权力授权或者委托给其他监理人员。</w:t>
      </w:r>
    </w:p>
    <w:p>
      <w:pPr>
        <w:pStyle w:val="199"/>
        <w:outlineLvl w:val="0"/>
        <w:rPr>
          <w:rFonts w:ascii="黑体" w:hAnsi="宋体" w:cs="Arial"/>
          <w:highlight w:val="none"/>
        </w:rPr>
      </w:pPr>
      <w:bookmarkStart w:id="1377" w:name="_Toc152045637"/>
      <w:bookmarkStart w:id="1378" w:name="_Toc25785"/>
      <w:bookmarkStart w:id="1379" w:name="_Toc434331351"/>
      <w:bookmarkStart w:id="1380" w:name="_Toc179632655"/>
      <w:bookmarkStart w:id="1381" w:name="_Toc144974605"/>
      <w:bookmarkStart w:id="1382" w:name="_Toc342296431"/>
      <w:bookmarkStart w:id="1383" w:name="_Toc152042415"/>
      <w:bookmarkStart w:id="1384" w:name="_Toc241459672"/>
      <w:r>
        <w:rPr>
          <w:rFonts w:hint="eastAsia" w:ascii="黑体" w:hAnsi="宋体" w:cs="Arial"/>
          <w:highlight w:val="none"/>
        </w:rPr>
        <w:t>3.4 监理人的指示</w:t>
      </w:r>
      <w:bookmarkEnd w:id="1377"/>
      <w:bookmarkEnd w:id="1378"/>
      <w:bookmarkEnd w:id="1379"/>
      <w:bookmarkEnd w:id="1380"/>
      <w:bookmarkEnd w:id="1381"/>
      <w:bookmarkEnd w:id="1382"/>
      <w:bookmarkEnd w:id="1383"/>
      <w:bookmarkEnd w:id="1384"/>
    </w:p>
    <w:p>
      <w:pPr>
        <w:spacing w:line="400" w:lineRule="exact"/>
        <w:ind w:firstLine="420" w:firstLineChars="200"/>
        <w:rPr>
          <w:highlight w:val="none"/>
        </w:rPr>
      </w:pPr>
      <w:r>
        <w:rPr>
          <w:rFonts w:hint="eastAsia"/>
          <w:szCs w:val="21"/>
          <w:highlight w:val="none"/>
        </w:rPr>
        <w:t>3.4.4除通用合同条款已有的专门约定外，承包人只能从总监理工程师或按第3.3.1项授权的监理人员处取得指示，发包人应当通过监理人向承包人发出指示。</w:t>
      </w:r>
      <w:bookmarkStart w:id="1385" w:name="_Toc179632657"/>
      <w:bookmarkStart w:id="1386" w:name="_Toc144974607"/>
      <w:bookmarkStart w:id="1387" w:name="_Toc152042417"/>
      <w:bookmarkStart w:id="1388" w:name="_Toc152045639"/>
    </w:p>
    <w:p>
      <w:pPr>
        <w:pStyle w:val="199"/>
        <w:outlineLvl w:val="0"/>
        <w:rPr>
          <w:rFonts w:ascii="黑体" w:hAnsi="宋体" w:cs="Arial"/>
          <w:highlight w:val="none"/>
        </w:rPr>
      </w:pPr>
      <w:bookmarkStart w:id="1389" w:name="_Toc241459673"/>
      <w:bookmarkStart w:id="1390" w:name="_Toc434331352"/>
      <w:bookmarkStart w:id="1391" w:name="_Toc7976"/>
      <w:bookmarkStart w:id="1392" w:name="_Toc342296432"/>
      <w:r>
        <w:rPr>
          <w:rFonts w:hint="eastAsia" w:ascii="黑体" w:hAnsi="宋体" w:cs="Arial"/>
          <w:highlight w:val="none"/>
        </w:rPr>
        <w:t>3.6 监理人的宽恕</w:t>
      </w:r>
      <w:bookmarkEnd w:id="1389"/>
      <w:bookmarkEnd w:id="1390"/>
      <w:bookmarkEnd w:id="1391"/>
      <w:bookmarkEnd w:id="1392"/>
    </w:p>
    <w:p>
      <w:pPr>
        <w:spacing w:line="400" w:lineRule="exact"/>
        <w:ind w:firstLine="420" w:firstLineChars="200"/>
        <w:rPr>
          <w:rFonts w:cs="Arial"/>
          <w:highlight w:val="none"/>
        </w:rPr>
      </w:pPr>
      <w:r>
        <w:rPr>
          <w:rFonts w:hint="eastAsia"/>
          <w:highlight w:val="none"/>
        </w:rPr>
        <w:t>监理人或者发包人就承包人对合同约定的任何责任和义务的某种违约行为的宽恕，不影响监理人和发包人在此后的任何时间严格按合同约定处理承包人的其它违约行为，也不意味发包人放弃合同约定的发包人与上述违约有关的任何权利和赔偿要求。</w:t>
      </w:r>
    </w:p>
    <w:p>
      <w:pPr>
        <w:pStyle w:val="282"/>
        <w:spacing w:before="0"/>
        <w:outlineLvl w:val="0"/>
        <w:rPr>
          <w:highlight w:val="none"/>
        </w:rPr>
      </w:pPr>
      <w:bookmarkStart w:id="1393" w:name="_Toc241459674"/>
      <w:bookmarkStart w:id="1394" w:name="_Toc31283"/>
      <w:bookmarkStart w:id="1395" w:name="_Toc434331353"/>
      <w:bookmarkStart w:id="1396" w:name="_Toc342296433"/>
      <w:r>
        <w:rPr>
          <w:rFonts w:hint="eastAsia"/>
          <w:highlight w:val="none"/>
        </w:rPr>
        <w:t>4. 承包人</w:t>
      </w:r>
      <w:bookmarkEnd w:id="1385"/>
      <w:bookmarkEnd w:id="1386"/>
      <w:bookmarkEnd w:id="1387"/>
      <w:bookmarkEnd w:id="1388"/>
      <w:bookmarkEnd w:id="1393"/>
      <w:bookmarkEnd w:id="1394"/>
      <w:bookmarkEnd w:id="1395"/>
      <w:bookmarkEnd w:id="1396"/>
    </w:p>
    <w:p>
      <w:pPr>
        <w:pStyle w:val="199"/>
        <w:outlineLvl w:val="0"/>
        <w:rPr>
          <w:rFonts w:ascii="黑体" w:hAnsi="宋体" w:cs="Arial"/>
          <w:highlight w:val="none"/>
        </w:rPr>
      </w:pPr>
      <w:bookmarkStart w:id="1397" w:name="_Toc342296434"/>
      <w:bookmarkStart w:id="1398" w:name="_Toc434331354"/>
      <w:bookmarkStart w:id="1399" w:name="_Toc12735"/>
      <w:bookmarkStart w:id="1400" w:name="_Toc152045640"/>
      <w:bookmarkStart w:id="1401" w:name="_Toc179632658"/>
      <w:bookmarkStart w:id="1402" w:name="_Toc144974608"/>
      <w:bookmarkStart w:id="1403" w:name="_Toc152042418"/>
      <w:bookmarkStart w:id="1404" w:name="_Toc241459675"/>
      <w:r>
        <w:rPr>
          <w:rFonts w:hint="eastAsia" w:ascii="黑体" w:hAnsi="宋体" w:cs="Arial"/>
          <w:highlight w:val="none"/>
        </w:rPr>
        <w:t>4.1 承包人的一般义务</w:t>
      </w:r>
      <w:bookmarkEnd w:id="1397"/>
      <w:bookmarkEnd w:id="1398"/>
      <w:bookmarkEnd w:id="1399"/>
      <w:bookmarkEnd w:id="1400"/>
      <w:bookmarkEnd w:id="1401"/>
      <w:bookmarkEnd w:id="1402"/>
      <w:bookmarkEnd w:id="1403"/>
      <w:bookmarkEnd w:id="1404"/>
    </w:p>
    <w:p>
      <w:pPr>
        <w:spacing w:line="400" w:lineRule="exact"/>
        <w:ind w:firstLine="420" w:firstLineChars="200"/>
        <w:rPr>
          <w:szCs w:val="21"/>
          <w:highlight w:val="none"/>
        </w:rPr>
      </w:pPr>
      <w:r>
        <w:rPr>
          <w:rFonts w:hint="eastAsia"/>
          <w:szCs w:val="21"/>
          <w:highlight w:val="none"/>
        </w:rPr>
        <w:t>4.1.3除专用合同条款第5.2款约定由发包人提供的材料和工程设备和第6.2款约定由发包人提供的施工设备和临时设施外，承包人应负责提供为完成合同工作所需的劳务、材料、施工设备、工程设备和其他物品，并按合同约定负责临时设施的设计、建造、运行、维护、管理和拆除。</w:t>
      </w:r>
    </w:p>
    <w:p>
      <w:pPr>
        <w:spacing w:line="400" w:lineRule="exact"/>
        <w:ind w:firstLine="420" w:firstLineChars="200"/>
        <w:rPr>
          <w:rFonts w:ascii="黑体" w:eastAsia="黑体"/>
          <w:szCs w:val="21"/>
          <w:highlight w:val="none"/>
        </w:rPr>
      </w:pPr>
      <w:r>
        <w:rPr>
          <w:rFonts w:hint="eastAsia" w:ascii="黑体" w:eastAsia="黑体"/>
          <w:szCs w:val="21"/>
          <w:highlight w:val="none"/>
        </w:rPr>
        <w:t>4.1.8为他人提供方便</w:t>
      </w:r>
    </w:p>
    <w:p>
      <w:pPr>
        <w:spacing w:line="400" w:lineRule="exact"/>
        <w:ind w:firstLine="315" w:firstLineChars="150"/>
        <w:rPr>
          <w:szCs w:val="21"/>
          <w:highlight w:val="none"/>
        </w:rPr>
      </w:pPr>
      <w:r>
        <w:rPr>
          <w:rFonts w:hint="eastAsia"/>
          <w:szCs w:val="21"/>
          <w:highlight w:val="none"/>
        </w:rPr>
        <w:t>（1）承包人应当对在施工场地或者附近实施与合同工程有关的其他工作的独立承包人履行管理、协调、配合、照管和服务义务，由此发生的费用被认为已经包括在承包人的签约合同价（投标总报价）中，包含但不限于以下内容：</w:t>
      </w:r>
    </w:p>
    <w:p>
      <w:pPr>
        <w:spacing w:line="400" w:lineRule="exact"/>
        <w:ind w:firstLine="420" w:firstLineChars="200"/>
        <w:rPr>
          <w:szCs w:val="21"/>
          <w:highlight w:val="none"/>
          <w:u w:val="single"/>
        </w:rPr>
      </w:pPr>
      <w:r>
        <w:rPr>
          <w:rFonts w:hint="eastAsia"/>
          <w:szCs w:val="21"/>
          <w:highlight w:val="none"/>
          <w:u w:val="single"/>
        </w:rPr>
        <w:t>(a)根据招标文件专用条款规定，将发包人发包专业工程纳入承包人的管理范围，并对施工现场进行统一管理，且承包人应与独立承包人签订进场管理协议。</w:t>
      </w:r>
    </w:p>
    <w:p>
      <w:pPr>
        <w:spacing w:line="400" w:lineRule="exact"/>
        <w:ind w:firstLine="525" w:firstLineChars="250"/>
        <w:rPr>
          <w:szCs w:val="21"/>
          <w:highlight w:val="none"/>
          <w:u w:val="single"/>
        </w:rPr>
      </w:pPr>
      <w:r>
        <w:rPr>
          <w:rFonts w:hint="eastAsia"/>
          <w:szCs w:val="21"/>
          <w:highlight w:val="none"/>
          <w:u w:val="single"/>
        </w:rPr>
        <w:t>(b)承包人对独立承包人的质量、进度、安全、资料进行管理，以满足整体工程竣工及交付使用。</w:t>
      </w:r>
    </w:p>
    <w:p>
      <w:pPr>
        <w:spacing w:line="400" w:lineRule="exact"/>
        <w:ind w:firstLine="315" w:firstLineChars="150"/>
        <w:rPr>
          <w:szCs w:val="21"/>
          <w:highlight w:val="none"/>
          <w:u w:val="single"/>
        </w:rPr>
      </w:pPr>
      <w:r>
        <w:rPr>
          <w:rFonts w:hint="eastAsia"/>
          <w:szCs w:val="21"/>
          <w:highlight w:val="none"/>
          <w:u w:val="single"/>
        </w:rPr>
        <w:t>(c)承包人应负责独立承包人施工过程资料及竣工资料的汇总、整理。</w:t>
      </w:r>
    </w:p>
    <w:p>
      <w:pPr>
        <w:spacing w:line="400" w:lineRule="exact"/>
        <w:ind w:firstLine="315" w:firstLineChars="150"/>
        <w:rPr>
          <w:szCs w:val="21"/>
          <w:highlight w:val="none"/>
          <w:u w:val="single"/>
        </w:rPr>
      </w:pPr>
      <w:r>
        <w:rPr>
          <w:rFonts w:hint="eastAsia"/>
          <w:szCs w:val="21"/>
          <w:highlight w:val="none"/>
          <w:u w:val="single"/>
        </w:rPr>
        <w:t>(d)将承包人负责修建、维修及保养的任何道路和通道，提供给独立承包人使用。</w:t>
      </w:r>
    </w:p>
    <w:p>
      <w:pPr>
        <w:spacing w:line="400" w:lineRule="exact"/>
        <w:ind w:firstLine="315" w:firstLineChars="150"/>
        <w:rPr>
          <w:szCs w:val="21"/>
          <w:highlight w:val="none"/>
          <w:u w:val="single"/>
        </w:rPr>
      </w:pPr>
      <w:r>
        <w:rPr>
          <w:rFonts w:hint="eastAsia"/>
          <w:szCs w:val="21"/>
          <w:highlight w:val="none"/>
          <w:u w:val="single"/>
        </w:rPr>
        <w:t>(e)允许独立承包人使用承包人提供的临时工程和承包人在现场的垂直运输机械、设备和脚手架（如果有）。如果根据工程实施进展情况，承包人需拆除现场已搭设的现场的垂直运输机械、设备和脚手架等相关临时设施时，必须与现场各参建单位协商确定拆除时间。</w:t>
      </w:r>
    </w:p>
    <w:p>
      <w:pPr>
        <w:spacing w:line="400" w:lineRule="exact"/>
        <w:ind w:firstLine="315" w:firstLineChars="150"/>
        <w:rPr>
          <w:szCs w:val="21"/>
          <w:highlight w:val="none"/>
          <w:u w:val="single"/>
        </w:rPr>
      </w:pPr>
      <w:r>
        <w:rPr>
          <w:rFonts w:hint="eastAsia"/>
          <w:szCs w:val="21"/>
          <w:highlight w:val="none"/>
          <w:u w:val="single"/>
        </w:rPr>
        <w:t>(f)为保证承包人和独立承包人的工作不发生冲突，承包人应对他们的工作场所和材料存放等负责协调。</w:t>
      </w:r>
    </w:p>
    <w:p>
      <w:pPr>
        <w:spacing w:line="400" w:lineRule="exact"/>
        <w:ind w:firstLine="315" w:firstLineChars="150"/>
        <w:rPr>
          <w:szCs w:val="21"/>
          <w:highlight w:val="none"/>
          <w:u w:val="single"/>
        </w:rPr>
      </w:pPr>
      <w:r>
        <w:rPr>
          <w:rFonts w:hint="eastAsia"/>
          <w:szCs w:val="21"/>
          <w:highlight w:val="none"/>
          <w:u w:val="single"/>
        </w:rPr>
        <w:t>(g)为独立承包人及时提供足够的和无障碍的工作面。</w:t>
      </w:r>
    </w:p>
    <w:p>
      <w:pPr>
        <w:spacing w:line="400" w:lineRule="exact"/>
        <w:ind w:firstLine="315" w:firstLineChars="150"/>
        <w:rPr>
          <w:szCs w:val="21"/>
          <w:highlight w:val="none"/>
          <w:u w:val="single"/>
        </w:rPr>
      </w:pPr>
      <w:r>
        <w:rPr>
          <w:rFonts w:hint="eastAsia"/>
          <w:szCs w:val="21"/>
          <w:highlight w:val="none"/>
          <w:u w:val="single"/>
        </w:rPr>
        <w:t>(h)在独立承包人完成相应工作并将工作面移交给承包人后，承包人应采取有效的成品保护措施。</w:t>
      </w:r>
    </w:p>
    <w:p>
      <w:pPr>
        <w:spacing w:line="400" w:lineRule="exact"/>
        <w:ind w:firstLine="315" w:firstLineChars="150"/>
        <w:rPr>
          <w:szCs w:val="21"/>
          <w:highlight w:val="none"/>
          <w:u w:val="single"/>
        </w:rPr>
      </w:pPr>
      <w:r>
        <w:rPr>
          <w:rFonts w:hint="eastAsia"/>
          <w:szCs w:val="21"/>
          <w:highlight w:val="none"/>
          <w:u w:val="single"/>
        </w:rPr>
        <w:t>(i)为独立承包人和独立供应商提供施工现场水源、电源、道路。工程水电管线由总包负责接驳。</w:t>
      </w:r>
    </w:p>
    <w:p>
      <w:pPr>
        <w:spacing w:line="400" w:lineRule="exact"/>
        <w:ind w:firstLine="315" w:firstLineChars="150"/>
        <w:rPr>
          <w:szCs w:val="21"/>
          <w:highlight w:val="none"/>
          <w:u w:val="single"/>
        </w:rPr>
      </w:pPr>
      <w:r>
        <w:rPr>
          <w:rFonts w:hint="eastAsia"/>
          <w:szCs w:val="21"/>
          <w:highlight w:val="none"/>
          <w:u w:val="single"/>
        </w:rPr>
        <w:t>(j)为独立承包人提供正常的临时照明和施工及调试、试运行所必需的用电、保安、冬雨季及恶劣天气所需的特别设施（包括但不限于临时供热、保温等）。</w:t>
      </w:r>
    </w:p>
    <w:p>
      <w:pPr>
        <w:spacing w:line="400" w:lineRule="exact"/>
        <w:ind w:firstLine="315" w:firstLineChars="150"/>
        <w:rPr>
          <w:szCs w:val="21"/>
          <w:highlight w:val="none"/>
          <w:u w:val="single"/>
        </w:rPr>
      </w:pPr>
      <w:r>
        <w:rPr>
          <w:rFonts w:hint="eastAsia"/>
          <w:szCs w:val="21"/>
          <w:highlight w:val="none"/>
          <w:u w:val="single"/>
        </w:rPr>
        <w:t>(k)清理现场垃圾（独立承包人将其施工所产生的垃圾运至承包人在施工现场承包人指定地点）。</w:t>
      </w:r>
    </w:p>
    <w:p>
      <w:pPr>
        <w:spacing w:line="400" w:lineRule="exact"/>
        <w:ind w:firstLine="315" w:firstLineChars="150"/>
        <w:rPr>
          <w:szCs w:val="21"/>
          <w:highlight w:val="none"/>
          <w:u w:val="single"/>
        </w:rPr>
      </w:pPr>
      <w:r>
        <w:rPr>
          <w:rFonts w:hint="eastAsia"/>
          <w:szCs w:val="21"/>
          <w:highlight w:val="none"/>
          <w:u w:val="single"/>
        </w:rPr>
        <w:t>(l)确保发包人发包专业分包工程所含永久设备的通道之洞口尺寸适当，以确保该等设备运送不会因洞口尺寸及相隔高度不足够而产生延误及阻碍。</w:t>
      </w:r>
    </w:p>
    <w:p>
      <w:pPr>
        <w:spacing w:line="400" w:lineRule="exact"/>
        <w:ind w:firstLine="315" w:firstLineChars="150"/>
        <w:rPr>
          <w:szCs w:val="21"/>
          <w:highlight w:val="none"/>
          <w:u w:val="single"/>
        </w:rPr>
      </w:pPr>
      <w:r>
        <w:rPr>
          <w:rFonts w:hint="eastAsia"/>
          <w:szCs w:val="21"/>
          <w:highlight w:val="none"/>
          <w:u w:val="single"/>
        </w:rPr>
        <w:t>(m)按独立承包人要求，提供将用做支撑的混凝土设备基础。</w:t>
      </w:r>
    </w:p>
    <w:p>
      <w:pPr>
        <w:spacing w:line="400" w:lineRule="exact"/>
        <w:ind w:firstLine="315" w:firstLineChars="150"/>
        <w:rPr>
          <w:szCs w:val="21"/>
          <w:highlight w:val="none"/>
          <w:u w:val="single"/>
        </w:rPr>
      </w:pPr>
      <w:r>
        <w:rPr>
          <w:rFonts w:hint="eastAsia"/>
          <w:szCs w:val="21"/>
          <w:highlight w:val="none"/>
          <w:u w:val="single"/>
        </w:rPr>
        <w:t>(n)对于由任何独立承包人和独立供应商已实施的所有的工作和服务，承包人有权得到的付款应限于已经包含在合同内价格中的承包人为独立承包及供应提供的现场协调、配合和服务以及本合同文件中规定的其他总承包责任和义务所需的费用。承包人不得再以任何手段、借口、理由或形式向任何独立承包人和独立供应商再行收取、索取或截留与发包人发包专业工程有关的、承包人履行本合同约定的协调、配合、服务责任、义务、损失等其他任何费用。</w:t>
      </w:r>
    </w:p>
    <w:p>
      <w:pPr>
        <w:spacing w:line="400" w:lineRule="exact"/>
        <w:ind w:firstLine="315" w:firstLineChars="150"/>
        <w:rPr>
          <w:szCs w:val="21"/>
          <w:highlight w:val="none"/>
          <w:u w:val="single"/>
        </w:rPr>
      </w:pPr>
      <w:r>
        <w:rPr>
          <w:rFonts w:hint="eastAsia"/>
          <w:szCs w:val="21"/>
          <w:highlight w:val="none"/>
          <w:u w:val="single"/>
        </w:rPr>
        <w:t>（o）需承包人办理的有关施工场地交通、环卫和施工噪音管理等手续：</w:t>
      </w:r>
    </w:p>
    <w:p>
      <w:pPr>
        <w:spacing w:line="400" w:lineRule="exact"/>
        <w:ind w:firstLine="315" w:firstLineChars="150"/>
        <w:rPr>
          <w:szCs w:val="21"/>
          <w:highlight w:val="none"/>
          <w:u w:val="single"/>
        </w:rPr>
      </w:pPr>
      <w:r>
        <w:rPr>
          <w:rFonts w:hint="eastAsia"/>
          <w:szCs w:val="21"/>
          <w:highlight w:val="none"/>
          <w:u w:val="single"/>
        </w:rPr>
        <w:t>①</w:t>
      </w:r>
      <w:r>
        <w:rPr>
          <w:szCs w:val="21"/>
          <w:highlight w:val="none"/>
          <w:u w:val="single"/>
        </w:rPr>
        <w:t xml:space="preserve"> </w:t>
      </w:r>
      <w:r>
        <w:rPr>
          <w:rFonts w:hint="eastAsia"/>
          <w:szCs w:val="21"/>
          <w:highlight w:val="none"/>
          <w:u w:val="single"/>
        </w:rPr>
        <w:t>需要办理特别通行证时，由承包人负责办证，发包人协助；</w:t>
      </w:r>
    </w:p>
    <w:p>
      <w:pPr>
        <w:spacing w:line="400" w:lineRule="exact"/>
        <w:ind w:firstLine="315" w:firstLineChars="150"/>
        <w:rPr>
          <w:szCs w:val="21"/>
          <w:highlight w:val="none"/>
          <w:u w:val="single"/>
        </w:rPr>
      </w:pPr>
      <w:r>
        <w:rPr>
          <w:rFonts w:hint="eastAsia"/>
          <w:szCs w:val="21"/>
          <w:highlight w:val="none"/>
          <w:u w:val="single"/>
        </w:rPr>
        <w:t>②</w:t>
      </w:r>
      <w:r>
        <w:rPr>
          <w:szCs w:val="21"/>
          <w:highlight w:val="none"/>
          <w:u w:val="single"/>
        </w:rPr>
        <w:t xml:space="preserve"> </w:t>
      </w:r>
      <w:r>
        <w:rPr>
          <w:rFonts w:hint="eastAsia"/>
          <w:szCs w:val="21"/>
          <w:highlight w:val="none"/>
          <w:u w:val="single"/>
        </w:rPr>
        <w:t>施工现场需要排放有害物质及污水时，由承包人办理有关手续；</w:t>
      </w:r>
    </w:p>
    <w:p>
      <w:pPr>
        <w:spacing w:line="400" w:lineRule="exact"/>
        <w:ind w:firstLine="315" w:firstLineChars="150"/>
        <w:rPr>
          <w:szCs w:val="21"/>
          <w:highlight w:val="none"/>
          <w:u w:val="single"/>
        </w:rPr>
      </w:pPr>
      <w:r>
        <w:rPr>
          <w:rFonts w:hint="eastAsia"/>
          <w:szCs w:val="21"/>
          <w:highlight w:val="none"/>
          <w:u w:val="single"/>
        </w:rPr>
        <w:t>③</w:t>
      </w:r>
      <w:r>
        <w:rPr>
          <w:szCs w:val="21"/>
          <w:highlight w:val="none"/>
          <w:u w:val="single"/>
        </w:rPr>
        <w:t xml:space="preserve"> </w:t>
      </w:r>
      <w:r>
        <w:rPr>
          <w:rFonts w:hint="eastAsia"/>
          <w:szCs w:val="21"/>
          <w:highlight w:val="none"/>
          <w:u w:val="single"/>
        </w:rPr>
        <w:t>施工噪音超过当地主管部门的规定时，由承包人提出措施；</w:t>
      </w:r>
    </w:p>
    <w:p>
      <w:pPr>
        <w:spacing w:line="400" w:lineRule="exact"/>
        <w:ind w:firstLine="315" w:firstLineChars="150"/>
        <w:rPr>
          <w:szCs w:val="21"/>
          <w:highlight w:val="none"/>
          <w:u w:val="single"/>
        </w:rPr>
      </w:pPr>
      <w:r>
        <w:rPr>
          <w:rFonts w:hint="eastAsia"/>
          <w:szCs w:val="21"/>
          <w:highlight w:val="none"/>
          <w:u w:val="single"/>
        </w:rPr>
        <w:t>5）承包人在施工前，须对施工地段下的电缆、水管、障碍物等地下物进行认真调查，查明其准确位置、高程和尺寸。</w:t>
      </w:r>
    </w:p>
    <w:p>
      <w:pPr>
        <w:spacing w:line="400" w:lineRule="exact"/>
        <w:ind w:firstLine="315" w:firstLineChars="150"/>
        <w:rPr>
          <w:szCs w:val="21"/>
          <w:highlight w:val="none"/>
          <w:u w:val="single"/>
        </w:rPr>
      </w:pPr>
      <w:r>
        <w:rPr>
          <w:rFonts w:hint="eastAsia"/>
          <w:szCs w:val="21"/>
          <w:highlight w:val="none"/>
          <w:u w:val="single"/>
        </w:rPr>
        <w:t>上述工作所涉及的费用已包含在合同价款中。</w:t>
      </w:r>
    </w:p>
    <w:p>
      <w:pPr>
        <w:spacing w:line="400" w:lineRule="exact"/>
        <w:ind w:firstLine="315" w:firstLineChars="150"/>
        <w:rPr>
          <w:szCs w:val="21"/>
          <w:highlight w:val="none"/>
        </w:rPr>
      </w:pPr>
      <w:r>
        <w:rPr>
          <w:rFonts w:hint="eastAsia"/>
          <w:szCs w:val="21"/>
          <w:highlight w:val="none"/>
        </w:rPr>
        <w:t>（2）承包人还应按监理人指示为独立承包人以外的他人在施工场地或者附近实施与合同工程有关的其他工作提供可能的条件，可能发生费用由监理人按第3.5款商定或者确定。</w:t>
      </w:r>
    </w:p>
    <w:p>
      <w:pPr>
        <w:spacing w:line="400" w:lineRule="exact"/>
        <w:ind w:firstLine="420" w:firstLineChars="200"/>
        <w:rPr>
          <w:rFonts w:ascii="黑体" w:eastAsia="黑体"/>
          <w:szCs w:val="21"/>
          <w:highlight w:val="none"/>
        </w:rPr>
      </w:pPr>
      <w:r>
        <w:rPr>
          <w:rFonts w:hint="eastAsia" w:ascii="黑体" w:eastAsia="黑体"/>
          <w:szCs w:val="21"/>
          <w:highlight w:val="none"/>
        </w:rPr>
        <w:t xml:space="preserve">4.1.10其他义务  </w:t>
      </w:r>
    </w:p>
    <w:p>
      <w:pPr>
        <w:spacing w:line="400" w:lineRule="exact"/>
        <w:ind w:firstLine="315" w:firstLineChars="150"/>
        <w:rPr>
          <w:szCs w:val="21"/>
          <w:highlight w:val="none"/>
          <w:u w:val="single"/>
        </w:rPr>
      </w:pPr>
      <w:r>
        <w:rPr>
          <w:rFonts w:hint="eastAsia"/>
          <w:szCs w:val="21"/>
          <w:highlight w:val="none"/>
        </w:rPr>
        <w:t>（1）根据发包人委托，在其设计资质等级和业务允许的范围内，完成施工图设计或与工程配套的设计，经监理人确认后使用，发包人承担由此发生的费用和合理利润。由承包人负责完成的设计文件属于合同条款第1.6.2项约定的承包人提供的文件，承包人应按照专用合同条款第1.6.2项约定的期限和数量提交，由此发生的费用被认为已经包括在承包人的签约合同价（投标总报价）中。由承包人承担的施工图设计或与工程配套的设计工作内容：</w:t>
      </w:r>
      <w:r>
        <w:rPr>
          <w:rFonts w:hint="eastAsia"/>
          <w:szCs w:val="21"/>
          <w:highlight w:val="none"/>
          <w:u w:val="single"/>
        </w:rPr>
        <w:t>承包人负责进行二次深化设计，深化设计经总体设计单位设计师认可后方能实施。</w:t>
      </w:r>
    </w:p>
    <w:p>
      <w:pPr>
        <w:spacing w:line="400" w:lineRule="exact"/>
        <w:ind w:left="342"/>
        <w:rPr>
          <w:rFonts w:cs="Arial"/>
          <w:highlight w:val="none"/>
        </w:rPr>
      </w:pPr>
      <w:r>
        <w:rPr>
          <w:rFonts w:hint="eastAsia"/>
          <w:szCs w:val="21"/>
          <w:highlight w:val="none"/>
        </w:rPr>
        <w:t>（2）承包人应履行合同约定的其他义务以及</w:t>
      </w:r>
      <w:r>
        <w:rPr>
          <w:rFonts w:hint="eastAsia" w:cs="Arial"/>
          <w:szCs w:val="21"/>
          <w:highlight w:val="none"/>
        </w:rPr>
        <w:t>下述义务</w:t>
      </w:r>
      <w:r>
        <w:rPr>
          <w:rFonts w:hint="eastAsia" w:cs="Arial"/>
          <w:highlight w:val="none"/>
        </w:rPr>
        <w:t>：</w:t>
      </w:r>
    </w:p>
    <w:p>
      <w:pPr>
        <w:spacing w:before="100" w:beforeAutospacing="1" w:after="100" w:afterAutospacing="1" w:line="345" w:lineRule="atLeast"/>
        <w:ind w:firstLine="315" w:firstLineChars="150"/>
        <w:rPr>
          <w:szCs w:val="21"/>
          <w:highlight w:val="none"/>
          <w:u w:val="single"/>
        </w:rPr>
      </w:pPr>
      <w:r>
        <w:rPr>
          <w:rFonts w:hint="eastAsia"/>
          <w:szCs w:val="21"/>
          <w:highlight w:val="none"/>
          <w:u w:val="single"/>
        </w:rPr>
        <w:t>1）关于扬尘治理义务</w:t>
      </w:r>
    </w:p>
    <w:p>
      <w:pPr>
        <w:widowControl/>
        <w:spacing w:before="100" w:beforeAutospacing="1" w:after="100" w:afterAutospacing="1" w:line="345" w:lineRule="atLeast"/>
        <w:ind w:firstLine="420" w:firstLineChars="200"/>
        <w:jc w:val="left"/>
        <w:rPr>
          <w:szCs w:val="21"/>
          <w:highlight w:val="none"/>
          <w:u w:val="single"/>
        </w:rPr>
      </w:pPr>
      <w:r>
        <w:rPr>
          <w:rFonts w:hint="eastAsia"/>
          <w:szCs w:val="21"/>
          <w:highlight w:val="none"/>
          <w:u w:val="single"/>
        </w:rPr>
        <w:t>a.承包人应通过有效的技术手段和管理措施将施工产生的扬尘控制在相关指标范围内。确保工地沙土覆盖、工地路面硬化、出工地车辆冲洗车轮、拆除房屋的工地洒水压尘、垃圾分类密闭存放，并保证渣土运输车辆符合相关规定要求。</w:t>
      </w:r>
    </w:p>
    <w:p>
      <w:pPr>
        <w:widowControl/>
        <w:spacing w:before="100" w:beforeAutospacing="1" w:after="100" w:afterAutospacing="1" w:line="345" w:lineRule="atLeast"/>
        <w:ind w:firstLine="420" w:firstLineChars="200"/>
        <w:jc w:val="left"/>
        <w:rPr>
          <w:szCs w:val="21"/>
          <w:highlight w:val="none"/>
          <w:u w:val="single"/>
        </w:rPr>
      </w:pPr>
      <w:r>
        <w:rPr>
          <w:rFonts w:hint="eastAsia"/>
          <w:szCs w:val="21"/>
          <w:highlight w:val="none"/>
          <w:u w:val="single"/>
        </w:rPr>
        <w:t>b.承包人应在施工期间加强环保意识、保持工地清洁、控制扬尘、杜绝漏洒材料，使得施工现场及周围无扬尘污染。</w:t>
      </w:r>
    </w:p>
    <w:p>
      <w:pPr>
        <w:spacing w:line="400" w:lineRule="exact"/>
        <w:ind w:left="342"/>
        <w:rPr>
          <w:rFonts w:cs="Arial"/>
          <w:highlight w:val="none"/>
          <w:u w:val="single"/>
        </w:rPr>
      </w:pPr>
      <w:r>
        <w:rPr>
          <w:rFonts w:hint="eastAsia" w:cs="Arial"/>
          <w:highlight w:val="none"/>
          <w:u w:val="single"/>
        </w:rPr>
        <w:t>2）承包人应就发包人所提供的施工场地基础情况、各类隐蔽管线、设施资料进行详细核对，落实并据此制定相应的施工方案。</w:t>
      </w:r>
    </w:p>
    <w:p>
      <w:pPr>
        <w:spacing w:line="400" w:lineRule="exact"/>
        <w:ind w:left="342"/>
        <w:rPr>
          <w:rFonts w:cs="Arial"/>
          <w:highlight w:val="none"/>
          <w:u w:val="single"/>
        </w:rPr>
      </w:pPr>
      <w:r>
        <w:rPr>
          <w:rFonts w:hint="eastAsia" w:cs="Arial"/>
          <w:highlight w:val="none"/>
          <w:u w:val="single"/>
        </w:rPr>
        <w:t>4）承包人范围内的消防及弱电工程预留预埋（包含管线、桥架的敷设）需结合专业工程的需求进行施工。</w:t>
      </w:r>
    </w:p>
    <w:p>
      <w:pPr>
        <w:spacing w:line="400" w:lineRule="exact"/>
        <w:ind w:left="342"/>
        <w:rPr>
          <w:rFonts w:cs="Arial"/>
          <w:highlight w:val="none"/>
          <w:u w:val="single"/>
        </w:rPr>
      </w:pPr>
      <w:r>
        <w:rPr>
          <w:rFonts w:hint="eastAsia" w:cs="Arial"/>
          <w:highlight w:val="none"/>
          <w:u w:val="single"/>
        </w:rPr>
        <w:t>5）承包人范围内的回路需后期深化的配电箱的供应及安装，但配电箱需据精装修单位或工艺厂家的深化图纸、安全技术等要求进行加工订货、安装及并接线。</w:t>
      </w:r>
    </w:p>
    <w:p>
      <w:pPr>
        <w:spacing w:line="400" w:lineRule="exact"/>
        <w:ind w:left="342"/>
        <w:rPr>
          <w:rFonts w:cs="Arial"/>
          <w:highlight w:val="none"/>
          <w:u w:val="single"/>
        </w:rPr>
      </w:pPr>
      <w:r>
        <w:rPr>
          <w:rFonts w:hint="eastAsia" w:cs="Arial"/>
          <w:highlight w:val="none"/>
          <w:u w:val="single"/>
        </w:rPr>
        <w:t>4）承担施工安全保卫工作及施工照明的责任和要求：承包方应按建设行政管理部门和相关部门的要求，自费承担这些工作（如现场警卫和按发包人要求设置的施工现场视频监控系统）和提供相应设施（如护板、围栏等），以保护公共安全，并提供方便。如因承包方原因未履行条款中约定义务造成工程财产损失，由承包方承担责任和损失。</w:t>
      </w:r>
    </w:p>
    <w:p>
      <w:pPr>
        <w:spacing w:line="400" w:lineRule="exact"/>
        <w:ind w:left="342"/>
        <w:rPr>
          <w:rFonts w:cs="Arial"/>
          <w:highlight w:val="none"/>
          <w:u w:val="single"/>
        </w:rPr>
      </w:pPr>
      <w:r>
        <w:rPr>
          <w:rFonts w:hint="eastAsia" w:cs="Arial"/>
          <w:highlight w:val="none"/>
          <w:u w:val="single"/>
        </w:rPr>
        <w:t>5）绿色施工管理要求：承包方按照DB11/513-2008《绿色施工管理规程》和发包人书面提出的绿色施工要求执行。</w:t>
      </w:r>
    </w:p>
    <w:p>
      <w:pPr>
        <w:spacing w:line="400" w:lineRule="exact"/>
        <w:ind w:left="342"/>
        <w:rPr>
          <w:rFonts w:cs="Arial"/>
          <w:highlight w:val="none"/>
          <w:u w:val="single"/>
        </w:rPr>
      </w:pPr>
      <w:r>
        <w:rPr>
          <w:rFonts w:hint="eastAsia" w:cs="Arial"/>
          <w:highlight w:val="none"/>
          <w:u w:val="single"/>
        </w:rPr>
        <w:t>6）发包人支付给承包人的工程款，承包人应专款专用。发包人有权对支付给承包人的工程价款的到位、管理、使用以及其他有关情况进行检查，必要时可查阅承包人财务报表、账簿、凭证等资料，承包人有义务予以配合并如实提供相关资料和情况。检查中发现的问题，承包人应立即进行纠正。</w:t>
      </w:r>
    </w:p>
    <w:p>
      <w:pPr>
        <w:spacing w:line="400" w:lineRule="exact"/>
        <w:ind w:left="342"/>
        <w:rPr>
          <w:rFonts w:cs="Arial"/>
          <w:highlight w:val="none"/>
          <w:u w:val="single"/>
        </w:rPr>
      </w:pPr>
      <w:r>
        <w:rPr>
          <w:rFonts w:hint="eastAsia" w:cs="Arial"/>
          <w:highlight w:val="none"/>
          <w:u w:val="single"/>
        </w:rPr>
        <w:t>7）承包人应协助发包人办理开工手续，完善开工条件。</w:t>
      </w:r>
    </w:p>
    <w:p>
      <w:pPr>
        <w:spacing w:line="400" w:lineRule="exact"/>
        <w:ind w:left="342"/>
        <w:rPr>
          <w:rFonts w:cs="Arial"/>
          <w:highlight w:val="none"/>
          <w:u w:val="single"/>
        </w:rPr>
      </w:pPr>
      <w:r>
        <w:rPr>
          <w:rFonts w:hint="eastAsia" w:cs="Arial"/>
          <w:highlight w:val="none"/>
          <w:u w:val="single"/>
        </w:rPr>
        <w:t>8）在涉及或关系到本工程的任何事项上，无论这些事项在合同中是否写明 ，承包人都要严格遵守和执行发包人和监理人按照合同发出的指令。若承包人违反本合同项下任何义务或责任，在发包人或监理人限定的时间内未能改正，发包人有权自行或委托第三方代为履行，由此产生的费用由承包人承担，发包人有权从应支付给承包人的工程款中直接扣除。</w:t>
      </w:r>
    </w:p>
    <w:p>
      <w:pPr>
        <w:spacing w:line="400" w:lineRule="exact"/>
        <w:ind w:left="342"/>
        <w:rPr>
          <w:rFonts w:cs="Arial"/>
          <w:highlight w:val="none"/>
          <w:u w:val="single"/>
        </w:rPr>
      </w:pPr>
      <w:r>
        <w:rPr>
          <w:rFonts w:hint="eastAsia" w:cs="Arial"/>
          <w:highlight w:val="none"/>
          <w:u w:val="single"/>
        </w:rPr>
        <w:t>9）承包人应明白并在其投标价内考虑到工地上可能会有其他施工单位，而承包人所使用的工作面或空间将不会由承包人独自使用，而是与其他施工单位配合使用。任何因忽视此条款而引起的索偿或工期延长均不会获考虑。承包人在本工程施工过程中，应与其他施工单位充分配合，承包人与其他施工单位所发生的任何纠纷均不得影响本工程工期延误，否则承包人应承担工期延误责任，给发包人造成的其他任何损失，发包人都有权要求赔偿。</w:t>
      </w:r>
    </w:p>
    <w:p>
      <w:pPr>
        <w:spacing w:line="400" w:lineRule="exact"/>
        <w:ind w:left="342"/>
        <w:rPr>
          <w:rFonts w:cs="Arial"/>
          <w:highlight w:val="none"/>
          <w:u w:val="single"/>
        </w:rPr>
      </w:pPr>
      <w:r>
        <w:rPr>
          <w:rFonts w:hint="eastAsia" w:cs="Arial"/>
          <w:highlight w:val="none"/>
          <w:u w:val="single"/>
        </w:rPr>
        <w:t>10）承包人应当为完成合同而设置合理可行的现场组织机构并为此雇佣在各自行业或职业内具有足够经验、认真负责和精干称职的管理人员。除非事先获取发包人的书面批准，承包人不得更换或撤回项目经理、项目执行经理、技术负责人其他主要管理人员。</w:t>
      </w:r>
    </w:p>
    <w:p>
      <w:pPr>
        <w:spacing w:line="400" w:lineRule="exact"/>
        <w:ind w:left="342"/>
        <w:rPr>
          <w:rFonts w:cs="Arial"/>
          <w:highlight w:val="none"/>
          <w:u w:val="single"/>
        </w:rPr>
      </w:pPr>
      <w:r>
        <w:rPr>
          <w:rFonts w:hint="eastAsia" w:cs="Arial"/>
          <w:highlight w:val="none"/>
          <w:u w:val="single"/>
        </w:rPr>
        <w:t>监理人可报发包人批准后撤换，必要时发包人有权直接要求承包人撤换。</w:t>
      </w:r>
    </w:p>
    <w:p>
      <w:pPr>
        <w:spacing w:line="400" w:lineRule="exact"/>
        <w:ind w:left="342"/>
        <w:rPr>
          <w:rFonts w:cs="Arial"/>
          <w:highlight w:val="none"/>
          <w:u w:val="single"/>
        </w:rPr>
      </w:pPr>
      <w:r>
        <w:rPr>
          <w:rFonts w:hint="eastAsia" w:cs="Arial"/>
          <w:highlight w:val="none"/>
          <w:u w:val="single"/>
        </w:rPr>
        <w:t>监理人/发包人认为有下列行为的任何人员需要进行撤换，包括承包人代表：</w:t>
      </w:r>
    </w:p>
    <w:p>
      <w:pPr>
        <w:spacing w:line="400" w:lineRule="exact"/>
        <w:ind w:left="342"/>
        <w:rPr>
          <w:rFonts w:cs="Arial"/>
          <w:highlight w:val="none"/>
          <w:u w:val="single"/>
        </w:rPr>
      </w:pPr>
      <w:r>
        <w:rPr>
          <w:rFonts w:hint="eastAsia" w:cs="Arial"/>
          <w:highlight w:val="none"/>
          <w:u w:val="single"/>
        </w:rPr>
        <w:t>a)</w:t>
      </w:r>
      <w:r>
        <w:rPr>
          <w:rFonts w:hint="eastAsia" w:cs="Arial"/>
          <w:highlight w:val="none"/>
          <w:u w:val="single"/>
        </w:rPr>
        <w:tab/>
      </w:r>
      <w:r>
        <w:rPr>
          <w:rFonts w:hint="eastAsia" w:cs="Arial"/>
          <w:highlight w:val="none"/>
          <w:u w:val="single"/>
        </w:rPr>
        <w:t>在履行其职责时不能胜任或玩忽职守；</w:t>
      </w:r>
    </w:p>
    <w:p>
      <w:pPr>
        <w:spacing w:line="400" w:lineRule="exact"/>
        <w:ind w:left="342"/>
        <w:rPr>
          <w:rFonts w:cs="Arial"/>
          <w:highlight w:val="none"/>
          <w:u w:val="single"/>
        </w:rPr>
      </w:pPr>
      <w:r>
        <w:rPr>
          <w:rFonts w:hint="eastAsia" w:cs="Arial"/>
          <w:highlight w:val="none"/>
          <w:u w:val="single"/>
        </w:rPr>
        <w:t>b)</w:t>
      </w:r>
      <w:r>
        <w:rPr>
          <w:rFonts w:hint="eastAsia" w:cs="Arial"/>
          <w:highlight w:val="none"/>
          <w:u w:val="single"/>
        </w:rPr>
        <w:tab/>
      </w:r>
      <w:r>
        <w:rPr>
          <w:rFonts w:hint="eastAsia" w:cs="Arial"/>
          <w:highlight w:val="none"/>
          <w:u w:val="single"/>
        </w:rPr>
        <w:t>不遵守合同的约定；</w:t>
      </w:r>
    </w:p>
    <w:p>
      <w:pPr>
        <w:spacing w:line="400" w:lineRule="exact"/>
        <w:ind w:left="342"/>
        <w:rPr>
          <w:rFonts w:cs="Arial"/>
          <w:highlight w:val="none"/>
          <w:u w:val="single"/>
        </w:rPr>
      </w:pPr>
      <w:r>
        <w:rPr>
          <w:rFonts w:hint="eastAsia" w:cs="Arial"/>
          <w:highlight w:val="none"/>
          <w:u w:val="single"/>
        </w:rPr>
        <w:t>c)</w:t>
      </w:r>
      <w:r>
        <w:rPr>
          <w:rFonts w:hint="eastAsia" w:cs="Arial"/>
          <w:highlight w:val="none"/>
          <w:u w:val="single"/>
        </w:rPr>
        <w:tab/>
      </w:r>
      <w:r>
        <w:rPr>
          <w:rFonts w:hint="eastAsia" w:cs="Arial"/>
          <w:highlight w:val="none"/>
          <w:u w:val="single"/>
        </w:rPr>
        <w:t>经常出现有损健康与安全，或有损环境保护的行为。</w:t>
      </w:r>
    </w:p>
    <w:p>
      <w:pPr>
        <w:spacing w:line="400" w:lineRule="exact"/>
        <w:ind w:left="342"/>
        <w:rPr>
          <w:rFonts w:cs="Arial"/>
          <w:highlight w:val="none"/>
          <w:u w:val="single"/>
        </w:rPr>
      </w:pPr>
      <w:r>
        <w:rPr>
          <w:rFonts w:hint="eastAsia" w:cs="Arial"/>
          <w:highlight w:val="none"/>
          <w:u w:val="single"/>
        </w:rPr>
        <w:t>如果出现这种情况，承包人应在监理人或发包人提出此类要求后7天内选派合适的替代人员。承包人未在前述期限内以完成替换工作，则每逾期一天，承包人应按1000元/人次的标准向发包人支付违约金直至人员更换完成且经发包人认可为止。</w:t>
      </w:r>
    </w:p>
    <w:p>
      <w:pPr>
        <w:spacing w:line="400" w:lineRule="exact"/>
        <w:ind w:left="342"/>
        <w:rPr>
          <w:rFonts w:cs="Arial"/>
          <w:highlight w:val="none"/>
          <w:u w:val="single"/>
        </w:rPr>
      </w:pPr>
      <w:r>
        <w:rPr>
          <w:rFonts w:hint="eastAsia" w:cs="Arial"/>
          <w:highlight w:val="none"/>
          <w:u w:val="single"/>
        </w:rPr>
        <w:t>11）除非合同中另有约定，承包人应自行安排从当地或其他地方雇佣所有职员和劳务人员，并支付他们的报酬、住宿、膳食和交通遣返。</w:t>
      </w:r>
    </w:p>
    <w:p>
      <w:pPr>
        <w:spacing w:line="400" w:lineRule="exact"/>
        <w:ind w:left="342"/>
        <w:rPr>
          <w:rFonts w:cs="Arial"/>
          <w:highlight w:val="none"/>
          <w:u w:val="single"/>
        </w:rPr>
      </w:pPr>
      <w:r>
        <w:rPr>
          <w:rFonts w:hint="eastAsia" w:cs="Arial"/>
          <w:highlight w:val="none"/>
          <w:u w:val="single"/>
        </w:rPr>
        <w:t>12）承包人应全面配合发包人进行阶段性和/或全过程跟踪程审计。</w:t>
      </w:r>
    </w:p>
    <w:p>
      <w:pPr>
        <w:spacing w:line="400" w:lineRule="exact"/>
        <w:ind w:left="342"/>
        <w:rPr>
          <w:rFonts w:cs="Arial"/>
          <w:highlight w:val="none"/>
          <w:u w:val="single"/>
        </w:rPr>
      </w:pPr>
      <w:r>
        <w:rPr>
          <w:rFonts w:hint="eastAsia" w:cs="Arial"/>
          <w:highlight w:val="none"/>
          <w:u w:val="single"/>
        </w:rPr>
        <w:t>13）承包人应对发包人提供的勘测基准点进行复核（包括但不限于委托具备专业资质的相关单位在整个工程实施过程中进行的现场规划放线、验线及竣工测绘等工作），相关费用包含在投标报价中，招标人不再单独支付。</w:t>
      </w:r>
    </w:p>
    <w:p>
      <w:pPr>
        <w:spacing w:line="400" w:lineRule="exact"/>
        <w:ind w:left="342"/>
        <w:rPr>
          <w:rFonts w:cs="Arial"/>
          <w:highlight w:val="none"/>
          <w:u w:val="single"/>
        </w:rPr>
      </w:pPr>
      <w:r>
        <w:rPr>
          <w:rFonts w:hint="eastAsia" w:cs="Arial"/>
          <w:highlight w:val="none"/>
          <w:u w:val="single"/>
        </w:rPr>
        <w:t>14承包人需要为分包人提供相应的管理、协调、配合、服务工作。具体要求如下：</w:t>
      </w:r>
    </w:p>
    <w:p>
      <w:pPr>
        <w:spacing w:line="400" w:lineRule="exact"/>
        <w:ind w:left="342"/>
        <w:rPr>
          <w:rFonts w:cs="Arial"/>
          <w:highlight w:val="none"/>
          <w:u w:val="single"/>
        </w:rPr>
      </w:pPr>
      <w:r>
        <w:rPr>
          <w:rFonts w:hint="eastAsia" w:cs="Arial"/>
          <w:highlight w:val="none"/>
          <w:u w:val="single"/>
        </w:rPr>
        <w:t>(a)将承包人负责修建、维修及保养的任何道路或通道，提供给分包人使用。</w:t>
      </w:r>
    </w:p>
    <w:p>
      <w:pPr>
        <w:spacing w:line="400" w:lineRule="exact"/>
        <w:ind w:left="342"/>
        <w:rPr>
          <w:rFonts w:cs="Arial"/>
          <w:highlight w:val="none"/>
          <w:u w:val="single"/>
        </w:rPr>
      </w:pPr>
      <w:r>
        <w:rPr>
          <w:rFonts w:hint="eastAsia" w:cs="Arial"/>
          <w:highlight w:val="none"/>
          <w:u w:val="single"/>
        </w:rPr>
        <w:t>(b)为保证承包人和分包人的工作不发生冲突，承包人应对他们的工作场所和材料存放等负责协调。</w:t>
      </w:r>
    </w:p>
    <w:p>
      <w:pPr>
        <w:spacing w:line="400" w:lineRule="exact"/>
        <w:ind w:left="342"/>
        <w:rPr>
          <w:rFonts w:cs="Arial"/>
          <w:highlight w:val="none"/>
          <w:u w:val="single"/>
        </w:rPr>
      </w:pPr>
      <w:r>
        <w:rPr>
          <w:rFonts w:hint="eastAsia" w:cs="Arial"/>
          <w:highlight w:val="none"/>
          <w:u w:val="single"/>
        </w:rPr>
        <w:t>(c)负责对包括分包人工作在内的工程总体施工进度计划的安排和日常协调及管理，即分包人的进度计划应纳入总承包进度计划中，由承包人统一协调管理。</w:t>
      </w:r>
    </w:p>
    <w:p>
      <w:pPr>
        <w:spacing w:line="400" w:lineRule="exact"/>
        <w:ind w:left="342"/>
        <w:rPr>
          <w:rFonts w:cs="Arial"/>
          <w:highlight w:val="none"/>
          <w:u w:val="single"/>
        </w:rPr>
      </w:pPr>
      <w:r>
        <w:rPr>
          <w:rFonts w:hint="eastAsia" w:cs="Arial"/>
          <w:highlight w:val="none"/>
          <w:u w:val="single"/>
        </w:rPr>
        <w:t>(d)负责对分包人的施工质量进行监督管理，及时发现质量隐患，确保总体施工质量；</w:t>
      </w:r>
    </w:p>
    <w:p>
      <w:pPr>
        <w:spacing w:line="400" w:lineRule="exact"/>
        <w:ind w:left="342"/>
        <w:rPr>
          <w:rFonts w:cs="Arial"/>
          <w:highlight w:val="none"/>
          <w:u w:val="single"/>
        </w:rPr>
      </w:pPr>
      <w:r>
        <w:rPr>
          <w:rFonts w:hint="eastAsia" w:cs="Arial"/>
          <w:highlight w:val="none"/>
          <w:u w:val="single"/>
        </w:rPr>
        <w:t>(e)负责对分包人的安全进行全面管理，及时发现安全隐患，杜绝伤亡事故。发生事故，及时按相关规定全面负责救护、上报、处理和善后，尽最大可能降低事故损失。</w:t>
      </w:r>
    </w:p>
    <w:p>
      <w:pPr>
        <w:spacing w:line="400" w:lineRule="exact"/>
        <w:ind w:left="342"/>
        <w:rPr>
          <w:rFonts w:cs="Arial"/>
          <w:highlight w:val="none"/>
          <w:u w:val="single"/>
        </w:rPr>
      </w:pPr>
      <w:r>
        <w:rPr>
          <w:rFonts w:hint="eastAsia" w:cs="Arial"/>
          <w:highlight w:val="none"/>
          <w:u w:val="single"/>
        </w:rPr>
        <w:t>(f)为分包人及时提供足够的和无障碍的工作面。</w:t>
      </w:r>
    </w:p>
    <w:p>
      <w:pPr>
        <w:spacing w:line="400" w:lineRule="exact"/>
        <w:rPr>
          <w:rFonts w:cs="Arial"/>
          <w:highlight w:val="none"/>
          <w:u w:val="single"/>
        </w:rPr>
      </w:pPr>
      <w:r>
        <w:rPr>
          <w:rFonts w:hint="eastAsia" w:cs="Arial"/>
          <w:highlight w:val="none"/>
        </w:rPr>
        <w:t xml:space="preserve">   </w:t>
      </w:r>
      <w:r>
        <w:rPr>
          <w:rFonts w:hint="eastAsia" w:cs="Arial"/>
          <w:highlight w:val="none"/>
          <w:u w:val="single"/>
        </w:rPr>
        <w:t>(g)在上述各分包人完成相应工作，并整体或阶段性施工达到验收标准后，承包人应采取有效的成品保护措施，直至整体竣工验收移交完成。</w:t>
      </w:r>
    </w:p>
    <w:p>
      <w:pPr>
        <w:spacing w:line="400" w:lineRule="exact"/>
        <w:ind w:left="342"/>
        <w:rPr>
          <w:rFonts w:cs="Arial"/>
          <w:highlight w:val="none"/>
          <w:u w:val="single"/>
        </w:rPr>
      </w:pPr>
      <w:r>
        <w:rPr>
          <w:rFonts w:hint="eastAsia" w:cs="Arial"/>
          <w:highlight w:val="none"/>
          <w:u w:val="single"/>
        </w:rPr>
        <w:t>(h)为分包人提供施工现场水源、电源、道路。工程水电管线由总包负责接驳。</w:t>
      </w:r>
    </w:p>
    <w:p>
      <w:pPr>
        <w:spacing w:line="400" w:lineRule="exact"/>
        <w:rPr>
          <w:rFonts w:cs="Arial"/>
          <w:highlight w:val="none"/>
          <w:u w:val="single"/>
        </w:rPr>
      </w:pPr>
      <w:r>
        <w:rPr>
          <w:rFonts w:hint="eastAsia" w:cs="Arial"/>
          <w:highlight w:val="none"/>
        </w:rPr>
        <w:t xml:space="preserve">    (</w:t>
      </w:r>
      <w:r>
        <w:rPr>
          <w:rFonts w:hint="eastAsia" w:cs="Arial"/>
          <w:highlight w:val="none"/>
          <w:u w:val="single"/>
        </w:rPr>
        <w:t>j)为上述各分包人提供正常的临时照明和施工及调试、试运行所必需的用电、保安、冬雨季及恶劣天气所需的特别设施。</w:t>
      </w:r>
    </w:p>
    <w:p>
      <w:pPr>
        <w:spacing w:line="400" w:lineRule="exact"/>
        <w:ind w:left="342"/>
        <w:rPr>
          <w:rFonts w:cs="Arial"/>
          <w:highlight w:val="none"/>
          <w:u w:val="single"/>
        </w:rPr>
      </w:pPr>
      <w:r>
        <w:rPr>
          <w:rFonts w:hint="eastAsia" w:cs="Arial"/>
          <w:highlight w:val="none"/>
          <w:u w:val="single"/>
        </w:rPr>
        <w:t>(k)承包人负责施工现场及生活区环境与卫生的整洁，配备相应的卫生器具，及时清理现场与生活区垃圾（上述各分包人将其施工所产生的垃圾运至承包人指定地点）。</w:t>
      </w:r>
    </w:p>
    <w:p>
      <w:pPr>
        <w:spacing w:line="400" w:lineRule="exact"/>
        <w:ind w:left="342"/>
        <w:rPr>
          <w:rFonts w:cs="Arial"/>
          <w:highlight w:val="none"/>
          <w:u w:val="single"/>
        </w:rPr>
      </w:pPr>
      <w:r>
        <w:rPr>
          <w:rFonts w:hint="eastAsia" w:cs="Arial"/>
          <w:highlight w:val="none"/>
          <w:u w:val="single"/>
        </w:rPr>
        <w:t>(m)按分包人要求，提供将用做支撑的混凝土设备基础。</w:t>
      </w:r>
    </w:p>
    <w:p>
      <w:pPr>
        <w:spacing w:line="400" w:lineRule="exact"/>
        <w:ind w:left="342"/>
        <w:rPr>
          <w:rFonts w:cs="Arial"/>
          <w:highlight w:val="none"/>
          <w:u w:val="single"/>
        </w:rPr>
      </w:pPr>
      <w:r>
        <w:rPr>
          <w:rFonts w:hint="eastAsia" w:cs="Arial"/>
          <w:highlight w:val="none"/>
          <w:u w:val="single"/>
        </w:rPr>
        <w:t>(n)竣工资料（含竣工图）汇总。</w:t>
      </w:r>
    </w:p>
    <w:p>
      <w:pPr>
        <w:spacing w:line="400" w:lineRule="exact"/>
        <w:ind w:left="342"/>
        <w:rPr>
          <w:rFonts w:cs="Arial"/>
          <w:highlight w:val="none"/>
          <w:u w:val="single"/>
        </w:rPr>
      </w:pPr>
      <w:r>
        <w:rPr>
          <w:rFonts w:hint="eastAsia" w:cs="Arial"/>
          <w:highlight w:val="none"/>
          <w:u w:val="single"/>
        </w:rPr>
        <w:t>(o)对于由任何分包人已实施的所有工作或服务，承包人有权得到的付款应限于已经包含在合同价格中的总承包管理、协调、配合和服务以及本合同文件中规定的其他总承包责任和义务所需的费用。承包人不得再以任何手段、借口、理由或形式向任何分包人再行收取、索取或截留与暂估价的专业分包工程有关的、承包人履行本合同约定的总承包管理、协调、配合、服务责任、义务、损失等其他任何费用。</w:t>
      </w:r>
    </w:p>
    <w:p>
      <w:pPr>
        <w:spacing w:line="400" w:lineRule="exact"/>
        <w:ind w:left="342"/>
        <w:outlineLvl w:val="0"/>
        <w:rPr>
          <w:rFonts w:cs="Arial"/>
          <w:highlight w:val="none"/>
          <w:u w:val="single"/>
        </w:rPr>
      </w:pPr>
      <w:bookmarkStart w:id="1405" w:name="_Toc434331355"/>
      <w:bookmarkStart w:id="1406" w:name="_Toc14849"/>
      <w:bookmarkStart w:id="1407" w:name="_Toc45652614"/>
      <w:bookmarkStart w:id="1408" w:name="_Toc434230665"/>
      <w:r>
        <w:rPr>
          <w:rFonts w:hint="eastAsia" w:cs="Arial"/>
          <w:highlight w:val="none"/>
          <w:u w:val="single"/>
        </w:rPr>
        <w:t>17)</w:t>
      </w:r>
      <w:r>
        <w:rPr>
          <w:rFonts w:hint="eastAsia"/>
          <w:highlight w:val="none"/>
        </w:rPr>
        <w:t xml:space="preserve"> </w:t>
      </w:r>
      <w:r>
        <w:rPr>
          <w:rFonts w:hint="eastAsia" w:cs="Arial"/>
          <w:highlight w:val="none"/>
          <w:u w:val="single"/>
        </w:rPr>
        <w:t>承包人需要为独立供应商提供相应的管理、协调、配合、服务工作。具体要求如下：</w:t>
      </w:r>
      <w:bookmarkEnd w:id="1405"/>
      <w:bookmarkEnd w:id="1406"/>
      <w:bookmarkEnd w:id="1407"/>
      <w:bookmarkEnd w:id="1408"/>
    </w:p>
    <w:p>
      <w:pPr>
        <w:spacing w:line="400" w:lineRule="exact"/>
        <w:ind w:left="342"/>
        <w:rPr>
          <w:rFonts w:cs="Arial"/>
          <w:highlight w:val="none"/>
          <w:u w:val="single"/>
        </w:rPr>
      </w:pPr>
      <w:r>
        <w:rPr>
          <w:rFonts w:hint="eastAsia" w:cs="Arial"/>
          <w:highlight w:val="none"/>
          <w:u w:val="single"/>
        </w:rPr>
        <w:t>(a)将承包人负责修建、维修及保养的任何道路和通道，提供给独立供应商使用；</w:t>
      </w:r>
    </w:p>
    <w:p>
      <w:pPr>
        <w:spacing w:line="400" w:lineRule="exact"/>
        <w:ind w:left="342"/>
        <w:rPr>
          <w:rFonts w:cs="Arial"/>
          <w:highlight w:val="none"/>
          <w:u w:val="single"/>
        </w:rPr>
      </w:pPr>
      <w:r>
        <w:rPr>
          <w:rFonts w:hint="eastAsia" w:cs="Arial"/>
          <w:highlight w:val="none"/>
          <w:u w:val="single"/>
        </w:rPr>
        <w:t>(b)允许独立供应商使用承包人提供的临时工程和承包人在现场的垂直运输机械和设备（如果有）；</w:t>
      </w:r>
    </w:p>
    <w:p>
      <w:pPr>
        <w:spacing w:line="400" w:lineRule="exact"/>
        <w:ind w:left="342"/>
        <w:rPr>
          <w:rFonts w:cs="Arial"/>
          <w:highlight w:val="none"/>
          <w:u w:val="single"/>
        </w:rPr>
      </w:pPr>
      <w:r>
        <w:rPr>
          <w:rFonts w:hint="eastAsia" w:cs="Arial"/>
          <w:highlight w:val="none"/>
          <w:u w:val="single"/>
        </w:rPr>
        <w:t>(c)为独立供应商提供专项供应材料和工程设备存放场地；并在材料设备进场后负责相应的保管和保护。</w:t>
      </w:r>
    </w:p>
    <w:p>
      <w:pPr>
        <w:spacing w:line="400" w:lineRule="exact"/>
        <w:ind w:left="342"/>
        <w:outlineLvl w:val="0"/>
        <w:rPr>
          <w:rFonts w:cs="Arial"/>
          <w:highlight w:val="none"/>
          <w:u w:val="single"/>
        </w:rPr>
      </w:pPr>
      <w:bookmarkStart w:id="1409" w:name="_Toc434230666"/>
      <w:bookmarkStart w:id="1410" w:name="_Toc14773"/>
      <w:bookmarkStart w:id="1411" w:name="_Toc45652615"/>
      <w:bookmarkStart w:id="1412" w:name="_Toc434331356"/>
      <w:r>
        <w:rPr>
          <w:rFonts w:hint="eastAsia" w:cs="Arial"/>
          <w:highlight w:val="none"/>
          <w:u w:val="single"/>
        </w:rPr>
        <w:t>1)</w:t>
      </w:r>
      <w:r>
        <w:rPr>
          <w:rFonts w:hint="eastAsia"/>
          <w:highlight w:val="none"/>
        </w:rPr>
        <w:t xml:space="preserve"> </w:t>
      </w:r>
      <w:r>
        <w:rPr>
          <w:rFonts w:hint="eastAsia" w:cs="Arial"/>
          <w:highlight w:val="none"/>
          <w:u w:val="single"/>
        </w:rPr>
        <w:t>承包人需要为独立供应商提供相应的管理、协调、配合、服务工作，具体要求如下：</w:t>
      </w:r>
      <w:bookmarkEnd w:id="1409"/>
      <w:bookmarkEnd w:id="1410"/>
      <w:bookmarkEnd w:id="1411"/>
      <w:bookmarkEnd w:id="1412"/>
    </w:p>
    <w:p>
      <w:pPr>
        <w:spacing w:line="400" w:lineRule="exact"/>
        <w:ind w:left="342"/>
        <w:rPr>
          <w:rFonts w:cs="Arial"/>
          <w:highlight w:val="none"/>
          <w:u w:val="single"/>
        </w:rPr>
      </w:pPr>
      <w:r>
        <w:rPr>
          <w:rFonts w:hint="eastAsia" w:cs="Arial"/>
          <w:highlight w:val="none"/>
          <w:u w:val="single"/>
        </w:rPr>
        <w:t>(a)根据招标文件专用条款规定，将独立供应商纳入承包人的管理范围，并对施工现场进行统一管理，且承包人应与独立供应商签订进场管理协议。</w:t>
      </w:r>
    </w:p>
    <w:p>
      <w:pPr>
        <w:spacing w:line="400" w:lineRule="exact"/>
        <w:ind w:left="342"/>
        <w:rPr>
          <w:rFonts w:cs="Arial"/>
          <w:highlight w:val="none"/>
          <w:u w:val="single"/>
        </w:rPr>
      </w:pPr>
      <w:r>
        <w:rPr>
          <w:rFonts w:hint="eastAsia" w:cs="Arial"/>
          <w:highlight w:val="none"/>
          <w:u w:val="single"/>
        </w:rPr>
        <w:t>(b)承包人对独立供应商的质量、进度、安全、资料进行管理，以满足整体工程竣工及交付使用。</w:t>
      </w:r>
    </w:p>
    <w:p>
      <w:pPr>
        <w:pStyle w:val="18"/>
        <w:rPr>
          <w:rFonts w:ascii="宋体" w:hAnsi="宋体" w:cs="Arial"/>
          <w:highlight w:val="none"/>
          <w:u w:val="single"/>
        </w:rPr>
      </w:pPr>
      <w:r>
        <w:rPr>
          <w:rFonts w:hint="eastAsia" w:ascii="宋体" w:hAnsi="宋体" w:cs="Arial"/>
          <w:highlight w:val="none"/>
        </w:rPr>
        <w:t xml:space="preserve">  </w:t>
      </w:r>
      <w:r>
        <w:rPr>
          <w:rFonts w:hint="eastAsia" w:ascii="宋体" w:hAnsi="宋体" w:cs="Arial"/>
          <w:highlight w:val="none"/>
          <w:u w:val="single"/>
        </w:rPr>
        <w:t>(c)承包人应负责施工过程资料及竣工资料的汇总、整理，并</w:t>
      </w:r>
      <w:r>
        <w:rPr>
          <w:rFonts w:hint="eastAsia"/>
          <w:highlight w:val="none"/>
          <w:u w:val="single"/>
        </w:rPr>
        <w:t>应符合市城建档案馆备案要   求</w:t>
      </w:r>
      <w:r>
        <w:rPr>
          <w:rFonts w:hint="eastAsia" w:ascii="宋体" w:hAnsi="宋体" w:cs="Arial"/>
          <w:highlight w:val="none"/>
          <w:u w:val="single"/>
        </w:rPr>
        <w:t>。</w:t>
      </w:r>
    </w:p>
    <w:p>
      <w:pPr>
        <w:spacing w:line="400" w:lineRule="exact"/>
        <w:ind w:left="342"/>
        <w:rPr>
          <w:rFonts w:cs="Arial"/>
          <w:highlight w:val="none"/>
          <w:u w:val="single"/>
        </w:rPr>
      </w:pPr>
      <w:r>
        <w:rPr>
          <w:rFonts w:hint="eastAsia" w:cs="Arial"/>
          <w:highlight w:val="none"/>
          <w:u w:val="single"/>
        </w:rPr>
        <w:t>(d)将承包人负责修建、维修及保养的任何道路或通道，提供给独立供应商使用。</w:t>
      </w:r>
    </w:p>
    <w:p>
      <w:pPr>
        <w:spacing w:line="400" w:lineRule="exact"/>
        <w:ind w:left="342"/>
        <w:rPr>
          <w:rFonts w:cs="Arial"/>
          <w:highlight w:val="none"/>
          <w:u w:val="single"/>
        </w:rPr>
      </w:pPr>
      <w:r>
        <w:rPr>
          <w:rFonts w:hint="eastAsia" w:cs="Arial"/>
          <w:highlight w:val="none"/>
          <w:u w:val="single"/>
        </w:rPr>
        <w:t>(e)为独立供应商提供独立供应材料和工程设备存放场地；并在材料设备进场后负责相应的保管和保护。</w:t>
      </w:r>
    </w:p>
    <w:p>
      <w:pPr>
        <w:spacing w:line="400" w:lineRule="exact"/>
        <w:ind w:left="342"/>
        <w:rPr>
          <w:rFonts w:cs="Arial"/>
          <w:highlight w:val="none"/>
          <w:u w:val="single"/>
        </w:rPr>
      </w:pPr>
      <w:r>
        <w:rPr>
          <w:rFonts w:hint="eastAsia" w:cs="Arial"/>
          <w:highlight w:val="none"/>
          <w:u w:val="single"/>
        </w:rPr>
        <w:t>(f)承包人负责编制整体工程相关的材料、设备供应计划，包括但不限于承包人自行实施范围内及发包人发包的材料、设备。</w:t>
      </w:r>
    </w:p>
    <w:p>
      <w:pPr>
        <w:spacing w:line="400" w:lineRule="exact"/>
        <w:ind w:left="342"/>
        <w:rPr>
          <w:rFonts w:cs="Arial"/>
          <w:highlight w:val="none"/>
          <w:u w:val="single"/>
        </w:rPr>
      </w:pPr>
      <w:r>
        <w:rPr>
          <w:rFonts w:hint="eastAsia" w:cs="Arial"/>
          <w:highlight w:val="none"/>
          <w:u w:val="single"/>
        </w:rPr>
        <w:t>(g)承包人配合发包人进行进场验收工作（不含检测费用）及二次倒运 。</w:t>
      </w:r>
    </w:p>
    <w:p>
      <w:pPr>
        <w:spacing w:line="400" w:lineRule="exact"/>
        <w:ind w:left="342"/>
        <w:rPr>
          <w:rFonts w:cs="Arial"/>
          <w:highlight w:val="none"/>
          <w:u w:val="single"/>
        </w:rPr>
      </w:pPr>
      <w:r>
        <w:rPr>
          <w:rFonts w:hint="eastAsia" w:cs="Arial"/>
          <w:highlight w:val="none"/>
          <w:u w:val="single"/>
        </w:rPr>
        <w:t>由于承包人原因未按上述要求按时提供服务，对本工程的进度、质量、安全造成影响，承包人应承担相应责任，发包人不予支付总包服务费。</w:t>
      </w:r>
    </w:p>
    <w:p>
      <w:pPr>
        <w:spacing w:line="360" w:lineRule="auto"/>
        <w:ind w:firstLine="420" w:firstLineChars="200"/>
        <w:rPr>
          <w:highlight w:val="none"/>
          <w:u w:val="single"/>
        </w:rPr>
      </w:pPr>
      <w:r>
        <w:rPr>
          <w:highlight w:val="none"/>
          <w:u w:val="single"/>
        </w:rPr>
        <w:t>A.</w:t>
      </w:r>
      <w:r>
        <w:rPr>
          <w:rFonts w:hint="eastAsia"/>
          <w:highlight w:val="none"/>
          <w:u w:val="single"/>
        </w:rPr>
        <w:t>承包人必须按合同规定，精心组织施工，按时完成全部工程和对工程的维护、保修工作。为此，承包人应提供全部管理、劳务、材料、工程设备、施工设备和其他物品，保质、保量、保安全地做好工作，并按发包人和监理工程师提出的要求，建立全面和完善的履约自保体系。承包人对所有现场作业和施工方法的适应、稳定和安全承担全部责任，不得擅自降低设计和工程质量标准。如果承包人在核查合同文件或在本工程实施过程中，发现有关工程设计、规范、图纸或其它资料存在任何差错、遗漏或缺陷，承包人有完善相应图纸和变更的责任，应立即以书面形式报监理工程师。承包人在工程实施的各有关环节中必须遵守监理程序，按规定步骤提请监理工程师验收签认，并对监理工程师按合同规定进行的工作提供协助和创造所需条件。承包人对现场（包括施工人员及第三人员）及未交工前的工程（包括材料、设施、设备）的安全及管理负全部责任。与相关部门的配合，所发生的费用由承包人承担，发包人负责协调。</w:t>
      </w:r>
    </w:p>
    <w:p>
      <w:pPr>
        <w:spacing w:line="360" w:lineRule="auto"/>
        <w:ind w:firstLine="420" w:firstLineChars="200"/>
        <w:rPr>
          <w:highlight w:val="none"/>
          <w:u w:val="single"/>
        </w:rPr>
      </w:pPr>
      <w:r>
        <w:rPr>
          <w:highlight w:val="none"/>
          <w:u w:val="single"/>
        </w:rPr>
        <w:t>B.</w:t>
      </w:r>
      <w:r>
        <w:rPr>
          <w:rFonts w:hint="eastAsia"/>
          <w:highlight w:val="none"/>
          <w:u w:val="single"/>
        </w:rPr>
        <w:t>准备工作：在接到中标通知书后，中标的承包人应立即组织实施工程开工的各项准备工作。准备工作的主要内容包括：驻地建设、临时水源、临时电源、临时用地、交通便道、交通导行、人员组织及进场计划、机械设备组织及进场计划、用于永久性工程材料准备及进场计划、图纸会审及设计交底、用于交桩及基准点复核、原地貌测量（包括地上、地下物探测、土源调查、垃圾及房渣土调查等）、工地实验室建设等，上述工作应作为总体工程开工申请报告的一部分提交监理工程师审批。如不申报或工作未达到标准，监理工程师将不批准开工。承包人在准备工作中如发现与合同文件规定不相符的情况。要及时依据合同文件的规定请有关部门澄清或解决。否则，不得据此提出任何相关索赔。</w:t>
      </w:r>
    </w:p>
    <w:p>
      <w:pPr>
        <w:spacing w:line="360" w:lineRule="auto"/>
        <w:ind w:firstLine="420" w:firstLineChars="200"/>
        <w:rPr>
          <w:highlight w:val="none"/>
          <w:u w:val="single"/>
        </w:rPr>
      </w:pPr>
      <w:r>
        <w:rPr>
          <w:highlight w:val="none"/>
          <w:u w:val="single"/>
        </w:rPr>
        <w:t>C.</w:t>
      </w:r>
      <w:r>
        <w:rPr>
          <w:rFonts w:hint="eastAsia"/>
          <w:highlight w:val="none"/>
          <w:u w:val="single"/>
        </w:rPr>
        <w:t>履约自保体系：在合同工程开工到缺陷责任期终止的期限内，为保证全面，妥善履行合同义务，承包人必须建立行之有效的履约自保体系。其对人员的具体要求是，授权一名常驻现场代表（项目经理）对本工程进行全面监督和管理；派遣一名项目总工程师全面负责与监理工程师的对口工作；项目总工程师以下要配备专职技术负责人、质控负责人、试验检测负责人和计量支付负责人。上述人员应被认为是保证承包人全面履约的必备管理人员，均需具有一定执（职）业资格并经监理工程师及发包人批准。未经监理工程师和发包人的批准，不得随意撤换。否则，监理工程师和发包人有权依据合同文件的规定给予合约处罚。除此以外，承包人应向现场派遣或雇用为实施、完成、维护及保修本工程所需要的下述人员：</w:t>
      </w:r>
      <w:r>
        <w:rPr>
          <w:highlight w:val="none"/>
          <w:u w:val="single"/>
        </w:rPr>
        <w:t>a</w:t>
      </w:r>
      <w:r>
        <w:rPr>
          <w:rFonts w:hint="eastAsia"/>
          <w:highlight w:val="none"/>
          <w:u w:val="single"/>
        </w:rPr>
        <w:t>．在本行业中具有执（职）业资格、技术熟练、经验丰富的各类专业技术人员；</w:t>
      </w:r>
      <w:r>
        <w:rPr>
          <w:highlight w:val="none"/>
          <w:u w:val="single"/>
        </w:rPr>
        <w:t>b</w:t>
      </w:r>
      <w:r>
        <w:rPr>
          <w:rFonts w:hint="eastAsia"/>
          <w:highlight w:val="none"/>
          <w:u w:val="single"/>
        </w:rPr>
        <w:t>．有执（职）业资格、有能力进行施工管理、指导作业的工长；</w:t>
      </w:r>
      <w:r>
        <w:rPr>
          <w:highlight w:val="none"/>
          <w:u w:val="single"/>
        </w:rPr>
        <w:t>c</w:t>
      </w:r>
      <w:r>
        <w:rPr>
          <w:rFonts w:hint="eastAsia"/>
          <w:highlight w:val="none"/>
          <w:u w:val="single"/>
        </w:rPr>
        <w:t>．适应本工程需要的各类技术与非技术工人；</w:t>
      </w:r>
      <w:r>
        <w:rPr>
          <w:highlight w:val="none"/>
          <w:u w:val="single"/>
        </w:rPr>
        <w:t>d</w:t>
      </w:r>
      <w:r>
        <w:rPr>
          <w:rFonts w:hint="eastAsia"/>
          <w:highlight w:val="none"/>
          <w:u w:val="single"/>
        </w:rPr>
        <w:t>．在工程施工期间，为确保整个施工过程的安全，应指派专职人员负责管理现场的所有安全工作。上述人员及与实施永久性工程有关的任何人员，如监理工程师认为其不称职或不执行监理指令，监理工程师有权向承包人发出书面通知要求撤换，承包人应在监理工程师规定的期限内，安排由监理工程师批准的人员接替。</w:t>
      </w:r>
    </w:p>
    <w:p>
      <w:pPr>
        <w:spacing w:line="360" w:lineRule="auto"/>
        <w:ind w:firstLine="420" w:firstLineChars="200"/>
        <w:rPr>
          <w:highlight w:val="none"/>
          <w:u w:val="single"/>
        </w:rPr>
      </w:pPr>
      <w:r>
        <w:rPr>
          <w:highlight w:val="none"/>
          <w:u w:val="single"/>
        </w:rPr>
        <w:t>D</w:t>
      </w:r>
      <w:r>
        <w:rPr>
          <w:rFonts w:hint="eastAsia"/>
          <w:highlight w:val="none"/>
          <w:u w:val="single"/>
        </w:rPr>
        <w:t>．材料：一切用于本工程的材料必须符合合同规定的品种和规格，并经有资质的试验机构按政府有关部门及合同要求的试验项目和频率进行试验后，按监理工程师规定程序和内容，报送监理工程师签认批准。未经监理工程师批准的材料，不得用于本工程。承包人应始终保持所使用的材料与报送并获批准的试验样品一致。如发现有不一致时，监理工程师有权撤销对该材料的批准。承包人应按监理工程师的要求把这批材料撤离现场或采取补救措施。当监理工程师对材料进行检查或试验时，承包人应提供各种方便和协助（包括提供样品）。当承包人的试验项目和频率不能满足规范要求，且不接受监理工程师要求其增加试验的指令时，监理工程师有权自行或指示第三方完成这些试验，相应试验费由承包人承担。</w:t>
      </w:r>
    </w:p>
    <w:p>
      <w:pPr>
        <w:spacing w:line="360" w:lineRule="auto"/>
        <w:ind w:firstLine="420" w:firstLineChars="200"/>
        <w:rPr>
          <w:highlight w:val="none"/>
          <w:u w:val="single"/>
        </w:rPr>
      </w:pPr>
      <w:r>
        <w:rPr>
          <w:highlight w:val="none"/>
          <w:u w:val="single"/>
        </w:rPr>
        <w:t>E</w:t>
      </w:r>
      <w:r>
        <w:rPr>
          <w:rFonts w:hint="eastAsia"/>
          <w:highlight w:val="none"/>
          <w:u w:val="single"/>
        </w:rPr>
        <w:t>．机械设备：承包人在本工程中所使用的机械设备，其性能指标和数量应满足合同规定的各项要求，不能保证工程施工质量和存在不安全因素的机械设备，不允许在本工程现场使用。所有机械设备在进、退场时间和数量上均应满足监理工程师的要求。机械设备进入现场后，承包人应自行负责维修、保护并避免造成对他人的干扰和损害。</w:t>
      </w:r>
    </w:p>
    <w:p>
      <w:pPr>
        <w:spacing w:line="360" w:lineRule="auto"/>
        <w:ind w:firstLine="420" w:firstLineChars="200"/>
        <w:rPr>
          <w:highlight w:val="none"/>
          <w:u w:val="single"/>
        </w:rPr>
      </w:pPr>
      <w:r>
        <w:rPr>
          <w:highlight w:val="none"/>
          <w:u w:val="single"/>
        </w:rPr>
        <w:t>F</w:t>
      </w:r>
      <w:r>
        <w:rPr>
          <w:rFonts w:hint="eastAsia"/>
          <w:highlight w:val="none"/>
          <w:u w:val="single"/>
        </w:rPr>
        <w:t>．计划、进度：承包人在签订合同协议书后</w:t>
      </w:r>
      <w:r>
        <w:rPr>
          <w:highlight w:val="none"/>
          <w:u w:val="single"/>
        </w:rPr>
        <w:t>14</w:t>
      </w:r>
      <w:r>
        <w:rPr>
          <w:rFonts w:hint="eastAsia"/>
          <w:highlight w:val="none"/>
          <w:u w:val="single"/>
        </w:rPr>
        <w:t>天内，应向监理工程师提交二份其形式和内容均符合监理工程师要求的总体进度计划和施工方案，由监理工程师审核后转报发包人批准。总体进度计划应按网络计划和横道图计划两种形式编绘，并分别标注关键线路和每月预计完成的工作量。施工方案应着重说明保证工程质量达标的措施，主要工作拟采用的施工方法、工艺和程序。如果监理工程师认为承包人所报计划或方案不合要求，承包人应在接到退件后</w:t>
      </w:r>
      <w:r>
        <w:rPr>
          <w:highlight w:val="none"/>
          <w:u w:val="single"/>
        </w:rPr>
        <w:t>7</w:t>
      </w:r>
      <w:r>
        <w:rPr>
          <w:rFonts w:hint="eastAsia"/>
          <w:highlight w:val="none"/>
          <w:u w:val="single"/>
        </w:rPr>
        <w:t>天内，将经过完善、补充的计划或方案重新上报。经监理工程师同意，承包人可按监理工程师指定的其它时间和方法，提交上述资料。如果工程的实际进展不符合上述被批准的计划时，承包人应按监理工程师的要求对计划进行调整，并相应修改施工方案，使工程仍按期完成。承包人对计划的修改以及监理工程师对修改计划的批准，不解除承包人在合同中承担的任何责任和义务。承包人在工程施工中，不允许以任何理由拖延工期。当监理工程师在任何时候认为全部或部分工程的进度过慢，无法确保工程按规定的时间完成时，监理工程师有权向承包人发出要求加快进度的通知，承包人应立即采取必要步骤，加快工程进度，确保工程按期完成，承包人不得因此要求追加款项。</w:t>
      </w:r>
    </w:p>
    <w:p>
      <w:pPr>
        <w:spacing w:line="360" w:lineRule="auto"/>
        <w:ind w:firstLine="420" w:firstLineChars="200"/>
        <w:rPr>
          <w:highlight w:val="none"/>
          <w:u w:val="single"/>
        </w:rPr>
      </w:pPr>
      <w:r>
        <w:rPr>
          <w:highlight w:val="none"/>
          <w:u w:val="single"/>
        </w:rPr>
        <w:t>G.</w:t>
      </w:r>
      <w:r>
        <w:rPr>
          <w:rFonts w:hint="eastAsia"/>
          <w:highlight w:val="none"/>
          <w:u w:val="single"/>
        </w:rPr>
        <w:t>复测、定位：承包人应根据设计单位的现场交桩和书面资料，对主要原始基准点（包括导线点、水准点）进行认真复测。在交桩后</w:t>
      </w:r>
      <w:r>
        <w:rPr>
          <w:highlight w:val="none"/>
          <w:u w:val="single"/>
        </w:rPr>
        <w:t>7</w:t>
      </w:r>
      <w:r>
        <w:rPr>
          <w:rFonts w:hint="eastAsia"/>
          <w:highlight w:val="none"/>
          <w:u w:val="single"/>
        </w:rPr>
        <w:t>天内，将复测结果报监理工程师认定后，作为永久桩点妥为保护。复测中如果发现有超出容许范围的误差，承包人应再次按上程序复测上报，直至准确无误，监理工程师认定为止。承包人如在规定时间内未上报复测资料，或应妥为保护的桩点发生丢失、移动或在引测过程中出现差错而使工程受到损害，承包人均应按监理工程师同意的方法负责纠正此种误差，由此而引起的其它损失，亦由承包人自行负责。监理工程师对任何定位和基准点的复测，均不免除承包人的责任。</w:t>
      </w:r>
    </w:p>
    <w:p>
      <w:pPr>
        <w:spacing w:line="360" w:lineRule="auto"/>
        <w:ind w:firstLine="420" w:firstLineChars="200"/>
        <w:rPr>
          <w:highlight w:val="none"/>
          <w:u w:val="single"/>
        </w:rPr>
      </w:pPr>
      <w:r>
        <w:rPr>
          <w:highlight w:val="none"/>
          <w:u w:val="single"/>
        </w:rPr>
        <w:t>H</w:t>
      </w:r>
      <w:r>
        <w:rPr>
          <w:rFonts w:hint="eastAsia"/>
          <w:highlight w:val="none"/>
          <w:u w:val="single"/>
        </w:rPr>
        <w:t>．分项工程划分：承包人在签订合同协议书后</w:t>
      </w:r>
      <w:r>
        <w:rPr>
          <w:highlight w:val="none"/>
          <w:u w:val="single"/>
        </w:rPr>
        <w:t>28</w:t>
      </w:r>
      <w:r>
        <w:rPr>
          <w:rFonts w:hint="eastAsia"/>
          <w:highlight w:val="none"/>
          <w:u w:val="single"/>
        </w:rPr>
        <w:t>天内，应按合同规定适用的质量检验评定标准和监理工程师的要求，向监理工程师提交本合同段的分项工程划分，供监理工程师审批。否则，监理工程师有权不予批准总体工程开工和不受理承包人提交的支付申请。经监理工程师批准的分项工程清单，是分项工程完工验收、计量支付及签发分项完工证书的依据。</w:t>
      </w:r>
    </w:p>
    <w:p>
      <w:pPr>
        <w:spacing w:line="360" w:lineRule="auto"/>
        <w:ind w:firstLine="420" w:firstLineChars="200"/>
        <w:rPr>
          <w:highlight w:val="none"/>
          <w:u w:val="single"/>
        </w:rPr>
      </w:pPr>
      <w:r>
        <w:rPr>
          <w:highlight w:val="none"/>
          <w:u w:val="single"/>
        </w:rPr>
        <w:t>I</w:t>
      </w:r>
      <w:r>
        <w:rPr>
          <w:rFonts w:hint="eastAsia"/>
          <w:highlight w:val="none"/>
          <w:u w:val="single"/>
        </w:rPr>
        <w:t>．鉴于本工程的性质，有关地上杆线和地下管线（不限于此）的保护与加固固定费用，本合同段内的地上、地下施工障碍（房屋建筑、树木除外）在调查、探测、挖探、现场保护、加固（包括各种形式）、本合同段特有项目改移方案的制定、组织或实施加固或改移工程、保证各类设施和各方面的安全、配合及协调工作等方面负有全部责任。其所有费用均由承包人自行承担。由于道路高程不能满足原有管线、井位的埋深要求，而采取的保护措施费用。该费用已计入合同价并由承包人承担。</w:t>
      </w:r>
    </w:p>
    <w:p>
      <w:pPr>
        <w:spacing w:line="360" w:lineRule="auto"/>
        <w:ind w:firstLine="420" w:firstLineChars="200"/>
        <w:rPr>
          <w:highlight w:val="none"/>
          <w:u w:val="single"/>
        </w:rPr>
      </w:pPr>
      <w:r>
        <w:rPr>
          <w:highlight w:val="none"/>
          <w:u w:val="single"/>
        </w:rPr>
        <w:t>J.</w:t>
      </w:r>
      <w:r>
        <w:rPr>
          <w:rFonts w:hint="eastAsia"/>
          <w:highlight w:val="none"/>
          <w:u w:val="single"/>
        </w:rPr>
        <w:t>运输：承包人对所有为实施本工程的运输（不仅指现场）负有责任。</w:t>
      </w:r>
      <w:r>
        <w:rPr>
          <w:highlight w:val="none"/>
          <w:u w:val="single"/>
        </w:rPr>
        <w:t>a.</w:t>
      </w:r>
      <w:r>
        <w:rPr>
          <w:rFonts w:hint="eastAsia"/>
          <w:highlight w:val="none"/>
          <w:u w:val="single"/>
        </w:rPr>
        <w:t>负责运输使用的道路和桥梁的修建、加固、使用、修复、维护；</w:t>
      </w:r>
      <w:r>
        <w:rPr>
          <w:highlight w:val="none"/>
          <w:u w:val="single"/>
        </w:rPr>
        <w:t>b.</w:t>
      </w:r>
      <w:r>
        <w:rPr>
          <w:rFonts w:hint="eastAsia"/>
          <w:highlight w:val="none"/>
          <w:u w:val="single"/>
        </w:rPr>
        <w:t>清除运输障碍；</w:t>
      </w:r>
      <w:r>
        <w:rPr>
          <w:highlight w:val="none"/>
          <w:u w:val="single"/>
        </w:rPr>
        <w:t>c.</w:t>
      </w:r>
      <w:r>
        <w:rPr>
          <w:rFonts w:hint="eastAsia"/>
          <w:highlight w:val="none"/>
          <w:u w:val="single"/>
        </w:rPr>
        <w:t>运输车辆及运输过程应满足道路交通和环保部门的管理规定；</w:t>
      </w:r>
      <w:r>
        <w:rPr>
          <w:highlight w:val="none"/>
          <w:u w:val="single"/>
        </w:rPr>
        <w:t>d.</w:t>
      </w:r>
      <w:r>
        <w:rPr>
          <w:rFonts w:hint="eastAsia"/>
          <w:highlight w:val="none"/>
          <w:u w:val="single"/>
        </w:rPr>
        <w:t>办理大件物品运输及专用道路通行权的有关手续；</w:t>
      </w:r>
      <w:r>
        <w:rPr>
          <w:highlight w:val="none"/>
          <w:u w:val="single"/>
        </w:rPr>
        <w:t>e.</w:t>
      </w:r>
      <w:r>
        <w:rPr>
          <w:rFonts w:hint="eastAsia"/>
          <w:highlight w:val="none"/>
          <w:u w:val="single"/>
        </w:rPr>
        <w:t>上述有关的一切费用均由承包人承担。</w:t>
      </w:r>
      <w:r>
        <w:rPr>
          <w:highlight w:val="none"/>
          <w:u w:val="single"/>
        </w:rPr>
        <w:t xml:space="preserve"> </w:t>
      </w:r>
    </w:p>
    <w:p>
      <w:pPr>
        <w:spacing w:line="360" w:lineRule="auto"/>
        <w:ind w:firstLine="420" w:firstLineChars="200"/>
        <w:rPr>
          <w:highlight w:val="none"/>
          <w:u w:val="single"/>
        </w:rPr>
      </w:pPr>
      <w:r>
        <w:rPr>
          <w:highlight w:val="none"/>
          <w:u w:val="single"/>
        </w:rPr>
        <w:t>K.</w:t>
      </w:r>
      <w:r>
        <w:rPr>
          <w:rFonts w:hint="eastAsia"/>
          <w:highlight w:val="none"/>
          <w:u w:val="single"/>
        </w:rPr>
        <w:t>提供交通便利：在施工期间，当原有道路系统（不论车行、人行）已无法使用，而新的道路系统未形成之前，承包人应采取临时措施维持原有道路系统（包括车行和人行）的交通，如支搭便桥、修建临时导行道路等（不限于此），并设置必要的防护和照明设施及交通导行设施，需要时还应派人看守，以维护社会交通的便利，保障社会交通的安全。承包人不按上述要求采取措施而导致任何人员伤亡和财产损失，其一切后果由承包人承担。对执行上述措施不力的承包人，监理工程师有权发出指令，限期整改。本项目的费用由承包人已计入合同价。</w:t>
      </w:r>
    </w:p>
    <w:p>
      <w:pPr>
        <w:spacing w:line="360" w:lineRule="auto"/>
        <w:ind w:firstLine="420" w:firstLineChars="200"/>
        <w:rPr>
          <w:highlight w:val="none"/>
          <w:u w:val="single"/>
        </w:rPr>
      </w:pPr>
      <w:r>
        <w:rPr>
          <w:highlight w:val="none"/>
          <w:u w:val="single"/>
        </w:rPr>
        <w:t>L.</w:t>
      </w:r>
      <w:r>
        <w:rPr>
          <w:rFonts w:hint="eastAsia"/>
          <w:highlight w:val="none"/>
          <w:u w:val="single"/>
        </w:rPr>
        <w:t>工程的照管与维护：自开工之日起至签发工程交工证书之日止，承包人应全面负责对本合同范围内已完和未完工程和将用于本工程的材料、设备的照管与维护，对任何工程及其任何部分的损坏、损失均应承担责任，并随时修复，保护完好。在缺陷责任期内，经批准进行的工作项目均应继续负责维护和修复工作，直至这些工作项目被监理工程师认可为止。</w:t>
      </w:r>
    </w:p>
    <w:p>
      <w:pPr>
        <w:spacing w:line="360" w:lineRule="auto"/>
        <w:ind w:firstLine="420" w:firstLineChars="200"/>
        <w:rPr>
          <w:highlight w:val="none"/>
          <w:u w:val="single"/>
        </w:rPr>
      </w:pPr>
      <w:r>
        <w:rPr>
          <w:highlight w:val="none"/>
          <w:u w:val="single"/>
        </w:rPr>
        <w:t>M.</w:t>
      </w:r>
      <w:r>
        <w:rPr>
          <w:rFonts w:hint="eastAsia"/>
          <w:highlight w:val="none"/>
          <w:u w:val="single"/>
        </w:rPr>
        <w:t>现有设施保护：承包人应遵守政府法令和有关专业部门的规定，对本合同段内的各类现有设施，在合同期内采取一切可能的措施加以妥善保护，确保其安全不受损害。承包人要采取措施保护现场内外的环境、现有设施及公共利益，防止产生不必要或可避免的干扰和损害。承包人应采取各种适当的措施，防止其为实施本工程的任何运输损伤或毁坏所通行的任何公共道路和桥梁。承包人还应负责养护由其修建和使用的用于出入现场的临时道路和桥梁。凡实施和完成本合同工程及缺陷修复工作中的一切施工作业，均不得影响邻近建筑物、构造物的安全与正常使用，也不干扰沿线群众的通行方便。</w:t>
      </w:r>
    </w:p>
    <w:p>
      <w:pPr>
        <w:spacing w:line="360" w:lineRule="auto"/>
        <w:ind w:firstLine="420" w:firstLineChars="200"/>
        <w:rPr>
          <w:highlight w:val="none"/>
          <w:u w:val="single"/>
        </w:rPr>
      </w:pPr>
      <w:r>
        <w:rPr>
          <w:highlight w:val="none"/>
          <w:u w:val="single"/>
        </w:rPr>
        <w:t>N.</w:t>
      </w:r>
      <w:r>
        <w:rPr>
          <w:rFonts w:hint="eastAsia"/>
          <w:highlight w:val="none"/>
          <w:u w:val="single"/>
        </w:rPr>
        <w:t>现场保洁与清理：在工程施工期间，承包人应保持现场清洁，不得出现不必要的障碍。各类设备和材料应妥善存放，并随时将废料、垃圾及不再需要的临时设施清运出现场。在工程交工时，承包人应从现场清除或运出其设备、剩余材料、垃圾和各种临时工程并保证整个现场和工程整洁，达到交工验收的要求。当承包人未能按要求完成交工清理工作，发包人可指定他人完成此项工作，其费用从承包人的款项中扣除。</w:t>
      </w:r>
    </w:p>
    <w:p>
      <w:pPr>
        <w:spacing w:line="360" w:lineRule="auto"/>
        <w:ind w:firstLine="420" w:firstLineChars="200"/>
        <w:rPr>
          <w:highlight w:val="none"/>
          <w:u w:val="single"/>
        </w:rPr>
      </w:pPr>
      <w:r>
        <w:rPr>
          <w:highlight w:val="none"/>
          <w:u w:val="single"/>
        </w:rPr>
        <w:t>O.</w:t>
      </w:r>
      <w:r>
        <w:rPr>
          <w:rFonts w:hint="eastAsia"/>
          <w:highlight w:val="none"/>
          <w:u w:val="single"/>
        </w:rPr>
        <w:t>保护环境与文明施工</w:t>
      </w:r>
      <w:r>
        <w:rPr>
          <w:highlight w:val="none"/>
          <w:u w:val="single"/>
        </w:rPr>
        <w:t>a.</w:t>
      </w:r>
      <w:r>
        <w:rPr>
          <w:rFonts w:hint="eastAsia"/>
          <w:highlight w:val="none"/>
          <w:u w:val="single"/>
        </w:rPr>
        <w:t>承包人在执行本合同期内，必须严格执行相关的治理环境污染的有关规定，无论何种工作均应在卫生、绿化、噪声、粉尘污染、废弃物处理、材料运输，社会交通导流的围挡、维护、管理、保洁等方面（不限于此）满足各级政府主管部门的有关规定和标准，按规定交纳相关费用并承担上述所有费用。包括按有关规定应给予受工程干扰的沿线居民的补偿费用。</w:t>
      </w:r>
      <w:r>
        <w:rPr>
          <w:highlight w:val="none"/>
          <w:u w:val="single"/>
        </w:rPr>
        <w:t>b.</w:t>
      </w:r>
      <w:r>
        <w:rPr>
          <w:rFonts w:hint="eastAsia"/>
          <w:highlight w:val="none"/>
          <w:u w:val="single"/>
        </w:rPr>
        <w:t>承包人由于自身原因违反本条款有关规定，不按文明施工和环保的有关要求施工，由此引起的纠纷、后果及额外费用由承包人自行承担。发包人和监理工程师对承包人应承担的上述责任与义务进行检查评定，达不到规定要求的将按违约处理，除不能得到环境保护专项费用的全额支付外，还可能被扣以违约罚款。</w:t>
      </w:r>
      <w:r>
        <w:rPr>
          <w:highlight w:val="none"/>
          <w:u w:val="single"/>
        </w:rPr>
        <w:t>c.</w:t>
      </w:r>
      <w:r>
        <w:rPr>
          <w:rFonts w:hint="eastAsia"/>
          <w:highlight w:val="none"/>
          <w:u w:val="single"/>
        </w:rPr>
        <w:t>为贯彻市政府“控制扬尘污染”的要求，承包人应做到“控制扬尘污染”的要求至少应包括：施工现场周围设置硬质围挡；保证道路的清洁；垃圾渣土及时清运；施工土方覆盖；工地出口设置冲洗设施；运输车辆驶出施工现场清洗；水泥、石灰等可能产生扬尘的建材的库房存放和严密遮盖；工程实施中的合理分段，减少土方开挖面积和存留时间，严格围挡防止泥土流失等。上述保护环境和文明施工所采取的各种措施所涉及费用由承包人负担，投标时在相关项目报价中已充分考虑。确保获得绿色安全文明工地。</w:t>
      </w:r>
    </w:p>
    <w:p>
      <w:pPr>
        <w:spacing w:line="360" w:lineRule="auto"/>
        <w:ind w:firstLine="420" w:firstLineChars="200"/>
        <w:rPr>
          <w:highlight w:val="none"/>
          <w:u w:val="single"/>
        </w:rPr>
      </w:pPr>
      <w:r>
        <w:rPr>
          <w:highlight w:val="none"/>
          <w:u w:val="single"/>
        </w:rPr>
        <w:t>P.</w:t>
      </w:r>
      <w:r>
        <w:rPr>
          <w:rFonts w:hint="eastAsia"/>
          <w:highlight w:val="none"/>
          <w:u w:val="single"/>
        </w:rPr>
        <w:t>配合工作：根据工程需要，发包人在本合同范围内批准其他承包人进行工作时，承包人应提供方便，创造条件，积极配合，共同完成本工程的建设。发包人将协调承包人同其他承包人的关系，使承包人的工作不受损害。</w:t>
      </w:r>
    </w:p>
    <w:p>
      <w:pPr>
        <w:spacing w:line="360" w:lineRule="auto"/>
        <w:ind w:firstLine="420" w:firstLineChars="200"/>
        <w:rPr>
          <w:highlight w:val="none"/>
          <w:u w:val="single"/>
        </w:rPr>
      </w:pPr>
      <w:r>
        <w:rPr>
          <w:highlight w:val="none"/>
          <w:u w:val="single"/>
        </w:rPr>
        <w:t>Q.</w:t>
      </w:r>
      <w:r>
        <w:rPr>
          <w:rFonts w:hint="eastAsia"/>
          <w:highlight w:val="none"/>
          <w:u w:val="single"/>
        </w:rPr>
        <w:t>文物：在工程现场发现的所有有价值的物品和具有考古价值的遗迹或物品，均属于国家财产。承包人一旦发现这类物品应采取一切必要措施保护现场，防止其工人或其它任何人员移动或损坏该类物品，并立即将此发现报告监理工程师和发包人，以确保上述发现按国家有关规定得到及时处理。</w:t>
      </w:r>
    </w:p>
    <w:p>
      <w:pPr>
        <w:spacing w:line="360" w:lineRule="auto"/>
        <w:ind w:firstLine="420" w:firstLineChars="200"/>
        <w:rPr>
          <w:highlight w:val="none"/>
          <w:u w:val="single"/>
        </w:rPr>
      </w:pPr>
      <w:r>
        <w:rPr>
          <w:highlight w:val="none"/>
          <w:u w:val="single"/>
        </w:rPr>
        <w:t>R.</w:t>
      </w:r>
      <w:r>
        <w:rPr>
          <w:rFonts w:hint="eastAsia"/>
          <w:highlight w:val="none"/>
          <w:u w:val="single"/>
        </w:rPr>
        <w:t>日常统计：承包人应按监理工程师和发包人要求的形式和间隔时间，及时报送有关统计资料（包括工程进度、劳力、机械设备、材料、自保体系、试验检测、索赔、变更、天气情况的记录等）。当上述承包人的统计资料不全时，监理工程师有权视其情况在当月支付时，缓支一定比例申报费用直至不予支付。</w:t>
      </w:r>
    </w:p>
    <w:p>
      <w:pPr>
        <w:spacing w:line="360" w:lineRule="auto"/>
        <w:ind w:firstLine="420" w:firstLineChars="200"/>
        <w:rPr>
          <w:highlight w:val="none"/>
          <w:u w:val="single"/>
        </w:rPr>
      </w:pPr>
      <w:r>
        <w:rPr>
          <w:highlight w:val="none"/>
          <w:u w:val="single"/>
        </w:rPr>
        <w:t>S.</w:t>
      </w:r>
      <w:r>
        <w:rPr>
          <w:rFonts w:hint="eastAsia"/>
          <w:highlight w:val="none"/>
          <w:u w:val="single"/>
        </w:rPr>
        <w:t>竣工资料：提交符合要求的竣工资料是承包人全面完成合同的一项重要工作。承包人应按管理部门和发包人关于竣工资料的编制规定，完成竣工资料整编和存档工作。承包人应在签发交工证书之日后二个月内按发包人要求的形式和份数将一式四份竣工资料报监理工程师及发包人审核。</w:t>
      </w:r>
    </w:p>
    <w:p>
      <w:pPr>
        <w:spacing w:line="360" w:lineRule="auto"/>
        <w:ind w:firstLine="420" w:firstLineChars="200"/>
        <w:rPr>
          <w:highlight w:val="none"/>
          <w:u w:val="single"/>
        </w:rPr>
      </w:pPr>
      <w:r>
        <w:rPr>
          <w:highlight w:val="none"/>
          <w:u w:val="single"/>
        </w:rPr>
        <w:t xml:space="preserve">T. </w:t>
      </w:r>
      <w:r>
        <w:rPr>
          <w:rFonts w:hint="eastAsia"/>
          <w:highlight w:val="none"/>
          <w:u w:val="single"/>
        </w:rPr>
        <w:t>工地卫生标准：为进一步加大对工地和施工人员防控传染疾病的工作力度，提高工程项目管理水平，承包人须认真贯彻执行《中华人民共和国传染病防治法》、国家和湖北省防止传染性疾病有关的政策法规，切实加强对施工工地的管理，改善施工人员的生活和居住条件，搞好食堂卫生，防止食物中毒，确保预防疾病和保证正常生产。</w:t>
      </w:r>
    </w:p>
    <w:p>
      <w:pPr>
        <w:spacing w:line="360" w:lineRule="auto"/>
        <w:ind w:firstLine="420" w:firstLineChars="200"/>
        <w:rPr>
          <w:highlight w:val="none"/>
          <w:u w:val="single"/>
        </w:rPr>
      </w:pPr>
      <w:r>
        <w:rPr>
          <w:highlight w:val="none"/>
          <w:u w:val="single"/>
        </w:rPr>
        <w:t>U</w:t>
      </w:r>
      <w:r>
        <w:rPr>
          <w:rFonts w:hint="eastAsia"/>
          <w:highlight w:val="none"/>
          <w:u w:val="single"/>
        </w:rPr>
        <w:t>．对周边的财产保护：发包人协调处理施工场地周围地下管线和邻近建筑物、构筑物由发包人征得相关主管部门同意后，承包人负责实施，所需费用由发包人支付。但因承包人原因造成损坏的，则由承包人承担修复损坏所需的一切费用。如由此带来行政处罚或其他经济损失，承包人应当承担相应责任并赔偿发包人损失。</w:t>
      </w:r>
    </w:p>
    <w:p>
      <w:pPr>
        <w:spacing w:line="360" w:lineRule="auto"/>
        <w:ind w:firstLine="420" w:firstLineChars="200"/>
        <w:rPr>
          <w:highlight w:val="none"/>
          <w:u w:val="single"/>
        </w:rPr>
      </w:pPr>
      <w:r>
        <w:rPr>
          <w:highlight w:val="none"/>
          <w:u w:val="single"/>
        </w:rPr>
        <w:t>V</w:t>
      </w:r>
      <w:r>
        <w:rPr>
          <w:rFonts w:hint="eastAsia"/>
          <w:highlight w:val="none"/>
          <w:u w:val="single"/>
        </w:rPr>
        <w:t>．扰民与民扰：承包人应采取必要的措施，协助发包人解决与工程有关的任何扰民或民扰问题。承包人必须遵照国家或湖北省有关规定，避免或减少由于施工造成的噪音、震动、光线、空气污染等因素带来的扰民及民扰影响以及施工带来的对日常行人使用道路的干扰。承包人必须主动协调同周围居民及有关单位的关系，以免造成窝工、停工、延误工期的现象发生。</w:t>
      </w:r>
    </w:p>
    <w:p>
      <w:pPr>
        <w:spacing w:line="360" w:lineRule="auto"/>
        <w:rPr>
          <w:highlight w:val="none"/>
          <w:u w:val="single"/>
        </w:rPr>
      </w:pPr>
      <w:r>
        <w:rPr>
          <w:rFonts w:hint="eastAsia"/>
          <w:highlight w:val="none"/>
          <w:u w:val="single"/>
        </w:rPr>
        <w:t>如承包人在黄石市有关规定中所允许的施工时间以外进行施工，因此而发生噪音、空气污染等扰民事故索赔、额外费用、工期延误等，均由承包人自行承担。</w:t>
      </w:r>
    </w:p>
    <w:p>
      <w:pPr>
        <w:spacing w:line="360" w:lineRule="auto"/>
        <w:ind w:firstLine="420" w:firstLineChars="200"/>
        <w:rPr>
          <w:highlight w:val="none"/>
          <w:u w:val="single"/>
        </w:rPr>
      </w:pPr>
      <w:r>
        <w:rPr>
          <w:highlight w:val="none"/>
          <w:u w:val="single"/>
        </w:rPr>
        <w:t>W</w:t>
      </w:r>
      <w:r>
        <w:rPr>
          <w:rFonts w:hint="eastAsia"/>
          <w:highlight w:val="none"/>
          <w:u w:val="single"/>
        </w:rPr>
        <w:t>．成品保护：承包人应提供必要的人员、材料和设备用于整个工程的成品保护，包括对已完成的分包人和其他承包人（如果有）的工程或工作的保护，防止任何已完工作遭受任何损坏或破坏，并承担有关费用。任何未完成的分包人或其他承包人（如果有）的工程或工作的成品保护由相关工程或工作的分包人或其他承包人负责。</w:t>
      </w:r>
    </w:p>
    <w:p>
      <w:pPr>
        <w:spacing w:line="360" w:lineRule="auto"/>
        <w:ind w:firstLine="420" w:firstLineChars="200"/>
        <w:rPr>
          <w:highlight w:val="none"/>
          <w:u w:val="single"/>
        </w:rPr>
      </w:pPr>
      <w:r>
        <w:rPr>
          <w:highlight w:val="none"/>
          <w:u w:val="single"/>
        </w:rPr>
        <w:t>X</w:t>
      </w:r>
      <w:r>
        <w:rPr>
          <w:rFonts w:hint="eastAsia"/>
          <w:highlight w:val="none"/>
          <w:u w:val="single"/>
        </w:rPr>
        <w:t>．竣工清理；工程竣工后，无论发包人是否已办妥政府有关部门所要求的一切必要的批准、备案手续以及是否已发布移交证书，承包人均应当安排专业队伍全面履行合同责任和义务。包括：</w:t>
      </w:r>
    </w:p>
    <w:p>
      <w:pPr>
        <w:spacing w:line="360" w:lineRule="auto"/>
        <w:rPr>
          <w:highlight w:val="none"/>
          <w:u w:val="single"/>
        </w:rPr>
      </w:pPr>
      <w:r>
        <w:rPr>
          <w:rFonts w:hint="eastAsia"/>
          <w:highlight w:val="none"/>
          <w:u w:val="single"/>
        </w:rPr>
        <w:t>清除现场剩余材料、杂物、渣土和垃圾；</w:t>
      </w:r>
    </w:p>
    <w:p>
      <w:pPr>
        <w:spacing w:line="360" w:lineRule="auto"/>
        <w:rPr>
          <w:highlight w:val="none"/>
          <w:u w:val="single"/>
        </w:rPr>
      </w:pPr>
      <w:r>
        <w:rPr>
          <w:rFonts w:hint="eastAsia"/>
          <w:highlight w:val="none"/>
          <w:u w:val="single"/>
        </w:rPr>
        <w:t>除非发包人和监理人批准保留，承包人应当拆除现场所有的临时建筑物（含基础）、构筑物（含基础）和临时设施（含基础），并恢复地面原状；</w:t>
      </w:r>
    </w:p>
    <w:p>
      <w:pPr>
        <w:spacing w:line="360" w:lineRule="auto"/>
        <w:rPr>
          <w:highlight w:val="none"/>
          <w:u w:val="single"/>
        </w:rPr>
      </w:pPr>
      <w:r>
        <w:rPr>
          <w:rFonts w:hint="eastAsia"/>
          <w:highlight w:val="none"/>
          <w:u w:val="single"/>
        </w:rPr>
        <w:t>修缮所有损失、清除所有污迹、替换所有需要更换的材料。</w:t>
      </w:r>
    </w:p>
    <w:p>
      <w:pPr>
        <w:spacing w:line="360" w:lineRule="auto"/>
        <w:ind w:firstLine="420" w:firstLineChars="200"/>
        <w:rPr>
          <w:highlight w:val="none"/>
          <w:u w:val="single"/>
        </w:rPr>
      </w:pPr>
      <w:r>
        <w:rPr>
          <w:highlight w:val="none"/>
          <w:u w:val="single"/>
        </w:rPr>
        <w:t>Y</w:t>
      </w:r>
      <w:r>
        <w:rPr>
          <w:rFonts w:hint="eastAsia"/>
          <w:highlight w:val="none"/>
          <w:u w:val="single"/>
        </w:rPr>
        <w:t>．工程移交：全部承包工程完成竣工验收备案，完成工程移交及技术档案移交，且协助发包人完成工程向各产权单位的移交工作，相关费用应包含在合同价格中。</w:t>
      </w:r>
    </w:p>
    <w:p>
      <w:pPr>
        <w:pStyle w:val="199"/>
        <w:outlineLvl w:val="0"/>
        <w:rPr>
          <w:rFonts w:ascii="黑体" w:hAnsi="宋体" w:cs="Arial"/>
          <w:highlight w:val="none"/>
        </w:rPr>
      </w:pPr>
      <w:bookmarkStart w:id="1413" w:name="_Toc342296435"/>
      <w:bookmarkStart w:id="1414" w:name="_Toc16797"/>
      <w:bookmarkStart w:id="1415" w:name="_Toc434331357"/>
      <w:bookmarkStart w:id="1416" w:name="_Toc241459676"/>
      <w:bookmarkStart w:id="1417" w:name="_Toc179632660"/>
      <w:bookmarkStart w:id="1418" w:name="_Toc152045642"/>
      <w:bookmarkStart w:id="1419" w:name="_Toc144974610"/>
      <w:bookmarkStart w:id="1420" w:name="_Toc152042420"/>
      <w:r>
        <w:rPr>
          <w:rFonts w:hint="eastAsia" w:ascii="黑体" w:hAnsi="宋体" w:cs="Arial"/>
          <w:highlight w:val="none"/>
        </w:rPr>
        <w:t>4.2 履约担保</w:t>
      </w:r>
      <w:bookmarkEnd w:id="1413"/>
      <w:bookmarkEnd w:id="1414"/>
      <w:bookmarkEnd w:id="1415"/>
      <w:bookmarkEnd w:id="1416"/>
      <w:r>
        <w:rPr>
          <w:rFonts w:hint="eastAsia" w:ascii="黑体" w:hAnsi="宋体" w:cs="Arial"/>
          <w:highlight w:val="none"/>
        </w:rPr>
        <w:t xml:space="preserve"> </w:t>
      </w:r>
    </w:p>
    <w:p>
      <w:pPr>
        <w:spacing w:line="400" w:lineRule="exact"/>
        <w:ind w:firstLine="420" w:firstLineChars="200"/>
        <w:rPr>
          <w:rFonts w:ascii="黑体" w:eastAsia="黑体"/>
          <w:szCs w:val="21"/>
          <w:highlight w:val="none"/>
        </w:rPr>
      </w:pPr>
      <w:r>
        <w:rPr>
          <w:rFonts w:hint="eastAsia" w:ascii="黑体" w:eastAsia="黑体"/>
          <w:szCs w:val="21"/>
          <w:highlight w:val="none"/>
        </w:rPr>
        <w:t>4.2.1 履约担保的格式和金额</w:t>
      </w:r>
    </w:p>
    <w:p>
      <w:pPr>
        <w:spacing w:line="400" w:lineRule="exact"/>
        <w:ind w:firstLine="420" w:firstLineChars="200"/>
        <w:rPr>
          <w:szCs w:val="21"/>
          <w:highlight w:val="none"/>
        </w:rPr>
      </w:pPr>
      <w:r>
        <w:rPr>
          <w:rFonts w:hint="eastAsia"/>
          <w:szCs w:val="21"/>
          <w:highlight w:val="none"/>
        </w:rPr>
        <w:t>承包人应在签订合同前，按照发包人在招标文件中规定的格式或者其他经过发包人认可的格式向发包人递交一份履约担保。</w:t>
      </w:r>
      <w:r>
        <w:rPr>
          <w:rFonts w:hint="eastAsia" w:cs="Arial"/>
          <w:szCs w:val="21"/>
          <w:highlight w:val="none"/>
        </w:rPr>
        <w:t>经过发包人事先书面认可的其他格式的履约担保，其担保条款的实质性内容应当与发包人在招标文件中规定的格式内容保持一致。</w:t>
      </w:r>
      <w:r>
        <w:rPr>
          <w:rFonts w:hint="eastAsia"/>
          <w:szCs w:val="21"/>
          <w:highlight w:val="none"/>
        </w:rPr>
        <w:t>履约担保的金额为</w:t>
      </w:r>
      <w:r>
        <w:rPr>
          <w:rFonts w:hint="eastAsia"/>
          <w:szCs w:val="21"/>
          <w:highlight w:val="none"/>
          <w:u w:val="single"/>
        </w:rPr>
        <w:t xml:space="preserve">  </w:t>
      </w:r>
      <w:r>
        <w:rPr>
          <w:rFonts w:hint="eastAsia"/>
          <w:highlight w:val="none"/>
          <w:u w:val="single"/>
        </w:rPr>
        <w:t>/</w:t>
      </w:r>
      <w:r>
        <w:rPr>
          <w:rFonts w:hint="eastAsia"/>
          <w:szCs w:val="21"/>
          <w:highlight w:val="none"/>
          <w:u w:val="single"/>
        </w:rPr>
        <w:t xml:space="preserve">  </w:t>
      </w:r>
      <w:r>
        <w:rPr>
          <w:rFonts w:hint="eastAsia"/>
          <w:szCs w:val="21"/>
          <w:highlight w:val="none"/>
        </w:rPr>
        <w:t>。履约担保是本合同的附件。</w:t>
      </w:r>
    </w:p>
    <w:p>
      <w:pPr>
        <w:spacing w:line="400" w:lineRule="exact"/>
        <w:ind w:firstLine="420" w:firstLineChars="200"/>
        <w:rPr>
          <w:rFonts w:ascii="黑体" w:eastAsia="黑体"/>
          <w:szCs w:val="21"/>
          <w:highlight w:val="none"/>
        </w:rPr>
      </w:pPr>
      <w:r>
        <w:rPr>
          <w:rFonts w:hint="eastAsia" w:ascii="黑体" w:eastAsia="黑体"/>
          <w:szCs w:val="21"/>
          <w:highlight w:val="none"/>
        </w:rPr>
        <w:t>4.2.2 履约担保的有效期</w:t>
      </w:r>
    </w:p>
    <w:p>
      <w:pPr>
        <w:spacing w:line="400" w:lineRule="exact"/>
        <w:ind w:firstLine="420" w:firstLineChars="200"/>
        <w:rPr>
          <w:szCs w:val="21"/>
          <w:highlight w:val="none"/>
        </w:rPr>
      </w:pPr>
      <w:r>
        <w:rPr>
          <w:rFonts w:hint="eastAsia" w:cs="Arial"/>
          <w:szCs w:val="21"/>
          <w:highlight w:val="none"/>
        </w:rPr>
        <w:t>履约担保的有效期应当自本合同生效之日起至发包人签认并由监理人向承包人出具工程接收证书之日止。</w:t>
      </w:r>
      <w:r>
        <w:rPr>
          <w:rFonts w:hint="eastAsia"/>
          <w:szCs w:val="21"/>
          <w:highlight w:val="none"/>
        </w:rPr>
        <w:t>如果承包人无法获得一份不带具体截止日期的担保，</w:t>
      </w:r>
      <w:r>
        <w:rPr>
          <w:rFonts w:hint="eastAsia" w:cs="Arial"/>
          <w:szCs w:val="21"/>
          <w:highlight w:val="none"/>
        </w:rPr>
        <w:t>履约担保中应当有</w:t>
      </w:r>
      <w:r>
        <w:rPr>
          <w:rFonts w:hint="eastAsia"/>
          <w:szCs w:val="21"/>
          <w:highlight w:val="none"/>
        </w:rPr>
        <w:t>“变更工程竣工日期的，保证期间按照变更后的竣工日期做相应调整”或类似约定的条款。</w:t>
      </w:r>
    </w:p>
    <w:p>
      <w:pPr>
        <w:spacing w:line="400" w:lineRule="exact"/>
        <w:ind w:firstLine="420" w:firstLineChars="200"/>
        <w:rPr>
          <w:rFonts w:ascii="黑体" w:eastAsia="黑体"/>
          <w:szCs w:val="21"/>
          <w:highlight w:val="none"/>
        </w:rPr>
      </w:pPr>
      <w:r>
        <w:rPr>
          <w:rFonts w:hint="eastAsia" w:ascii="黑体" w:eastAsia="黑体"/>
          <w:szCs w:val="21"/>
          <w:highlight w:val="none"/>
        </w:rPr>
        <w:t>4.2.3 履约担保的退还</w:t>
      </w:r>
    </w:p>
    <w:p>
      <w:pPr>
        <w:spacing w:line="400" w:lineRule="exact"/>
        <w:ind w:firstLine="420" w:firstLineChars="200"/>
        <w:rPr>
          <w:szCs w:val="21"/>
          <w:highlight w:val="none"/>
        </w:rPr>
      </w:pPr>
      <w:r>
        <w:rPr>
          <w:rFonts w:hint="eastAsia"/>
          <w:szCs w:val="21"/>
          <w:highlight w:val="none"/>
        </w:rPr>
        <w:t>履约担保应在监理人向承包人颁发（出具）工程接收证书之日后28天内退还给承包人。发包人不承担承包人与履约担保有关的任何利息或其它类似的费用或者收益。</w:t>
      </w:r>
    </w:p>
    <w:p>
      <w:pPr>
        <w:spacing w:line="400" w:lineRule="exact"/>
        <w:ind w:firstLine="420" w:firstLineChars="200"/>
        <w:rPr>
          <w:rFonts w:ascii="黑体" w:eastAsia="黑体"/>
          <w:szCs w:val="21"/>
          <w:highlight w:val="none"/>
        </w:rPr>
      </w:pPr>
      <w:r>
        <w:rPr>
          <w:rFonts w:hint="eastAsia" w:ascii="黑体" w:eastAsia="黑体"/>
          <w:szCs w:val="21"/>
          <w:highlight w:val="none"/>
        </w:rPr>
        <w:t>4.2.4 通知义务</w:t>
      </w:r>
    </w:p>
    <w:p>
      <w:pPr>
        <w:spacing w:line="400" w:lineRule="exact"/>
        <w:ind w:firstLine="420" w:firstLineChars="200"/>
        <w:rPr>
          <w:szCs w:val="21"/>
          <w:highlight w:val="none"/>
        </w:rPr>
      </w:pPr>
      <w:r>
        <w:rPr>
          <w:rFonts w:hint="eastAsia"/>
          <w:szCs w:val="21"/>
          <w:highlight w:val="none"/>
        </w:rPr>
        <w:t>不管履约担保条款中如何约定，发包人根据担保条款提出索赔或兑现要求28天前，应通知承包人并说明导致此类索赔或兑现的违约性质或原因。</w:t>
      </w:r>
    </w:p>
    <w:p>
      <w:pPr>
        <w:pStyle w:val="199"/>
        <w:outlineLvl w:val="0"/>
        <w:rPr>
          <w:rFonts w:ascii="黑体" w:hAnsi="宋体" w:cs="Arial"/>
          <w:highlight w:val="none"/>
        </w:rPr>
      </w:pPr>
      <w:bookmarkStart w:id="1421" w:name="_Toc25483"/>
      <w:bookmarkStart w:id="1422" w:name="_Toc241459677"/>
      <w:bookmarkStart w:id="1423" w:name="_Toc434331358"/>
      <w:bookmarkStart w:id="1424" w:name="_Toc342296436"/>
      <w:r>
        <w:rPr>
          <w:rFonts w:hint="eastAsia" w:ascii="黑体" w:hAnsi="宋体" w:cs="Arial"/>
          <w:highlight w:val="none"/>
        </w:rPr>
        <w:t>4.3 分包</w:t>
      </w:r>
      <w:bookmarkEnd w:id="1417"/>
      <w:bookmarkEnd w:id="1418"/>
      <w:bookmarkEnd w:id="1419"/>
      <w:bookmarkEnd w:id="1420"/>
      <w:bookmarkEnd w:id="1421"/>
      <w:bookmarkEnd w:id="1422"/>
      <w:bookmarkEnd w:id="1423"/>
      <w:bookmarkEnd w:id="1424"/>
      <w:r>
        <w:rPr>
          <w:rFonts w:hint="eastAsia" w:ascii="黑体" w:hAnsi="宋体" w:cs="Arial"/>
          <w:highlight w:val="none"/>
        </w:rPr>
        <w:t xml:space="preserve"> </w:t>
      </w:r>
    </w:p>
    <w:p>
      <w:pPr>
        <w:spacing w:line="400" w:lineRule="exact"/>
        <w:ind w:firstLine="420" w:firstLineChars="200"/>
        <w:rPr>
          <w:szCs w:val="21"/>
          <w:highlight w:val="none"/>
        </w:rPr>
      </w:pPr>
      <w:r>
        <w:rPr>
          <w:rFonts w:hint="eastAsia"/>
          <w:szCs w:val="21"/>
          <w:highlight w:val="none"/>
        </w:rPr>
        <w:t>4.3.2发包人同意承包人分包的非主体、非关键性工作见投标函附录。除通用合同条款第4.3款的约定外，分包还应遵循以下约定：</w:t>
      </w:r>
    </w:p>
    <w:p>
      <w:pPr>
        <w:spacing w:line="400" w:lineRule="exact"/>
        <w:ind w:firstLine="315" w:firstLineChars="150"/>
        <w:rPr>
          <w:szCs w:val="21"/>
          <w:highlight w:val="none"/>
        </w:rPr>
      </w:pPr>
      <w:r>
        <w:rPr>
          <w:rFonts w:hint="eastAsia"/>
          <w:szCs w:val="21"/>
          <w:highlight w:val="none"/>
        </w:rPr>
        <w:t>（1）除投标函附录中约定的分包内容外，经过发包人和监理人同意，承包人可以将其他非主体、非关键性工作分包给第三人，但分包人应当经过发包人和监理人审批。发包人和监理人有权拒绝承包人的分包请求和承包人选择的分包人。</w:t>
      </w:r>
    </w:p>
    <w:p>
      <w:pPr>
        <w:spacing w:line="400" w:lineRule="exact"/>
        <w:ind w:firstLine="315" w:firstLineChars="150"/>
        <w:rPr>
          <w:szCs w:val="21"/>
          <w:highlight w:val="none"/>
        </w:rPr>
      </w:pPr>
      <w:r>
        <w:rPr>
          <w:rFonts w:hint="eastAsia"/>
          <w:szCs w:val="21"/>
          <w:highlight w:val="none"/>
        </w:rPr>
        <w:t>（2）发包人在工程量清单中给定暂估价的专业工程，包括从暂列金额开支的专业工程，</w:t>
      </w:r>
      <w:r>
        <w:rPr>
          <w:rFonts w:hint="eastAsia" w:cs="Arial"/>
          <w:highlight w:val="none"/>
        </w:rPr>
        <w:t>达到依法应当招标的规模标准的，以及虽未达到规定的规模标准但合同中约定采用分包方式或者招标方式实施的，应当按专用合同条款第15.8.1项的约定，</w:t>
      </w:r>
      <w:r>
        <w:rPr>
          <w:rFonts w:hint="eastAsia"/>
          <w:szCs w:val="21"/>
          <w:highlight w:val="none"/>
        </w:rPr>
        <w:t>由发包人和承包人以招标方式确定专业分包人。</w:t>
      </w:r>
      <w:r>
        <w:rPr>
          <w:rFonts w:hint="eastAsia" w:cs="Arial"/>
          <w:highlight w:val="none"/>
        </w:rPr>
        <w:t>除项目审批部门有特别核准外，暂估价的专业工程的招标应当采用与施工总承包同样的招标方式。</w:t>
      </w:r>
    </w:p>
    <w:p>
      <w:pPr>
        <w:spacing w:line="400" w:lineRule="exact"/>
        <w:ind w:firstLine="315" w:firstLineChars="150"/>
        <w:rPr>
          <w:szCs w:val="21"/>
          <w:highlight w:val="none"/>
        </w:rPr>
      </w:pPr>
      <w:r>
        <w:rPr>
          <w:rFonts w:hint="eastAsia"/>
          <w:szCs w:val="21"/>
          <w:highlight w:val="none"/>
        </w:rPr>
        <w:t>（3）在相关分包合同签订并报送有关建设行政主管部门备案后7天内，承包人应当将一份副本提交给监理人，承包人应保障分包工作不得</w:t>
      </w:r>
      <w:r>
        <w:rPr>
          <w:szCs w:val="21"/>
          <w:highlight w:val="none"/>
        </w:rPr>
        <w:t>再次分包。</w:t>
      </w:r>
    </w:p>
    <w:p>
      <w:pPr>
        <w:spacing w:line="400" w:lineRule="exact"/>
        <w:ind w:firstLine="315" w:firstLineChars="150"/>
        <w:rPr>
          <w:rFonts w:cs="Arial"/>
          <w:szCs w:val="21"/>
          <w:highlight w:val="none"/>
        </w:rPr>
      </w:pPr>
      <w:r>
        <w:rPr>
          <w:rFonts w:hint="eastAsia"/>
          <w:szCs w:val="21"/>
          <w:highlight w:val="none"/>
        </w:rPr>
        <w:t>（4）分包工程价款由承包人与分包人（包括专业分包人）结算。未经承包人同意，发包人不得以任何形式向分包人（包括专业分包人）支付相关分包合同项下的任何工程款项。因发包人未经承包人同意直接向分包人（包括专业分包人）支付相关分包合同项下的任何工程款项而影响承包人工作的，所造成的承包人费用增加和（或）延误的工期由发包人承担。</w:t>
      </w:r>
    </w:p>
    <w:p>
      <w:pPr>
        <w:spacing w:line="400" w:lineRule="exact"/>
        <w:ind w:firstLine="315" w:firstLineChars="150"/>
        <w:rPr>
          <w:szCs w:val="21"/>
          <w:highlight w:val="none"/>
        </w:rPr>
      </w:pPr>
      <w:bookmarkStart w:id="1425" w:name="_Toc144974612"/>
      <w:bookmarkStart w:id="1426" w:name="_Toc152042422"/>
      <w:bookmarkStart w:id="1427" w:name="_Toc152045644"/>
      <w:bookmarkStart w:id="1428" w:name="_Toc179632662"/>
      <w:r>
        <w:rPr>
          <w:rFonts w:hint="eastAsia"/>
          <w:szCs w:val="21"/>
          <w:highlight w:val="none"/>
        </w:rPr>
        <w:t>（5）未经发包人和监理人审批同意的分包工程和分包人，发包人有权拒绝验收分包工程和支付相应款项，由此引起的承包人费用增加和（或）延误的工期由承包人承担。</w:t>
      </w:r>
    </w:p>
    <w:p>
      <w:pPr>
        <w:pStyle w:val="199"/>
        <w:outlineLvl w:val="0"/>
        <w:rPr>
          <w:rFonts w:ascii="黑体" w:hAnsi="宋体" w:cs="Arial"/>
          <w:highlight w:val="none"/>
        </w:rPr>
      </w:pPr>
      <w:bookmarkStart w:id="1429" w:name="_Toc342296437"/>
      <w:bookmarkStart w:id="1430" w:name="_Toc9411"/>
      <w:bookmarkStart w:id="1431" w:name="_Toc241459678"/>
      <w:bookmarkStart w:id="1432" w:name="_Toc434331359"/>
      <w:r>
        <w:rPr>
          <w:rFonts w:hint="eastAsia" w:ascii="黑体" w:hAnsi="宋体" w:cs="Arial"/>
          <w:highlight w:val="none"/>
        </w:rPr>
        <w:t>4.5 承包人项目经理</w:t>
      </w:r>
      <w:bookmarkEnd w:id="1425"/>
      <w:bookmarkEnd w:id="1426"/>
      <w:bookmarkEnd w:id="1427"/>
      <w:bookmarkEnd w:id="1428"/>
      <w:bookmarkEnd w:id="1429"/>
      <w:bookmarkEnd w:id="1430"/>
      <w:bookmarkEnd w:id="1431"/>
      <w:bookmarkEnd w:id="1432"/>
    </w:p>
    <w:p>
      <w:pPr>
        <w:spacing w:line="400" w:lineRule="exact"/>
        <w:ind w:firstLine="420" w:firstLineChars="200"/>
        <w:rPr>
          <w:rFonts w:cs="Arial"/>
          <w:highlight w:val="none"/>
        </w:rPr>
      </w:pPr>
      <w:r>
        <w:rPr>
          <w:szCs w:val="21"/>
          <w:highlight w:val="none"/>
        </w:rPr>
        <w:t>4.5.</w:t>
      </w:r>
      <w:r>
        <w:rPr>
          <w:rFonts w:hint="eastAsia"/>
          <w:szCs w:val="21"/>
          <w:highlight w:val="none"/>
        </w:rPr>
        <w:t>1承包人</w:t>
      </w:r>
      <w:r>
        <w:rPr>
          <w:szCs w:val="21"/>
          <w:highlight w:val="none"/>
        </w:rPr>
        <w:t>项目经理必须与承包人投标</w:t>
      </w:r>
      <w:r>
        <w:rPr>
          <w:rFonts w:hint="eastAsia"/>
          <w:szCs w:val="21"/>
          <w:highlight w:val="none"/>
        </w:rPr>
        <w:t>时</w:t>
      </w:r>
      <w:r>
        <w:rPr>
          <w:szCs w:val="21"/>
          <w:highlight w:val="none"/>
        </w:rPr>
        <w:t>所</w:t>
      </w:r>
      <w:r>
        <w:rPr>
          <w:rFonts w:hint="eastAsia"/>
          <w:szCs w:val="21"/>
          <w:highlight w:val="none"/>
        </w:rPr>
        <w:t>承诺的</w:t>
      </w:r>
      <w:r>
        <w:rPr>
          <w:szCs w:val="21"/>
          <w:highlight w:val="none"/>
        </w:rPr>
        <w:t>人员一致</w:t>
      </w:r>
      <w:r>
        <w:rPr>
          <w:rFonts w:hint="eastAsia"/>
          <w:szCs w:val="21"/>
          <w:highlight w:val="none"/>
        </w:rPr>
        <w:t>，并在根据通用合同条款第11.1.1项确定的开工日期前到任</w:t>
      </w:r>
      <w:r>
        <w:rPr>
          <w:szCs w:val="21"/>
          <w:highlight w:val="none"/>
        </w:rPr>
        <w:t>。</w:t>
      </w:r>
      <w:r>
        <w:rPr>
          <w:rFonts w:hint="eastAsia"/>
          <w:szCs w:val="21"/>
          <w:highlight w:val="none"/>
        </w:rPr>
        <w:t>在监理人向承包人颁发（出具）工程接收证书前，</w:t>
      </w:r>
      <w:r>
        <w:rPr>
          <w:szCs w:val="21"/>
          <w:highlight w:val="none"/>
        </w:rPr>
        <w:t>项目经理不得同时兼任</w:t>
      </w:r>
      <w:r>
        <w:rPr>
          <w:rFonts w:hint="eastAsia"/>
          <w:szCs w:val="21"/>
          <w:highlight w:val="none"/>
        </w:rPr>
        <w:t>其他任何</w:t>
      </w:r>
      <w:r>
        <w:rPr>
          <w:szCs w:val="21"/>
          <w:highlight w:val="none"/>
        </w:rPr>
        <w:t>项目的项目经理。</w:t>
      </w:r>
      <w:r>
        <w:rPr>
          <w:rFonts w:hint="eastAsia"/>
          <w:szCs w:val="21"/>
          <w:highlight w:val="none"/>
        </w:rPr>
        <w:t>未经发包人书面许可，承包人</w:t>
      </w:r>
      <w:r>
        <w:rPr>
          <w:szCs w:val="21"/>
          <w:highlight w:val="none"/>
        </w:rPr>
        <w:t>不得更换</w:t>
      </w:r>
      <w:r>
        <w:rPr>
          <w:rFonts w:hint="eastAsia"/>
          <w:szCs w:val="21"/>
          <w:highlight w:val="none"/>
        </w:rPr>
        <w:t>项目经理。承包人项目经理的姓名、职称、身份证号、执业资格证书号、注册证书号、执业印章号、安全生产考核合格证书号等细节资料应当在合同协议书中载明。</w:t>
      </w:r>
    </w:p>
    <w:p>
      <w:pPr>
        <w:pStyle w:val="199"/>
        <w:outlineLvl w:val="3"/>
        <w:rPr>
          <w:rFonts w:ascii="黑体" w:hAnsi="宋体" w:cs="Arial"/>
          <w:highlight w:val="none"/>
        </w:rPr>
      </w:pPr>
      <w:bookmarkStart w:id="1433" w:name="_Toc144974618"/>
      <w:bookmarkStart w:id="1434" w:name="_Toc12353"/>
      <w:bookmarkStart w:id="1435" w:name="_Toc434331360"/>
      <w:bookmarkStart w:id="1436" w:name="_Toc342296438"/>
      <w:bookmarkStart w:id="1437" w:name="_Toc179632668"/>
      <w:bookmarkStart w:id="1438" w:name="_Toc241459679"/>
      <w:bookmarkStart w:id="1439" w:name="_Toc152042428"/>
      <w:bookmarkStart w:id="1440" w:name="_Toc152045650"/>
      <w:r>
        <w:rPr>
          <w:rFonts w:hint="eastAsia" w:ascii="黑体" w:hAnsi="宋体" w:cs="Arial"/>
          <w:highlight w:val="none"/>
        </w:rPr>
        <w:t>4.11 不利物质条件</w:t>
      </w:r>
      <w:bookmarkEnd w:id="1433"/>
      <w:bookmarkEnd w:id="1434"/>
      <w:bookmarkEnd w:id="1435"/>
      <w:bookmarkEnd w:id="1436"/>
      <w:bookmarkEnd w:id="1437"/>
      <w:bookmarkEnd w:id="1438"/>
      <w:bookmarkEnd w:id="1439"/>
      <w:bookmarkEnd w:id="1440"/>
    </w:p>
    <w:p>
      <w:pPr>
        <w:spacing w:line="400" w:lineRule="exact"/>
        <w:ind w:firstLine="420" w:firstLineChars="200"/>
        <w:rPr>
          <w:szCs w:val="21"/>
          <w:highlight w:val="none"/>
          <w:u w:val="single"/>
        </w:rPr>
      </w:pPr>
      <w:bookmarkStart w:id="1441" w:name="_Toc152045651"/>
      <w:bookmarkStart w:id="1442" w:name="_Toc152042429"/>
      <w:bookmarkStart w:id="1443" w:name="_Toc179632669"/>
      <w:bookmarkStart w:id="1444" w:name="_Toc144974619"/>
      <w:r>
        <w:rPr>
          <w:rFonts w:hint="eastAsia"/>
          <w:szCs w:val="21"/>
          <w:highlight w:val="none"/>
        </w:rPr>
        <w:t>4.11.1不利物质条件的范围：</w:t>
      </w:r>
      <w:r>
        <w:rPr>
          <w:rFonts w:hint="eastAsia" w:cs="Arial"/>
          <w:highlight w:val="none"/>
          <w:u w:val="single"/>
        </w:rPr>
        <w:t>不利物质条件、地下已存在的但未探明的非自然物质障碍和污染物等，包括地下和水文条件，但不包括气候条件和不可抗力。</w:t>
      </w:r>
    </w:p>
    <w:p>
      <w:pPr>
        <w:pStyle w:val="282"/>
        <w:spacing w:before="0"/>
        <w:outlineLvl w:val="0"/>
        <w:rPr>
          <w:highlight w:val="none"/>
        </w:rPr>
      </w:pPr>
      <w:bookmarkStart w:id="1445" w:name="_Toc5060"/>
      <w:bookmarkStart w:id="1446" w:name="_Toc342296439"/>
      <w:bookmarkStart w:id="1447" w:name="_Toc241459680"/>
      <w:bookmarkStart w:id="1448" w:name="_Toc434331361"/>
      <w:r>
        <w:rPr>
          <w:rFonts w:hint="eastAsia"/>
          <w:highlight w:val="none"/>
        </w:rPr>
        <w:t>5. 材料和工程设备</w:t>
      </w:r>
      <w:bookmarkEnd w:id="1441"/>
      <w:bookmarkEnd w:id="1442"/>
      <w:bookmarkEnd w:id="1443"/>
      <w:bookmarkEnd w:id="1444"/>
      <w:bookmarkEnd w:id="1445"/>
      <w:bookmarkEnd w:id="1446"/>
      <w:bookmarkEnd w:id="1447"/>
      <w:bookmarkEnd w:id="1448"/>
    </w:p>
    <w:p>
      <w:pPr>
        <w:pStyle w:val="199"/>
        <w:outlineLvl w:val="0"/>
        <w:rPr>
          <w:rFonts w:ascii="黑体" w:hAnsi="宋体" w:cs="Arial"/>
          <w:highlight w:val="none"/>
        </w:rPr>
      </w:pPr>
      <w:bookmarkStart w:id="1449" w:name="_Toc241459681"/>
      <w:bookmarkStart w:id="1450" w:name="_Toc179632670"/>
      <w:bookmarkStart w:id="1451" w:name="_Toc152045652"/>
      <w:bookmarkStart w:id="1452" w:name="_Toc15602"/>
      <w:bookmarkStart w:id="1453" w:name="_Toc342296440"/>
      <w:bookmarkStart w:id="1454" w:name="_Toc434331362"/>
      <w:bookmarkStart w:id="1455" w:name="_Toc152042430"/>
      <w:bookmarkStart w:id="1456" w:name="_Toc144974620"/>
      <w:r>
        <w:rPr>
          <w:rFonts w:hint="eastAsia" w:ascii="黑体" w:hAnsi="宋体" w:cs="Arial"/>
          <w:highlight w:val="none"/>
        </w:rPr>
        <w:t>5.1 承包人提供的材料和工程设备</w:t>
      </w:r>
      <w:bookmarkEnd w:id="1449"/>
      <w:bookmarkEnd w:id="1450"/>
      <w:bookmarkEnd w:id="1451"/>
      <w:bookmarkEnd w:id="1452"/>
      <w:bookmarkEnd w:id="1453"/>
      <w:bookmarkEnd w:id="1454"/>
      <w:bookmarkEnd w:id="1455"/>
      <w:bookmarkEnd w:id="1456"/>
    </w:p>
    <w:p>
      <w:pPr>
        <w:spacing w:line="400" w:lineRule="exact"/>
        <w:ind w:firstLine="420" w:firstLineChars="200"/>
        <w:rPr>
          <w:szCs w:val="21"/>
          <w:highlight w:val="none"/>
        </w:rPr>
      </w:pPr>
      <w:r>
        <w:rPr>
          <w:rFonts w:hint="eastAsia"/>
          <w:szCs w:val="21"/>
          <w:highlight w:val="none"/>
        </w:rPr>
        <w:t>5.1.1除专用合同条款第5.2款约定由发包人提供的材料和工程设备外，由承包人提供的材料和工程设备均由承包人负责采购、运输和保管。但是，发包人在工程量清单中给定暂估价的材料和工程设备，包括从暂列金额开支的材料和工程设备，其中属于依法必须招标的范围并</w:t>
      </w:r>
      <w:r>
        <w:rPr>
          <w:rFonts w:hint="eastAsia" w:cs="Arial"/>
          <w:highlight w:val="none"/>
        </w:rPr>
        <w:t>达到规定的规模标准的，以及虽不属于依法必须招标的范围但合同中约定采用招标方式采购的，应当按专用合同条款第15.8.1项的约定，</w:t>
      </w:r>
      <w:r>
        <w:rPr>
          <w:rFonts w:hint="eastAsia"/>
          <w:szCs w:val="21"/>
          <w:highlight w:val="none"/>
        </w:rPr>
        <w:t>由发包人和承包人以招标方式确定专项供应商。承包人负责提供的主要材料和工程设备清单见合同附件二“承包人提供的材料和工程设备一览表”。</w:t>
      </w:r>
    </w:p>
    <w:p>
      <w:pPr>
        <w:spacing w:line="400" w:lineRule="exact"/>
        <w:ind w:firstLine="420" w:firstLineChars="200"/>
        <w:rPr>
          <w:rFonts w:cs="Arial"/>
          <w:highlight w:val="none"/>
        </w:rPr>
      </w:pPr>
      <w:r>
        <w:rPr>
          <w:rFonts w:hint="eastAsia"/>
          <w:szCs w:val="21"/>
          <w:highlight w:val="none"/>
        </w:rPr>
        <w:t>5.1.2 承包人将由其提供的材料和工程设备的供货人及品种、规格、数量和供货时间等报送监理人审批的期限：</w:t>
      </w:r>
      <w:r>
        <w:rPr>
          <w:rFonts w:hint="eastAsia"/>
          <w:szCs w:val="21"/>
          <w:highlight w:val="none"/>
          <w:u w:val="single"/>
        </w:rPr>
        <w:t xml:space="preserve"> 按照监理人的要求执行。对于</w:t>
      </w:r>
      <w:r>
        <w:rPr>
          <w:szCs w:val="21"/>
          <w:highlight w:val="none"/>
          <w:u w:val="single"/>
        </w:rPr>
        <w:t>发包人在工程量清单中给定暂估价的材料和工程设备采购计划单，</w:t>
      </w:r>
      <w:r>
        <w:rPr>
          <w:highlight w:val="none"/>
          <w:u w:val="single"/>
          <w:shd w:val="clear" w:color="auto" w:fill="FFFFFF"/>
        </w:rPr>
        <w:t>承包人必须充分考虑材料和工程设备加工周期的前提下，不包括加工周期至少提前</w:t>
      </w:r>
      <w:r>
        <w:rPr>
          <w:rFonts w:hint="eastAsia"/>
          <w:highlight w:val="none"/>
          <w:u w:val="single"/>
          <w:shd w:val="clear" w:color="auto" w:fill="FFFFFF"/>
        </w:rPr>
        <w:t>6</w:t>
      </w:r>
      <w:r>
        <w:rPr>
          <w:highlight w:val="none"/>
          <w:u w:val="single"/>
          <w:shd w:val="clear" w:color="auto" w:fill="FFFFFF"/>
        </w:rPr>
        <w:t>0天以书面形式报送给监理及发包人，按照</w:t>
      </w:r>
      <w:r>
        <w:rPr>
          <w:rFonts w:hint="eastAsia"/>
          <w:highlight w:val="none"/>
          <w:u w:val="single"/>
          <w:shd w:val="clear" w:color="auto" w:fill="FFFFFF"/>
        </w:rPr>
        <w:t>相关法律法规要求</w:t>
      </w:r>
      <w:r>
        <w:rPr>
          <w:highlight w:val="none"/>
          <w:u w:val="single"/>
          <w:shd w:val="clear" w:color="auto" w:fill="FFFFFF"/>
        </w:rPr>
        <w:t>安排招标采购。</w:t>
      </w:r>
      <w:r>
        <w:rPr>
          <w:highlight w:val="none"/>
        </w:rPr>
        <w:fldChar w:fldCharType="begin"/>
      </w:r>
      <w:r>
        <w:rPr>
          <w:highlight w:val="none"/>
        </w:rPr>
        <w:instrText xml:space="preserve"> HYPERLINK "http://baike.baidu.com/view/149377.htm" </w:instrText>
      </w:r>
      <w:r>
        <w:rPr>
          <w:highlight w:val="none"/>
        </w:rPr>
        <w:fldChar w:fldCharType="separate"/>
      </w:r>
      <w:r>
        <w:rPr>
          <w:highlight w:val="none"/>
          <w:u w:val="single"/>
          <w:shd w:val="clear" w:color="auto" w:fill="FFFFFF"/>
        </w:rPr>
        <w:t>计划</w:t>
      </w:r>
      <w:r>
        <w:rPr>
          <w:highlight w:val="none"/>
          <w:u w:val="single"/>
          <w:shd w:val="clear" w:color="auto" w:fill="FFFFFF"/>
        </w:rPr>
        <w:fldChar w:fldCharType="end"/>
      </w:r>
      <w:r>
        <w:rPr>
          <w:highlight w:val="none"/>
          <w:u w:val="single"/>
          <w:shd w:val="clear" w:color="auto" w:fill="FFFFFF"/>
        </w:rPr>
        <w:t>申请单一式陆份，应包括材料或工程设备的品种、名称、规格、型号、数量、质量等级、供货日期、供货地点、累计供应数。如果由于承包人申报计划不及时造成的延误供货，造成损失由承包人自负</w:t>
      </w:r>
      <w:r>
        <w:rPr>
          <w:rFonts w:hint="eastAsia"/>
          <w:szCs w:val="21"/>
          <w:highlight w:val="none"/>
        </w:rPr>
        <w:t xml:space="preserve">。 </w:t>
      </w:r>
    </w:p>
    <w:p>
      <w:pPr>
        <w:pStyle w:val="199"/>
        <w:outlineLvl w:val="0"/>
        <w:rPr>
          <w:rFonts w:ascii="黑体" w:hAnsi="宋体" w:cs="Arial"/>
          <w:highlight w:val="none"/>
        </w:rPr>
      </w:pPr>
      <w:bookmarkStart w:id="1457" w:name="_Toc179632671"/>
      <w:bookmarkStart w:id="1458" w:name="_Toc241459682"/>
      <w:bookmarkStart w:id="1459" w:name="_Toc152045653"/>
      <w:bookmarkStart w:id="1460" w:name="_Toc21812"/>
      <w:bookmarkStart w:id="1461" w:name="_Toc144974621"/>
      <w:bookmarkStart w:id="1462" w:name="_Toc434331363"/>
      <w:bookmarkStart w:id="1463" w:name="_Toc152042431"/>
      <w:bookmarkStart w:id="1464" w:name="_Toc342296441"/>
      <w:r>
        <w:rPr>
          <w:rFonts w:hint="eastAsia" w:ascii="黑体" w:hAnsi="宋体" w:cs="Arial"/>
          <w:highlight w:val="none"/>
        </w:rPr>
        <w:t>5.2 发包人提供的材料和工程设备</w:t>
      </w:r>
      <w:bookmarkEnd w:id="1457"/>
      <w:bookmarkEnd w:id="1458"/>
      <w:bookmarkEnd w:id="1459"/>
      <w:bookmarkEnd w:id="1460"/>
      <w:bookmarkEnd w:id="1461"/>
      <w:bookmarkEnd w:id="1462"/>
      <w:bookmarkEnd w:id="1463"/>
      <w:bookmarkEnd w:id="1464"/>
    </w:p>
    <w:p>
      <w:pPr>
        <w:spacing w:line="400" w:lineRule="exact"/>
        <w:ind w:firstLine="420" w:firstLineChars="200"/>
        <w:rPr>
          <w:szCs w:val="21"/>
          <w:highlight w:val="none"/>
        </w:rPr>
      </w:pPr>
      <w:r>
        <w:rPr>
          <w:rFonts w:hint="eastAsia"/>
          <w:szCs w:val="21"/>
          <w:highlight w:val="none"/>
        </w:rPr>
        <w:t>5.2.1发包人负责提供的材料和工程设备的名称、规格、数量、价格、交货方式、交货地点和计划交货日期等见合同附件三“发包人提供的材料和工程设备一览表”。</w:t>
      </w:r>
    </w:p>
    <w:p>
      <w:pPr>
        <w:spacing w:line="400" w:lineRule="exact"/>
        <w:ind w:firstLine="420" w:firstLineChars="200"/>
        <w:rPr>
          <w:szCs w:val="21"/>
          <w:highlight w:val="none"/>
        </w:rPr>
      </w:pPr>
      <w:r>
        <w:rPr>
          <w:rFonts w:hint="eastAsia"/>
          <w:szCs w:val="21"/>
          <w:highlight w:val="none"/>
        </w:rPr>
        <w:t xml:space="preserve">5.2.3由发包人提供的材料和工程设备验收后，由承包人负责接收、运输和保管。 </w:t>
      </w:r>
    </w:p>
    <w:p>
      <w:pPr>
        <w:pStyle w:val="282"/>
        <w:spacing w:before="0"/>
        <w:outlineLvl w:val="0"/>
        <w:rPr>
          <w:highlight w:val="none"/>
        </w:rPr>
      </w:pPr>
      <w:bookmarkStart w:id="1465" w:name="_Toc179632674"/>
      <w:bookmarkStart w:id="1466" w:name="_Toc25660"/>
      <w:bookmarkStart w:id="1467" w:name="_Toc144974624"/>
      <w:bookmarkStart w:id="1468" w:name="_Toc342296442"/>
      <w:bookmarkStart w:id="1469" w:name="_Toc152045656"/>
      <w:bookmarkStart w:id="1470" w:name="_Toc152042434"/>
      <w:bookmarkStart w:id="1471" w:name="_Toc241459683"/>
      <w:bookmarkStart w:id="1472" w:name="_Toc434331364"/>
      <w:r>
        <w:rPr>
          <w:rFonts w:hint="eastAsia"/>
          <w:highlight w:val="none"/>
        </w:rPr>
        <w:t>6. 施工设备和临时设施</w:t>
      </w:r>
      <w:bookmarkEnd w:id="1465"/>
      <w:bookmarkEnd w:id="1466"/>
      <w:bookmarkEnd w:id="1467"/>
      <w:bookmarkEnd w:id="1468"/>
      <w:bookmarkEnd w:id="1469"/>
      <w:bookmarkEnd w:id="1470"/>
      <w:bookmarkEnd w:id="1471"/>
      <w:bookmarkEnd w:id="1472"/>
    </w:p>
    <w:p>
      <w:pPr>
        <w:pStyle w:val="199"/>
        <w:outlineLvl w:val="0"/>
        <w:rPr>
          <w:rFonts w:ascii="黑体" w:hAnsi="宋体" w:cs="Arial"/>
          <w:highlight w:val="none"/>
        </w:rPr>
      </w:pPr>
      <w:bookmarkStart w:id="1473" w:name="_Toc13865"/>
      <w:bookmarkStart w:id="1474" w:name="_Toc152045657"/>
      <w:bookmarkStart w:id="1475" w:name="_Toc342296443"/>
      <w:bookmarkStart w:id="1476" w:name="_Toc144974625"/>
      <w:bookmarkStart w:id="1477" w:name="_Toc179632675"/>
      <w:bookmarkStart w:id="1478" w:name="_Toc152042435"/>
      <w:bookmarkStart w:id="1479" w:name="_Toc241459684"/>
      <w:bookmarkStart w:id="1480" w:name="_Toc434331365"/>
      <w:r>
        <w:rPr>
          <w:rFonts w:hint="eastAsia" w:ascii="黑体" w:hAnsi="宋体" w:cs="Arial"/>
          <w:highlight w:val="none"/>
        </w:rPr>
        <w:t>6.1 承包人提供的施工设备和临时设施</w:t>
      </w:r>
      <w:bookmarkEnd w:id="1473"/>
      <w:bookmarkEnd w:id="1474"/>
      <w:bookmarkEnd w:id="1475"/>
      <w:bookmarkEnd w:id="1476"/>
      <w:bookmarkEnd w:id="1477"/>
      <w:bookmarkEnd w:id="1478"/>
      <w:bookmarkEnd w:id="1479"/>
      <w:bookmarkEnd w:id="1480"/>
    </w:p>
    <w:p>
      <w:pPr>
        <w:spacing w:line="400" w:lineRule="exact"/>
        <w:ind w:firstLine="420" w:firstLineChars="200"/>
        <w:rPr>
          <w:szCs w:val="21"/>
          <w:highlight w:val="none"/>
        </w:rPr>
      </w:pPr>
      <w:r>
        <w:rPr>
          <w:rFonts w:hint="eastAsia"/>
          <w:szCs w:val="21"/>
          <w:highlight w:val="none"/>
        </w:rPr>
        <w:t>6.1.2发包人承担修建临时设施的费用的范围：</w:t>
      </w:r>
      <w:r>
        <w:rPr>
          <w:rFonts w:hint="eastAsia"/>
          <w:szCs w:val="21"/>
          <w:highlight w:val="none"/>
          <w:u w:val="single"/>
        </w:rPr>
        <w:t>无。</w:t>
      </w:r>
    </w:p>
    <w:p>
      <w:pPr>
        <w:spacing w:line="400" w:lineRule="exact"/>
        <w:ind w:firstLine="420" w:firstLineChars="200"/>
        <w:rPr>
          <w:highlight w:val="none"/>
        </w:rPr>
      </w:pPr>
      <w:r>
        <w:rPr>
          <w:rFonts w:hint="eastAsia"/>
          <w:highlight w:val="none"/>
        </w:rPr>
        <w:t>需要发包人办理申请手续和承担相关费用的临时占地：</w:t>
      </w:r>
      <w:r>
        <w:rPr>
          <w:rFonts w:hint="eastAsia"/>
          <w:highlight w:val="none"/>
          <w:u w:val="single"/>
        </w:rPr>
        <w:t xml:space="preserve">  </w:t>
      </w:r>
      <w:r>
        <w:rPr>
          <w:highlight w:val="none"/>
          <w:u w:val="single"/>
        </w:rPr>
        <w:t>无</w:t>
      </w:r>
      <w:r>
        <w:rPr>
          <w:rFonts w:hint="eastAsia"/>
          <w:szCs w:val="21"/>
          <w:highlight w:val="none"/>
          <w:u w:val="single"/>
        </w:rPr>
        <w:t xml:space="preserve"> </w:t>
      </w:r>
      <w:r>
        <w:rPr>
          <w:rFonts w:hint="eastAsia"/>
          <w:highlight w:val="none"/>
        </w:rPr>
        <w:t>。</w:t>
      </w:r>
    </w:p>
    <w:p>
      <w:pPr>
        <w:pStyle w:val="199"/>
        <w:outlineLvl w:val="0"/>
        <w:rPr>
          <w:rFonts w:ascii="黑体" w:hAnsi="宋体" w:cs="Arial"/>
          <w:highlight w:val="none"/>
        </w:rPr>
      </w:pPr>
      <w:bookmarkStart w:id="1481" w:name="_Toc434331366"/>
      <w:bookmarkStart w:id="1482" w:name="_Toc28678"/>
      <w:bookmarkStart w:id="1483" w:name="_Toc152045658"/>
      <w:bookmarkStart w:id="1484" w:name="_Toc342296444"/>
      <w:bookmarkStart w:id="1485" w:name="_Toc152042436"/>
      <w:bookmarkStart w:id="1486" w:name="_Toc179632676"/>
      <w:bookmarkStart w:id="1487" w:name="_Toc241459685"/>
      <w:bookmarkStart w:id="1488" w:name="_Toc144974626"/>
      <w:r>
        <w:rPr>
          <w:rFonts w:hint="eastAsia" w:ascii="黑体" w:hAnsi="宋体" w:cs="Arial"/>
          <w:highlight w:val="none"/>
        </w:rPr>
        <w:t>6.2 发包人提供的施工设备和临时设施</w:t>
      </w:r>
      <w:bookmarkEnd w:id="1481"/>
      <w:bookmarkEnd w:id="1482"/>
      <w:bookmarkEnd w:id="1483"/>
      <w:bookmarkEnd w:id="1484"/>
      <w:bookmarkEnd w:id="1485"/>
      <w:bookmarkEnd w:id="1486"/>
      <w:bookmarkEnd w:id="1487"/>
      <w:bookmarkEnd w:id="1488"/>
    </w:p>
    <w:p>
      <w:pPr>
        <w:spacing w:line="400" w:lineRule="exact"/>
        <w:ind w:firstLine="420" w:firstLineChars="200"/>
        <w:rPr>
          <w:szCs w:val="21"/>
          <w:highlight w:val="none"/>
        </w:rPr>
      </w:pPr>
      <w:r>
        <w:rPr>
          <w:rFonts w:hint="eastAsia"/>
          <w:szCs w:val="21"/>
          <w:highlight w:val="none"/>
        </w:rPr>
        <w:t>发包人提供的施工设备和临时设施：</w:t>
      </w:r>
      <w:r>
        <w:rPr>
          <w:rFonts w:hint="eastAsia"/>
          <w:szCs w:val="21"/>
          <w:highlight w:val="none"/>
          <w:u w:val="single"/>
        </w:rPr>
        <w:t xml:space="preserve">  </w:t>
      </w:r>
      <w:r>
        <w:rPr>
          <w:szCs w:val="21"/>
          <w:highlight w:val="none"/>
          <w:u w:val="single"/>
        </w:rPr>
        <w:t>现场</w:t>
      </w:r>
      <w:r>
        <w:rPr>
          <w:rFonts w:hint="eastAsia"/>
          <w:szCs w:val="21"/>
          <w:highlight w:val="none"/>
          <w:u w:val="single"/>
        </w:rPr>
        <w:t>部分临时道路、</w:t>
      </w:r>
      <w:r>
        <w:rPr>
          <w:szCs w:val="21"/>
          <w:highlight w:val="none"/>
          <w:u w:val="single"/>
        </w:rPr>
        <w:t>水源、电源接驳点均由承包人自行考虑并办理相关手续，发包人协助</w:t>
      </w:r>
      <w:r>
        <w:rPr>
          <w:rFonts w:hint="eastAsia"/>
          <w:szCs w:val="21"/>
          <w:highlight w:val="none"/>
          <w:u w:val="single"/>
        </w:rPr>
        <w:t xml:space="preserve"> </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发包人提供的施工设备和临时设施的运行、维护、拆除、清运费用的承担人</w:t>
      </w:r>
      <w:r>
        <w:rPr>
          <w:rFonts w:hint="eastAsia"/>
          <w:szCs w:val="21"/>
          <w:highlight w:val="none"/>
          <w:u w:val="single"/>
        </w:rPr>
        <w:t xml:space="preserve">: /   </w:t>
      </w:r>
    </w:p>
    <w:p>
      <w:pPr>
        <w:pStyle w:val="199"/>
        <w:outlineLvl w:val="0"/>
        <w:rPr>
          <w:rFonts w:ascii="黑体" w:hAnsi="宋体" w:cs="Arial"/>
          <w:highlight w:val="none"/>
        </w:rPr>
      </w:pPr>
      <w:bookmarkStart w:id="1489" w:name="_Toc144974628"/>
      <w:bookmarkStart w:id="1490" w:name="_Toc179632678"/>
      <w:bookmarkStart w:id="1491" w:name="_Toc28016"/>
      <w:bookmarkStart w:id="1492" w:name="_Toc342296445"/>
      <w:bookmarkStart w:id="1493" w:name="_Toc152042438"/>
      <w:bookmarkStart w:id="1494" w:name="_Toc152045660"/>
      <w:bookmarkStart w:id="1495" w:name="_Toc434331367"/>
      <w:bookmarkStart w:id="1496" w:name="_Toc241459686"/>
      <w:r>
        <w:rPr>
          <w:rFonts w:hint="eastAsia" w:ascii="黑体" w:hAnsi="宋体" w:cs="Arial"/>
          <w:highlight w:val="none"/>
        </w:rPr>
        <w:t>6.4 施工设备和临时设施专用于合同工程</w:t>
      </w:r>
      <w:bookmarkEnd w:id="1489"/>
      <w:bookmarkEnd w:id="1490"/>
      <w:bookmarkEnd w:id="1491"/>
      <w:bookmarkEnd w:id="1492"/>
      <w:bookmarkEnd w:id="1493"/>
      <w:bookmarkEnd w:id="1494"/>
      <w:bookmarkEnd w:id="1495"/>
      <w:bookmarkEnd w:id="1496"/>
    </w:p>
    <w:p>
      <w:pPr>
        <w:spacing w:line="400" w:lineRule="exact"/>
        <w:ind w:firstLine="420" w:firstLineChars="200"/>
        <w:rPr>
          <w:rFonts w:cs="Arial"/>
          <w:highlight w:val="none"/>
          <w:u w:val="single"/>
          <w:bdr w:val="single" w:color="auto" w:sz="4" w:space="0"/>
        </w:rPr>
      </w:pPr>
      <w:r>
        <w:rPr>
          <w:rFonts w:hint="eastAsia"/>
          <w:szCs w:val="21"/>
          <w:highlight w:val="none"/>
        </w:rPr>
        <w:t>6.4.1除为专用合同条款第4.1.8项约定的其他独立承包人和监理人指示的他人提供条件外,承包人运入施工场地的所有</w:t>
      </w:r>
      <w:r>
        <w:rPr>
          <w:szCs w:val="21"/>
          <w:highlight w:val="none"/>
        </w:rPr>
        <w:t>施工设备</w:t>
      </w:r>
      <w:r>
        <w:rPr>
          <w:rFonts w:hint="eastAsia"/>
          <w:szCs w:val="21"/>
          <w:highlight w:val="none"/>
        </w:rPr>
        <w:t>以及在施工场地建设的</w:t>
      </w:r>
      <w:r>
        <w:rPr>
          <w:szCs w:val="21"/>
          <w:highlight w:val="none"/>
        </w:rPr>
        <w:t>临时设施</w:t>
      </w:r>
      <w:r>
        <w:rPr>
          <w:rFonts w:hint="eastAsia"/>
          <w:szCs w:val="21"/>
          <w:highlight w:val="none"/>
        </w:rPr>
        <w:t>仅限于用于合同工程。</w:t>
      </w:r>
    </w:p>
    <w:p>
      <w:pPr>
        <w:pStyle w:val="282"/>
        <w:spacing w:before="0"/>
        <w:outlineLvl w:val="0"/>
        <w:rPr>
          <w:highlight w:val="none"/>
        </w:rPr>
      </w:pPr>
      <w:bookmarkStart w:id="1497" w:name="_Toc144974629"/>
      <w:bookmarkStart w:id="1498" w:name="_Toc434331368"/>
      <w:bookmarkStart w:id="1499" w:name="_Toc152045661"/>
      <w:bookmarkStart w:id="1500" w:name="_Toc342296446"/>
      <w:bookmarkStart w:id="1501" w:name="_Toc152042439"/>
      <w:bookmarkStart w:id="1502" w:name="_Toc1637"/>
      <w:bookmarkStart w:id="1503" w:name="_Toc241459687"/>
      <w:bookmarkStart w:id="1504" w:name="_Toc179632679"/>
      <w:r>
        <w:rPr>
          <w:rFonts w:hint="eastAsia"/>
          <w:highlight w:val="none"/>
        </w:rPr>
        <w:t>7. 交通运输</w:t>
      </w:r>
      <w:bookmarkEnd w:id="1497"/>
      <w:bookmarkEnd w:id="1498"/>
      <w:bookmarkEnd w:id="1499"/>
      <w:bookmarkEnd w:id="1500"/>
      <w:bookmarkEnd w:id="1501"/>
      <w:bookmarkEnd w:id="1502"/>
      <w:bookmarkEnd w:id="1503"/>
      <w:bookmarkEnd w:id="1504"/>
    </w:p>
    <w:p>
      <w:pPr>
        <w:pStyle w:val="199"/>
        <w:outlineLvl w:val="0"/>
        <w:rPr>
          <w:rFonts w:ascii="黑体" w:hAnsi="宋体" w:cs="Arial"/>
          <w:highlight w:val="none"/>
        </w:rPr>
      </w:pPr>
      <w:bookmarkStart w:id="1505" w:name="_Toc241459688"/>
      <w:bookmarkStart w:id="1506" w:name="_Toc152045662"/>
      <w:bookmarkStart w:id="1507" w:name="_Toc342296447"/>
      <w:bookmarkStart w:id="1508" w:name="_Toc179632680"/>
      <w:bookmarkStart w:id="1509" w:name="_Toc152042440"/>
      <w:bookmarkStart w:id="1510" w:name="_Toc434331369"/>
      <w:bookmarkStart w:id="1511" w:name="_Toc144974630"/>
      <w:bookmarkStart w:id="1512" w:name="_Toc4443"/>
      <w:r>
        <w:rPr>
          <w:rFonts w:hint="eastAsia" w:ascii="黑体" w:hAnsi="宋体" w:cs="Arial"/>
          <w:highlight w:val="none"/>
        </w:rPr>
        <w:t>7.1 道路通行权和场外设施</w:t>
      </w:r>
      <w:bookmarkEnd w:id="1505"/>
      <w:bookmarkEnd w:id="1506"/>
      <w:bookmarkEnd w:id="1507"/>
      <w:bookmarkEnd w:id="1508"/>
      <w:bookmarkEnd w:id="1509"/>
      <w:bookmarkEnd w:id="1510"/>
      <w:bookmarkEnd w:id="1511"/>
      <w:bookmarkEnd w:id="1512"/>
    </w:p>
    <w:p>
      <w:pPr>
        <w:spacing w:line="400" w:lineRule="exact"/>
        <w:ind w:firstLine="420" w:firstLineChars="200"/>
        <w:rPr>
          <w:szCs w:val="21"/>
          <w:highlight w:val="none"/>
          <w:u w:val="single"/>
        </w:rPr>
      </w:pPr>
      <w:r>
        <w:rPr>
          <w:rFonts w:hint="eastAsia"/>
          <w:szCs w:val="21"/>
          <w:highlight w:val="none"/>
        </w:rPr>
        <w:t>取得道路通行权、场外设施修建权的办理人:</w:t>
      </w:r>
      <w:r>
        <w:rPr>
          <w:rFonts w:hint="eastAsia"/>
          <w:szCs w:val="21"/>
          <w:highlight w:val="none"/>
          <w:u w:val="single"/>
        </w:rPr>
        <w:t xml:space="preserve">     承包人   </w:t>
      </w:r>
      <w:r>
        <w:rPr>
          <w:rFonts w:hint="eastAsia"/>
          <w:szCs w:val="21"/>
          <w:highlight w:val="none"/>
        </w:rPr>
        <w:t xml:space="preserve">，其相关费用由承包人承担。                       </w:t>
      </w:r>
    </w:p>
    <w:p>
      <w:pPr>
        <w:pStyle w:val="199"/>
        <w:outlineLvl w:val="0"/>
        <w:rPr>
          <w:rFonts w:ascii="黑体" w:hAnsi="宋体" w:cs="Arial"/>
          <w:highlight w:val="none"/>
        </w:rPr>
      </w:pPr>
      <w:bookmarkStart w:id="1513" w:name="_Toc179632681"/>
      <w:bookmarkStart w:id="1514" w:name="_Toc434331370"/>
      <w:bookmarkStart w:id="1515" w:name="_Toc241459689"/>
      <w:bookmarkStart w:id="1516" w:name="_Toc144974631"/>
      <w:bookmarkStart w:id="1517" w:name="_Toc152045663"/>
      <w:bookmarkStart w:id="1518" w:name="_Toc152042441"/>
      <w:bookmarkStart w:id="1519" w:name="_Toc4779"/>
      <w:bookmarkStart w:id="1520" w:name="_Toc342296448"/>
      <w:r>
        <w:rPr>
          <w:rFonts w:hint="eastAsia" w:ascii="黑体" w:hAnsi="宋体" w:cs="Arial"/>
          <w:highlight w:val="none"/>
        </w:rPr>
        <w:t>7.2 场内施工道路</w:t>
      </w:r>
      <w:bookmarkEnd w:id="1513"/>
      <w:bookmarkEnd w:id="1514"/>
      <w:bookmarkEnd w:id="1515"/>
      <w:bookmarkEnd w:id="1516"/>
      <w:bookmarkEnd w:id="1517"/>
      <w:bookmarkEnd w:id="1518"/>
      <w:bookmarkEnd w:id="1519"/>
      <w:bookmarkEnd w:id="1520"/>
    </w:p>
    <w:p>
      <w:pPr>
        <w:spacing w:line="400" w:lineRule="exact"/>
        <w:ind w:firstLine="420" w:firstLineChars="200"/>
        <w:rPr>
          <w:szCs w:val="21"/>
          <w:highlight w:val="none"/>
        </w:rPr>
      </w:pPr>
      <w:r>
        <w:rPr>
          <w:rFonts w:hint="eastAsia"/>
          <w:szCs w:val="21"/>
          <w:highlight w:val="none"/>
        </w:rPr>
        <w:t>7.2.1施工所需的场内临时道路和交通设施的修建、维护、养护和管理人：</w:t>
      </w:r>
      <w:r>
        <w:rPr>
          <w:rFonts w:hint="eastAsia"/>
          <w:szCs w:val="21"/>
          <w:highlight w:val="none"/>
          <w:u w:val="single"/>
        </w:rPr>
        <w:t xml:space="preserve">   承包人    </w:t>
      </w:r>
      <w:r>
        <w:rPr>
          <w:rFonts w:hint="eastAsia"/>
          <w:szCs w:val="21"/>
          <w:highlight w:val="none"/>
        </w:rPr>
        <w:t>，相关费用由</w:t>
      </w:r>
      <w:r>
        <w:rPr>
          <w:rFonts w:hint="eastAsia"/>
          <w:szCs w:val="21"/>
          <w:highlight w:val="none"/>
          <w:u w:val="single"/>
        </w:rPr>
        <w:t xml:space="preserve">     承包人   </w:t>
      </w:r>
      <w:r>
        <w:rPr>
          <w:rFonts w:hint="eastAsia"/>
          <w:szCs w:val="21"/>
          <w:highlight w:val="none"/>
        </w:rPr>
        <w:t>承担。</w:t>
      </w:r>
    </w:p>
    <w:p>
      <w:pPr>
        <w:spacing w:line="400" w:lineRule="exact"/>
        <w:ind w:firstLine="420" w:firstLineChars="200"/>
        <w:rPr>
          <w:szCs w:val="21"/>
          <w:highlight w:val="none"/>
          <w:u w:val="single"/>
        </w:rPr>
      </w:pPr>
      <w:r>
        <w:rPr>
          <w:rFonts w:hint="eastAsia"/>
          <w:szCs w:val="21"/>
          <w:highlight w:val="none"/>
        </w:rPr>
        <w:t>7.2.2发包人和监理人有权无偿使用承包人修建的临时道路和交通设施，不需要交纳任何费用。</w:t>
      </w:r>
    </w:p>
    <w:p>
      <w:pPr>
        <w:pStyle w:val="199"/>
        <w:outlineLvl w:val="0"/>
        <w:rPr>
          <w:rFonts w:ascii="黑体" w:hAnsi="宋体" w:cs="Arial"/>
          <w:highlight w:val="none"/>
        </w:rPr>
      </w:pPr>
      <w:bookmarkStart w:id="1521" w:name="_Toc434331371"/>
      <w:bookmarkStart w:id="1522" w:name="_Toc241459690"/>
      <w:bookmarkStart w:id="1523" w:name="_Toc152042443"/>
      <w:bookmarkStart w:id="1524" w:name="_Toc32025"/>
      <w:bookmarkStart w:id="1525" w:name="_Toc144974633"/>
      <w:bookmarkStart w:id="1526" w:name="_Toc179632683"/>
      <w:bookmarkStart w:id="1527" w:name="_Toc342296449"/>
      <w:bookmarkStart w:id="1528" w:name="_Toc152045665"/>
      <w:r>
        <w:rPr>
          <w:rFonts w:hint="eastAsia" w:ascii="黑体" w:hAnsi="宋体" w:cs="Arial"/>
          <w:highlight w:val="none"/>
        </w:rPr>
        <w:t>7.4 超大件和超重件的运输</w:t>
      </w:r>
      <w:bookmarkEnd w:id="1521"/>
      <w:bookmarkEnd w:id="1522"/>
      <w:bookmarkEnd w:id="1523"/>
      <w:bookmarkEnd w:id="1524"/>
      <w:bookmarkEnd w:id="1525"/>
      <w:bookmarkEnd w:id="1526"/>
      <w:bookmarkEnd w:id="1527"/>
      <w:bookmarkEnd w:id="1528"/>
    </w:p>
    <w:p>
      <w:pPr>
        <w:spacing w:line="400" w:lineRule="exact"/>
        <w:ind w:firstLine="420" w:firstLineChars="200"/>
        <w:rPr>
          <w:szCs w:val="21"/>
          <w:highlight w:val="none"/>
        </w:rPr>
      </w:pPr>
      <w:bookmarkStart w:id="1529" w:name="_Toc152045666"/>
      <w:bookmarkStart w:id="1530" w:name="_Toc144974634"/>
      <w:bookmarkStart w:id="1531" w:name="_Toc179632684"/>
      <w:bookmarkStart w:id="1532" w:name="_Toc152042444"/>
      <w:r>
        <w:rPr>
          <w:rFonts w:hint="eastAsia"/>
          <w:szCs w:val="21"/>
          <w:highlight w:val="none"/>
        </w:rPr>
        <w:t>运输超大件或超重件所需的道路和桥梁临时加固改造等费用的承担人：</w:t>
      </w:r>
      <w:r>
        <w:rPr>
          <w:rFonts w:hint="eastAsia"/>
          <w:szCs w:val="21"/>
          <w:highlight w:val="none"/>
          <w:u w:val="single"/>
        </w:rPr>
        <w:t xml:space="preserve">  </w:t>
      </w:r>
      <w:r>
        <w:rPr>
          <w:rFonts w:hint="eastAsia"/>
          <w:highlight w:val="none"/>
          <w:u w:val="single"/>
        </w:rPr>
        <w:t>承包人，该费用进入投标总价</w:t>
      </w:r>
      <w:r>
        <w:rPr>
          <w:rFonts w:hint="eastAsia"/>
          <w:szCs w:val="21"/>
          <w:highlight w:val="none"/>
          <w:u w:val="single"/>
        </w:rPr>
        <w:t xml:space="preserve">    </w:t>
      </w:r>
      <w:r>
        <w:rPr>
          <w:rFonts w:hint="eastAsia"/>
          <w:szCs w:val="21"/>
          <w:highlight w:val="none"/>
        </w:rPr>
        <w:t>。</w:t>
      </w:r>
    </w:p>
    <w:bookmarkEnd w:id="1529"/>
    <w:bookmarkEnd w:id="1530"/>
    <w:bookmarkEnd w:id="1531"/>
    <w:bookmarkEnd w:id="1532"/>
    <w:p>
      <w:pPr>
        <w:pStyle w:val="282"/>
        <w:spacing w:before="0"/>
        <w:outlineLvl w:val="0"/>
        <w:rPr>
          <w:highlight w:val="none"/>
        </w:rPr>
      </w:pPr>
      <w:bookmarkStart w:id="1533" w:name="_Toc342296450"/>
      <w:bookmarkStart w:id="1534" w:name="_Toc152042446"/>
      <w:bookmarkStart w:id="1535" w:name="_Toc144974636"/>
      <w:bookmarkStart w:id="1536" w:name="_Toc152045668"/>
      <w:bookmarkStart w:id="1537" w:name="_Toc434331372"/>
      <w:bookmarkStart w:id="1538" w:name="_Toc241459691"/>
      <w:bookmarkStart w:id="1539" w:name="_Toc13282"/>
      <w:bookmarkStart w:id="1540" w:name="_Toc179632686"/>
      <w:r>
        <w:rPr>
          <w:rFonts w:hint="eastAsia"/>
          <w:highlight w:val="none"/>
        </w:rPr>
        <w:t>8. 测量放线</w:t>
      </w:r>
      <w:bookmarkEnd w:id="1533"/>
      <w:bookmarkEnd w:id="1534"/>
      <w:bookmarkEnd w:id="1535"/>
      <w:bookmarkEnd w:id="1536"/>
      <w:bookmarkEnd w:id="1537"/>
      <w:bookmarkEnd w:id="1538"/>
      <w:bookmarkEnd w:id="1539"/>
      <w:bookmarkEnd w:id="1540"/>
    </w:p>
    <w:p>
      <w:pPr>
        <w:pStyle w:val="199"/>
        <w:outlineLvl w:val="0"/>
        <w:rPr>
          <w:rFonts w:ascii="黑体" w:hAnsi="宋体" w:cs="Arial"/>
          <w:highlight w:val="none"/>
        </w:rPr>
      </w:pPr>
      <w:bookmarkStart w:id="1541" w:name="_Toc241459692"/>
      <w:bookmarkStart w:id="1542" w:name="_Toc434331373"/>
      <w:bookmarkStart w:id="1543" w:name="_Toc152045669"/>
      <w:bookmarkStart w:id="1544" w:name="_Toc152042447"/>
      <w:bookmarkStart w:id="1545" w:name="_Toc10681"/>
      <w:bookmarkStart w:id="1546" w:name="_Toc144974637"/>
      <w:bookmarkStart w:id="1547" w:name="_Toc342296451"/>
      <w:bookmarkStart w:id="1548" w:name="_Toc179632687"/>
      <w:r>
        <w:rPr>
          <w:rFonts w:hint="eastAsia" w:ascii="黑体" w:hAnsi="宋体" w:cs="Arial"/>
          <w:highlight w:val="none"/>
        </w:rPr>
        <w:t>8.1 施工控制网</w:t>
      </w:r>
      <w:bookmarkEnd w:id="1541"/>
      <w:bookmarkEnd w:id="1542"/>
      <w:bookmarkEnd w:id="1543"/>
      <w:bookmarkEnd w:id="1544"/>
      <w:bookmarkEnd w:id="1545"/>
      <w:bookmarkEnd w:id="1546"/>
      <w:bookmarkEnd w:id="1547"/>
      <w:bookmarkEnd w:id="1548"/>
    </w:p>
    <w:p>
      <w:pPr>
        <w:spacing w:line="400" w:lineRule="exact"/>
        <w:ind w:firstLine="420" w:firstLineChars="200"/>
        <w:rPr>
          <w:szCs w:val="21"/>
          <w:highlight w:val="none"/>
          <w:u w:val="single"/>
        </w:rPr>
      </w:pPr>
      <w:r>
        <w:rPr>
          <w:rFonts w:hint="eastAsia"/>
          <w:szCs w:val="21"/>
          <w:highlight w:val="none"/>
        </w:rPr>
        <w:t>8.1.1发包人通过监理人提供测量基准点、基准线和水准点及其书面资料的期限：</w:t>
      </w:r>
      <w:r>
        <w:rPr>
          <w:rFonts w:hint="eastAsia"/>
          <w:szCs w:val="21"/>
          <w:highlight w:val="none"/>
          <w:u w:val="single"/>
        </w:rPr>
        <w:t xml:space="preserve">           </w:t>
      </w:r>
    </w:p>
    <w:p>
      <w:pPr>
        <w:spacing w:line="400" w:lineRule="exact"/>
        <w:rPr>
          <w:szCs w:val="21"/>
          <w:highlight w:val="none"/>
        </w:rPr>
      </w:pPr>
      <w:r>
        <w:rPr>
          <w:rFonts w:hint="eastAsia"/>
          <w:szCs w:val="21"/>
          <w:highlight w:val="none"/>
          <w:u w:val="single"/>
        </w:rPr>
        <w:t xml:space="preserve">合同签订后7天内     </w:t>
      </w:r>
      <w:r>
        <w:rPr>
          <w:rFonts w:hint="eastAsia"/>
          <w:szCs w:val="21"/>
          <w:highlight w:val="none"/>
        </w:rPr>
        <w:t xml:space="preserve">。 </w:t>
      </w:r>
    </w:p>
    <w:p>
      <w:pPr>
        <w:spacing w:line="400" w:lineRule="exact"/>
        <w:ind w:firstLine="420" w:firstLineChars="200"/>
        <w:rPr>
          <w:szCs w:val="21"/>
          <w:highlight w:val="none"/>
        </w:rPr>
      </w:pPr>
      <w:r>
        <w:rPr>
          <w:rFonts w:hint="eastAsia"/>
          <w:szCs w:val="21"/>
          <w:highlight w:val="none"/>
        </w:rPr>
        <w:t>承包人测设施工控制网的要求：</w:t>
      </w:r>
      <w:r>
        <w:rPr>
          <w:szCs w:val="21"/>
          <w:highlight w:val="none"/>
          <w:u w:val="single"/>
        </w:rPr>
        <w:t>承包人应根据合同中给定的原始基准点、基准红线和基准标高对工程的初始坐标定位、基准标高定位以及控制轴线的定位，定位和放线完成后，应通知监理要求发包人及时组织相关部门或机构进行复验并确认。如果此类复验发现承包人的定位或放线有误，承包人应立即予以矫正并承担矫正的费用。承包人应为本工程所有的分包人、独立承包人等的工作提供所需的基准定位轴线、定位标高、控制轴线和控制标高，并在发包人或监理认为必要时，提供主要轴线和其它控制或定位点，同时负责做好任何必要的协调工作，保证本工程定位和放线的准确性和一致性。</w:t>
      </w:r>
      <w:r>
        <w:rPr>
          <w:rFonts w:hint="eastAsia"/>
          <w:highlight w:val="none"/>
          <w:u w:val="single"/>
        </w:rPr>
        <w:t xml:space="preserve"> </w:t>
      </w:r>
      <w:r>
        <w:rPr>
          <w:rFonts w:hint="eastAsia"/>
          <w:szCs w:val="21"/>
          <w:highlight w:val="none"/>
        </w:rPr>
        <w:t xml:space="preserve"> </w:t>
      </w:r>
    </w:p>
    <w:p>
      <w:pPr>
        <w:spacing w:line="400" w:lineRule="exact"/>
        <w:ind w:firstLine="420" w:firstLineChars="200"/>
        <w:rPr>
          <w:szCs w:val="21"/>
          <w:highlight w:val="none"/>
        </w:rPr>
      </w:pPr>
      <w:r>
        <w:rPr>
          <w:rFonts w:hint="eastAsia"/>
          <w:szCs w:val="21"/>
          <w:highlight w:val="none"/>
        </w:rPr>
        <w:t>承包人将施工控制网资料报送监理人审批的期限：</w:t>
      </w:r>
      <w:r>
        <w:rPr>
          <w:rFonts w:hint="eastAsia"/>
          <w:szCs w:val="21"/>
          <w:highlight w:val="none"/>
          <w:u w:val="single"/>
        </w:rPr>
        <w:t>在收到监理人按通用合同条款第11.1.1项发出的开工通知后7天内</w:t>
      </w:r>
      <w:r>
        <w:rPr>
          <w:rFonts w:hint="eastAsia"/>
          <w:szCs w:val="21"/>
          <w:highlight w:val="none"/>
        </w:rPr>
        <w:t xml:space="preserve">。 </w:t>
      </w:r>
      <w:bookmarkStart w:id="1549" w:name="_Toc179632691"/>
      <w:bookmarkStart w:id="1550" w:name="_Toc152042451"/>
      <w:bookmarkStart w:id="1551" w:name="_Toc152045673"/>
      <w:bookmarkStart w:id="1552" w:name="_Toc241459693"/>
      <w:bookmarkStart w:id="1553" w:name="_Toc144974641"/>
      <w:bookmarkStart w:id="1554" w:name="_Toc342296452"/>
    </w:p>
    <w:p>
      <w:pPr>
        <w:spacing w:line="400" w:lineRule="exact"/>
        <w:ind w:firstLine="420" w:firstLineChars="200"/>
        <w:outlineLvl w:val="0"/>
        <w:rPr>
          <w:szCs w:val="21"/>
          <w:highlight w:val="none"/>
          <w:u w:val="single"/>
        </w:rPr>
      </w:pPr>
      <w:bookmarkStart w:id="1555" w:name="_Toc17483"/>
      <w:bookmarkStart w:id="1556" w:name="_Toc434331374"/>
      <w:r>
        <w:rPr>
          <w:rFonts w:hint="eastAsia"/>
          <w:highlight w:val="none"/>
        </w:rPr>
        <w:t>9. 施工安全、治安保卫和环境保护</w:t>
      </w:r>
      <w:bookmarkEnd w:id="1549"/>
      <w:bookmarkEnd w:id="1550"/>
      <w:bookmarkEnd w:id="1551"/>
      <w:bookmarkEnd w:id="1552"/>
      <w:bookmarkEnd w:id="1553"/>
      <w:bookmarkEnd w:id="1554"/>
      <w:bookmarkEnd w:id="1555"/>
      <w:bookmarkEnd w:id="1556"/>
    </w:p>
    <w:p>
      <w:pPr>
        <w:pStyle w:val="199"/>
        <w:outlineLvl w:val="0"/>
        <w:rPr>
          <w:rFonts w:ascii="黑体" w:hAnsi="宋体" w:cs="Arial"/>
          <w:highlight w:val="none"/>
        </w:rPr>
      </w:pPr>
      <w:bookmarkStart w:id="1557" w:name="_Toc434331375"/>
      <w:bookmarkStart w:id="1558" w:name="_Toc152042453"/>
      <w:bookmarkStart w:id="1559" w:name="_Toc24641"/>
      <w:bookmarkStart w:id="1560" w:name="_Toc342296453"/>
      <w:bookmarkStart w:id="1561" w:name="_Toc241459694"/>
      <w:bookmarkStart w:id="1562" w:name="_Toc144974643"/>
      <w:bookmarkStart w:id="1563" w:name="_Toc179632693"/>
      <w:bookmarkStart w:id="1564" w:name="_Toc152045675"/>
      <w:r>
        <w:rPr>
          <w:rFonts w:hint="eastAsia" w:ascii="黑体" w:hAnsi="宋体" w:cs="Arial"/>
          <w:highlight w:val="none"/>
        </w:rPr>
        <w:t>9.2 承包人的施工安全责任</w:t>
      </w:r>
      <w:bookmarkEnd w:id="1557"/>
      <w:bookmarkEnd w:id="1558"/>
      <w:bookmarkEnd w:id="1559"/>
      <w:bookmarkEnd w:id="1560"/>
      <w:bookmarkEnd w:id="1561"/>
      <w:bookmarkEnd w:id="1562"/>
      <w:bookmarkEnd w:id="1563"/>
      <w:bookmarkEnd w:id="1564"/>
    </w:p>
    <w:p>
      <w:pPr>
        <w:spacing w:line="400" w:lineRule="exact"/>
        <w:ind w:firstLine="420" w:firstLineChars="200"/>
        <w:rPr>
          <w:szCs w:val="21"/>
          <w:highlight w:val="none"/>
          <w:u w:val="single"/>
        </w:rPr>
      </w:pPr>
      <w:r>
        <w:rPr>
          <w:rFonts w:hint="eastAsia"/>
          <w:szCs w:val="21"/>
          <w:highlight w:val="none"/>
        </w:rPr>
        <w:t>9.2.1承包人向监理人报送施工安全措施计划的期限：</w:t>
      </w:r>
      <w:r>
        <w:rPr>
          <w:rFonts w:hint="eastAsia"/>
          <w:szCs w:val="21"/>
          <w:highlight w:val="none"/>
          <w:u w:val="single"/>
        </w:rPr>
        <w:t xml:space="preserve">  在收到监理人按通用合同条款第11.1.1项发出的开工通知后7天内</w:t>
      </w:r>
      <w:r>
        <w:rPr>
          <w:rFonts w:hint="eastAsia"/>
          <w:szCs w:val="21"/>
          <w:highlight w:val="none"/>
        </w:rPr>
        <w:t xml:space="preserve">。 </w:t>
      </w:r>
    </w:p>
    <w:p>
      <w:pPr>
        <w:pStyle w:val="30"/>
        <w:spacing w:after="0" w:line="400" w:lineRule="exact"/>
        <w:rPr>
          <w:rFonts w:ascii="宋体" w:hAnsi="宋体"/>
          <w:szCs w:val="21"/>
          <w:highlight w:val="none"/>
        </w:rPr>
      </w:pPr>
      <w:r>
        <w:rPr>
          <w:rFonts w:hint="eastAsia" w:ascii="宋体" w:hAnsi="宋体"/>
          <w:szCs w:val="21"/>
          <w:highlight w:val="none"/>
        </w:rPr>
        <w:t>监理人收到承包人报送的施工安全措施计划后应当在</w:t>
      </w:r>
      <w:r>
        <w:rPr>
          <w:rFonts w:hint="eastAsia" w:ascii="宋体" w:hAnsi="宋体"/>
          <w:szCs w:val="21"/>
          <w:highlight w:val="none"/>
          <w:u w:val="single"/>
        </w:rPr>
        <w:t xml:space="preserve">   7    </w:t>
      </w:r>
      <w:r>
        <w:rPr>
          <w:rFonts w:hint="eastAsia" w:ascii="宋体" w:hAnsi="宋体"/>
          <w:szCs w:val="21"/>
          <w:highlight w:val="none"/>
        </w:rPr>
        <w:t>天内给予批复。</w:t>
      </w:r>
    </w:p>
    <w:p>
      <w:pPr>
        <w:pStyle w:val="199"/>
        <w:outlineLvl w:val="0"/>
        <w:rPr>
          <w:rFonts w:ascii="黑体" w:hAnsi="宋体" w:cs="Arial"/>
          <w:highlight w:val="none"/>
        </w:rPr>
      </w:pPr>
      <w:bookmarkStart w:id="1565" w:name="_Toc144974644"/>
      <w:bookmarkStart w:id="1566" w:name="_Toc434331376"/>
      <w:bookmarkStart w:id="1567" w:name="_Toc27024"/>
      <w:bookmarkStart w:id="1568" w:name="_Toc152045676"/>
      <w:bookmarkStart w:id="1569" w:name="_Toc241459695"/>
      <w:bookmarkStart w:id="1570" w:name="_Toc152042454"/>
      <w:bookmarkStart w:id="1571" w:name="_Toc179632694"/>
      <w:bookmarkStart w:id="1572" w:name="_Toc342296454"/>
      <w:r>
        <w:rPr>
          <w:rFonts w:hint="eastAsia" w:ascii="黑体" w:hAnsi="宋体" w:cs="Arial"/>
          <w:highlight w:val="none"/>
        </w:rPr>
        <w:t>9.3 治安保卫</w:t>
      </w:r>
      <w:bookmarkEnd w:id="1565"/>
      <w:bookmarkEnd w:id="1566"/>
      <w:bookmarkEnd w:id="1567"/>
      <w:bookmarkEnd w:id="1568"/>
      <w:bookmarkEnd w:id="1569"/>
      <w:bookmarkEnd w:id="1570"/>
      <w:bookmarkEnd w:id="1571"/>
      <w:bookmarkEnd w:id="1572"/>
    </w:p>
    <w:p>
      <w:pPr>
        <w:pStyle w:val="30"/>
        <w:spacing w:after="0" w:line="400" w:lineRule="exact"/>
        <w:ind w:left="0" w:leftChars="0" w:firstLine="420" w:firstLineChars="200"/>
        <w:rPr>
          <w:rFonts w:ascii="宋体" w:hAnsi="宋体"/>
          <w:szCs w:val="21"/>
          <w:highlight w:val="none"/>
        </w:rPr>
      </w:pPr>
      <w:bookmarkStart w:id="1573" w:name="_Toc179632695"/>
      <w:bookmarkStart w:id="1574" w:name="_Toc144974645"/>
      <w:bookmarkStart w:id="1575" w:name="_Toc152045677"/>
      <w:bookmarkStart w:id="1576" w:name="_Toc152042455"/>
      <w:r>
        <w:rPr>
          <w:rFonts w:hint="eastAsia" w:ascii="宋体" w:hAnsi="宋体"/>
          <w:szCs w:val="21"/>
          <w:highlight w:val="none"/>
        </w:rPr>
        <w:t>9.3.1承包人应当负责统一管理施工场地的治安保卫事项，履行合同工程的治安保卫职责。</w:t>
      </w:r>
    </w:p>
    <w:p>
      <w:pPr>
        <w:pStyle w:val="30"/>
        <w:spacing w:after="0" w:line="400" w:lineRule="exact"/>
        <w:rPr>
          <w:rFonts w:ascii="宋体" w:hAnsi="宋体"/>
          <w:szCs w:val="21"/>
          <w:highlight w:val="none"/>
        </w:rPr>
      </w:pPr>
      <w:r>
        <w:rPr>
          <w:rFonts w:hint="eastAsia" w:ascii="宋体" w:hAnsi="宋体"/>
          <w:szCs w:val="21"/>
          <w:highlight w:val="none"/>
        </w:rPr>
        <w:t>9.3.3施工场地治安管理计划和突发治安事件紧急预案的编制责任人：</w:t>
      </w:r>
      <w:r>
        <w:rPr>
          <w:rFonts w:hint="eastAsia" w:ascii="宋体" w:hAnsi="宋体"/>
          <w:szCs w:val="21"/>
          <w:highlight w:val="none"/>
          <w:u w:val="single"/>
        </w:rPr>
        <w:t xml:space="preserve"> 承包人 </w:t>
      </w:r>
      <w:r>
        <w:rPr>
          <w:rFonts w:hint="eastAsia" w:ascii="宋体" w:hAnsi="宋体"/>
          <w:szCs w:val="21"/>
          <w:highlight w:val="none"/>
        </w:rPr>
        <w:t>。</w:t>
      </w:r>
    </w:p>
    <w:bookmarkEnd w:id="1573"/>
    <w:bookmarkEnd w:id="1574"/>
    <w:bookmarkEnd w:id="1575"/>
    <w:bookmarkEnd w:id="1576"/>
    <w:p>
      <w:pPr>
        <w:pStyle w:val="199"/>
        <w:outlineLvl w:val="0"/>
        <w:rPr>
          <w:rFonts w:ascii="黑体" w:hAnsi="宋体" w:cs="Arial"/>
          <w:highlight w:val="none"/>
        </w:rPr>
      </w:pPr>
      <w:bookmarkStart w:id="1577" w:name="_Toc342296455"/>
      <w:bookmarkStart w:id="1578" w:name="_Toc5503"/>
      <w:bookmarkStart w:id="1579" w:name="_Toc241459696"/>
      <w:bookmarkStart w:id="1580" w:name="_Toc434331377"/>
      <w:bookmarkStart w:id="1581" w:name="_Toc152042457"/>
      <w:bookmarkStart w:id="1582" w:name="_Toc144974647"/>
      <w:bookmarkStart w:id="1583" w:name="_Toc179632697"/>
      <w:bookmarkStart w:id="1584" w:name="_Toc152045679"/>
      <w:r>
        <w:rPr>
          <w:rFonts w:hint="eastAsia" w:ascii="黑体" w:hAnsi="宋体" w:cs="Arial"/>
          <w:highlight w:val="none"/>
        </w:rPr>
        <w:t>9.4 环境保护</w:t>
      </w:r>
      <w:bookmarkEnd w:id="1577"/>
      <w:bookmarkEnd w:id="1578"/>
      <w:bookmarkEnd w:id="1579"/>
      <w:bookmarkEnd w:id="1580"/>
    </w:p>
    <w:p>
      <w:pPr>
        <w:pStyle w:val="30"/>
        <w:spacing w:after="0" w:line="400" w:lineRule="exact"/>
        <w:rPr>
          <w:rFonts w:ascii="宋体" w:hAnsi="宋体"/>
          <w:szCs w:val="21"/>
          <w:highlight w:val="none"/>
        </w:rPr>
      </w:pPr>
      <w:r>
        <w:rPr>
          <w:rFonts w:hint="eastAsia" w:ascii="宋体" w:hAnsi="宋体"/>
          <w:szCs w:val="21"/>
          <w:highlight w:val="none"/>
        </w:rPr>
        <w:t>9.4.2施工环保措施计划报送监理人审批的时间：</w:t>
      </w:r>
      <w:r>
        <w:rPr>
          <w:rFonts w:hint="eastAsia" w:ascii="宋体" w:hAnsi="宋体"/>
          <w:szCs w:val="21"/>
          <w:highlight w:val="none"/>
          <w:u w:val="single"/>
        </w:rPr>
        <w:t xml:space="preserve">  签订合同后7日内 </w:t>
      </w:r>
      <w:r>
        <w:rPr>
          <w:rFonts w:hint="eastAsia" w:ascii="宋体" w:hAnsi="宋体"/>
          <w:szCs w:val="21"/>
          <w:highlight w:val="none"/>
        </w:rPr>
        <w:t>。</w:t>
      </w:r>
    </w:p>
    <w:p>
      <w:pPr>
        <w:pStyle w:val="30"/>
        <w:spacing w:after="0" w:line="400" w:lineRule="exact"/>
        <w:rPr>
          <w:rFonts w:ascii="宋体" w:hAnsi="宋体"/>
          <w:szCs w:val="21"/>
          <w:highlight w:val="none"/>
        </w:rPr>
      </w:pPr>
      <w:r>
        <w:rPr>
          <w:rFonts w:hint="eastAsia" w:ascii="宋体" w:hAnsi="宋体"/>
          <w:szCs w:val="21"/>
          <w:highlight w:val="none"/>
        </w:rPr>
        <w:t>监理人收到承包人报送的施工环保措施计划后应当在</w:t>
      </w:r>
      <w:r>
        <w:rPr>
          <w:rFonts w:hint="eastAsia" w:ascii="宋体" w:hAnsi="宋体"/>
          <w:szCs w:val="21"/>
          <w:highlight w:val="none"/>
          <w:u w:val="single"/>
        </w:rPr>
        <w:t xml:space="preserve">   7    </w:t>
      </w:r>
      <w:r>
        <w:rPr>
          <w:rFonts w:hint="eastAsia" w:ascii="宋体" w:hAnsi="宋体"/>
          <w:szCs w:val="21"/>
          <w:highlight w:val="none"/>
        </w:rPr>
        <w:t>天内给予批复。</w:t>
      </w:r>
    </w:p>
    <w:p>
      <w:pPr>
        <w:pStyle w:val="282"/>
        <w:spacing w:before="0"/>
        <w:outlineLvl w:val="0"/>
        <w:rPr>
          <w:highlight w:val="none"/>
        </w:rPr>
      </w:pPr>
      <w:bookmarkStart w:id="1585" w:name="_Toc342296456"/>
      <w:bookmarkStart w:id="1586" w:name="_Toc23499"/>
      <w:bookmarkStart w:id="1587" w:name="_Toc434331378"/>
      <w:bookmarkStart w:id="1588" w:name="_Toc241459697"/>
      <w:r>
        <w:rPr>
          <w:rFonts w:hint="eastAsia"/>
          <w:highlight w:val="none"/>
        </w:rPr>
        <w:t>10. 进度计划</w:t>
      </w:r>
      <w:bookmarkEnd w:id="1581"/>
      <w:bookmarkEnd w:id="1582"/>
      <w:bookmarkEnd w:id="1583"/>
      <w:bookmarkEnd w:id="1584"/>
      <w:bookmarkEnd w:id="1585"/>
      <w:bookmarkEnd w:id="1586"/>
      <w:bookmarkEnd w:id="1587"/>
      <w:bookmarkEnd w:id="1588"/>
    </w:p>
    <w:p>
      <w:pPr>
        <w:pStyle w:val="199"/>
        <w:outlineLvl w:val="0"/>
        <w:rPr>
          <w:rFonts w:ascii="黑体" w:hAnsi="宋体" w:cs="Arial"/>
          <w:highlight w:val="none"/>
        </w:rPr>
      </w:pPr>
      <w:bookmarkStart w:id="1589" w:name="_Toc152045680"/>
      <w:bookmarkStart w:id="1590" w:name="_Toc152042458"/>
      <w:bookmarkStart w:id="1591" w:name="_Toc1418"/>
      <w:bookmarkStart w:id="1592" w:name="_Toc342296457"/>
      <w:bookmarkStart w:id="1593" w:name="_Toc179632698"/>
      <w:bookmarkStart w:id="1594" w:name="_Toc434331379"/>
      <w:bookmarkStart w:id="1595" w:name="_Toc241459698"/>
      <w:bookmarkStart w:id="1596" w:name="_Toc144974648"/>
      <w:r>
        <w:rPr>
          <w:rFonts w:hint="eastAsia" w:ascii="黑体" w:hAnsi="宋体" w:cs="Arial"/>
          <w:highlight w:val="none"/>
        </w:rPr>
        <w:t>10.1 合同进度计划</w:t>
      </w:r>
      <w:bookmarkEnd w:id="1589"/>
      <w:bookmarkEnd w:id="1590"/>
      <w:bookmarkEnd w:id="1591"/>
      <w:bookmarkEnd w:id="1592"/>
      <w:bookmarkEnd w:id="1593"/>
      <w:bookmarkEnd w:id="1594"/>
      <w:bookmarkEnd w:id="1595"/>
      <w:bookmarkEnd w:id="1596"/>
    </w:p>
    <w:p>
      <w:pPr>
        <w:pStyle w:val="30"/>
        <w:spacing w:after="0" w:line="400" w:lineRule="exact"/>
        <w:ind w:left="0" w:leftChars="0" w:firstLine="420" w:firstLineChars="200"/>
        <w:rPr>
          <w:rFonts w:ascii="宋体" w:hAnsi="宋体"/>
          <w:szCs w:val="21"/>
          <w:highlight w:val="none"/>
        </w:rPr>
      </w:pPr>
      <w:r>
        <w:rPr>
          <w:rFonts w:hint="eastAsia" w:ascii="宋体" w:hAnsi="宋体"/>
          <w:szCs w:val="21"/>
          <w:highlight w:val="none"/>
        </w:rPr>
        <w:t>（1）承包人应当在收到监理人按照通用合同条款第11.1.1项发出的开工通知后7天内，编制详细的施工进度计划和施工方案说明并报送监理人。承包人编制施工进度计划和施工方案说明的内容：</w:t>
      </w:r>
      <w:r>
        <w:rPr>
          <w:rFonts w:hint="eastAsia" w:ascii="宋体" w:hAnsi="宋体"/>
          <w:szCs w:val="21"/>
          <w:highlight w:val="none"/>
          <w:u w:val="single"/>
        </w:rPr>
        <w:t xml:space="preserve"> 承包人应当在收到开工通知后7天内向监理人提交施工总进度计划（应包括：深化设计图纸计划、专项承包商和独立承包商的采购工作计划）</w:t>
      </w:r>
      <w:r>
        <w:rPr>
          <w:rFonts w:hint="eastAsia" w:ascii="宋体" w:hAnsi="宋体"/>
          <w:szCs w:val="21"/>
          <w:highlight w:val="none"/>
        </w:rPr>
        <w:t>， 施工进度计划中还应载明要求发包人组织设计人进行阶段性工程设计交底的时间。</w:t>
      </w:r>
    </w:p>
    <w:p>
      <w:pPr>
        <w:pStyle w:val="30"/>
        <w:spacing w:after="0" w:line="400" w:lineRule="exact"/>
        <w:ind w:left="0" w:leftChars="0" w:firstLine="420" w:firstLineChars="200"/>
        <w:rPr>
          <w:rFonts w:ascii="宋体" w:hAnsi="宋体"/>
          <w:szCs w:val="21"/>
          <w:highlight w:val="none"/>
        </w:rPr>
      </w:pPr>
      <w:r>
        <w:rPr>
          <w:rFonts w:hint="eastAsia" w:ascii="宋体" w:hAnsi="宋体"/>
          <w:szCs w:val="21"/>
          <w:highlight w:val="none"/>
        </w:rPr>
        <w:t>（2）监理人批复或对施工进度计划和施工方案说明提出修改意见的期限：自监理人收到承包人报送的相关进度计划和施工方案说明后14天内。</w:t>
      </w:r>
    </w:p>
    <w:p>
      <w:pPr>
        <w:pStyle w:val="30"/>
        <w:spacing w:after="0" w:line="400" w:lineRule="exact"/>
        <w:rPr>
          <w:rFonts w:ascii="宋体" w:hAnsi="宋体"/>
          <w:szCs w:val="21"/>
          <w:highlight w:val="none"/>
        </w:rPr>
      </w:pPr>
      <w:r>
        <w:rPr>
          <w:rFonts w:hint="eastAsia" w:ascii="宋体" w:hAnsi="宋体"/>
          <w:szCs w:val="21"/>
          <w:highlight w:val="none"/>
        </w:rPr>
        <w:t>（3）</w:t>
      </w:r>
      <w:r>
        <w:rPr>
          <w:rFonts w:ascii="宋体" w:hAnsi="宋体"/>
          <w:szCs w:val="21"/>
          <w:highlight w:val="none"/>
        </w:rPr>
        <w:t>承包</w:t>
      </w:r>
      <w:r>
        <w:rPr>
          <w:rFonts w:hint="eastAsia" w:ascii="宋体" w:hAnsi="宋体"/>
          <w:szCs w:val="21"/>
          <w:highlight w:val="none"/>
        </w:rPr>
        <w:t>人编制</w:t>
      </w:r>
      <w:r>
        <w:rPr>
          <w:rFonts w:ascii="宋体" w:hAnsi="宋体"/>
          <w:szCs w:val="21"/>
          <w:highlight w:val="none"/>
        </w:rPr>
        <w:t>分阶段或分项</w:t>
      </w:r>
      <w:r>
        <w:rPr>
          <w:rFonts w:hint="eastAsia" w:ascii="宋体" w:hAnsi="宋体"/>
          <w:szCs w:val="21"/>
          <w:highlight w:val="none"/>
        </w:rPr>
        <w:t>施工</w:t>
      </w:r>
      <w:r>
        <w:rPr>
          <w:rFonts w:ascii="宋体" w:hAnsi="宋体"/>
          <w:szCs w:val="21"/>
          <w:highlight w:val="none"/>
        </w:rPr>
        <w:t>进度计划</w:t>
      </w:r>
      <w:r>
        <w:rPr>
          <w:rFonts w:hint="eastAsia" w:ascii="宋体" w:hAnsi="宋体"/>
          <w:szCs w:val="21"/>
          <w:highlight w:val="none"/>
        </w:rPr>
        <w:t>和施工方案说明</w:t>
      </w:r>
      <w:r>
        <w:rPr>
          <w:rFonts w:ascii="宋体" w:hAnsi="宋体"/>
          <w:szCs w:val="21"/>
          <w:highlight w:val="none"/>
        </w:rPr>
        <w:t>的内容</w:t>
      </w:r>
      <w:r>
        <w:rPr>
          <w:rFonts w:hint="eastAsia" w:ascii="宋体" w:hAnsi="宋体"/>
          <w:szCs w:val="21"/>
          <w:highlight w:val="none"/>
        </w:rPr>
        <w:t>：</w:t>
      </w:r>
      <w:r>
        <w:rPr>
          <w:rFonts w:hint="eastAsia" w:ascii="宋体" w:hAnsi="宋体"/>
          <w:szCs w:val="21"/>
          <w:highlight w:val="none"/>
          <w:u w:val="single"/>
        </w:rPr>
        <w:t xml:space="preserve">  分阶段或分项施工方案及专项安全施工方案等。</w:t>
      </w:r>
    </w:p>
    <w:p>
      <w:pPr>
        <w:pStyle w:val="30"/>
        <w:spacing w:after="0" w:line="400" w:lineRule="exact"/>
        <w:rPr>
          <w:rFonts w:ascii="宋体" w:hAnsi="宋体"/>
          <w:szCs w:val="21"/>
          <w:highlight w:val="none"/>
        </w:rPr>
      </w:pPr>
      <w:r>
        <w:rPr>
          <w:rFonts w:ascii="宋体" w:hAnsi="宋体"/>
          <w:szCs w:val="21"/>
          <w:highlight w:val="none"/>
        </w:rPr>
        <w:t>承包</w:t>
      </w:r>
      <w:r>
        <w:rPr>
          <w:rFonts w:hint="eastAsia" w:ascii="宋体" w:hAnsi="宋体"/>
          <w:szCs w:val="21"/>
          <w:highlight w:val="none"/>
        </w:rPr>
        <w:t>人报送</w:t>
      </w:r>
      <w:r>
        <w:rPr>
          <w:rFonts w:ascii="宋体" w:hAnsi="宋体"/>
          <w:szCs w:val="21"/>
          <w:highlight w:val="none"/>
        </w:rPr>
        <w:t>分阶段或分项</w:t>
      </w:r>
      <w:r>
        <w:rPr>
          <w:rFonts w:hint="eastAsia" w:ascii="宋体" w:hAnsi="宋体"/>
          <w:szCs w:val="21"/>
          <w:highlight w:val="none"/>
        </w:rPr>
        <w:t>施工</w:t>
      </w:r>
      <w:r>
        <w:rPr>
          <w:rFonts w:ascii="宋体" w:hAnsi="宋体"/>
          <w:szCs w:val="21"/>
          <w:highlight w:val="none"/>
        </w:rPr>
        <w:t>进度计划</w:t>
      </w:r>
      <w:r>
        <w:rPr>
          <w:rFonts w:hint="eastAsia" w:ascii="宋体" w:hAnsi="宋体"/>
          <w:szCs w:val="21"/>
          <w:highlight w:val="none"/>
        </w:rPr>
        <w:t>和施工方案说明</w:t>
      </w:r>
      <w:r>
        <w:rPr>
          <w:rFonts w:ascii="宋体" w:hAnsi="宋体"/>
          <w:szCs w:val="21"/>
          <w:highlight w:val="none"/>
        </w:rPr>
        <w:t>的期限</w:t>
      </w:r>
      <w:r>
        <w:rPr>
          <w:rFonts w:hint="eastAsia" w:ascii="宋体" w:hAnsi="宋体"/>
          <w:szCs w:val="21"/>
          <w:highlight w:val="none"/>
        </w:rPr>
        <w:t>：</w:t>
      </w:r>
      <w:r>
        <w:rPr>
          <w:rFonts w:hint="eastAsia" w:ascii="宋体" w:hAnsi="宋体"/>
          <w:szCs w:val="21"/>
          <w:highlight w:val="none"/>
          <w:u w:val="single"/>
        </w:rPr>
        <w:t xml:space="preserve">  应在施工进度计划和施工方案实施前</w:t>
      </w:r>
      <w:r>
        <w:rPr>
          <w:rFonts w:ascii="宋体" w:hAnsi="宋体"/>
          <w:szCs w:val="21"/>
          <w:highlight w:val="none"/>
          <w:u w:val="single"/>
        </w:rPr>
        <w:t>28</w:t>
      </w:r>
      <w:r>
        <w:rPr>
          <w:rFonts w:hint="eastAsia" w:ascii="宋体" w:hAnsi="宋体"/>
          <w:szCs w:val="21"/>
          <w:highlight w:val="none"/>
          <w:u w:val="single"/>
        </w:rPr>
        <w:t>天</w:t>
      </w:r>
      <w:r>
        <w:rPr>
          <w:rFonts w:hint="eastAsia" w:ascii="宋体" w:hAnsi="宋体"/>
          <w:szCs w:val="21"/>
          <w:highlight w:val="none"/>
        </w:rPr>
        <w:t>。</w:t>
      </w:r>
    </w:p>
    <w:p>
      <w:pPr>
        <w:pStyle w:val="30"/>
        <w:spacing w:after="0" w:line="400" w:lineRule="exact"/>
        <w:ind w:left="0" w:leftChars="0" w:firstLine="420" w:firstLineChars="200"/>
        <w:rPr>
          <w:rFonts w:ascii="宋体" w:hAnsi="宋体"/>
          <w:szCs w:val="21"/>
          <w:highlight w:val="none"/>
        </w:rPr>
      </w:pPr>
      <w:r>
        <w:rPr>
          <w:rFonts w:hint="eastAsia" w:ascii="宋体" w:hAnsi="宋体"/>
          <w:szCs w:val="21"/>
          <w:highlight w:val="none"/>
        </w:rPr>
        <w:t>（4）群体工程中单位工程分期进行施工的，承包人应按照发包人提供图纸及有关资料的时间，按单位工程编制进度计划和施工方案说明。群体工程中有关进度计划和施工方案说明的要求：</w:t>
      </w:r>
      <w:r>
        <w:rPr>
          <w:rFonts w:hint="eastAsia" w:ascii="宋体" w:hAnsi="宋体"/>
          <w:szCs w:val="21"/>
          <w:highlight w:val="none"/>
          <w:u w:val="single"/>
        </w:rPr>
        <w:t xml:space="preserve">     /       </w:t>
      </w:r>
      <w:r>
        <w:rPr>
          <w:rFonts w:hint="eastAsia" w:ascii="宋体" w:hAnsi="宋体"/>
          <w:szCs w:val="21"/>
          <w:highlight w:val="none"/>
        </w:rPr>
        <w:t>。</w:t>
      </w:r>
    </w:p>
    <w:p>
      <w:pPr>
        <w:pStyle w:val="199"/>
        <w:outlineLvl w:val="0"/>
        <w:rPr>
          <w:rFonts w:ascii="黑体" w:hAnsi="宋体" w:cs="Arial"/>
          <w:highlight w:val="none"/>
        </w:rPr>
      </w:pPr>
      <w:bookmarkStart w:id="1597" w:name="_Toc434331380"/>
      <w:bookmarkStart w:id="1598" w:name="_Toc342296458"/>
      <w:bookmarkStart w:id="1599" w:name="_Toc16792"/>
      <w:bookmarkStart w:id="1600" w:name="_Toc152045681"/>
      <w:bookmarkStart w:id="1601" w:name="_Toc144974649"/>
      <w:bookmarkStart w:id="1602" w:name="_Toc152042459"/>
      <w:bookmarkStart w:id="1603" w:name="_Toc241459699"/>
      <w:bookmarkStart w:id="1604" w:name="_Toc179632699"/>
      <w:r>
        <w:rPr>
          <w:rFonts w:hint="eastAsia" w:ascii="黑体" w:hAnsi="宋体" w:cs="Arial"/>
          <w:highlight w:val="none"/>
        </w:rPr>
        <w:t>10.2 合同进度计划的修订</w:t>
      </w:r>
      <w:bookmarkEnd w:id="1597"/>
      <w:bookmarkEnd w:id="1598"/>
      <w:bookmarkEnd w:id="1599"/>
      <w:bookmarkEnd w:id="1600"/>
      <w:bookmarkEnd w:id="1601"/>
      <w:bookmarkEnd w:id="1602"/>
      <w:bookmarkEnd w:id="1603"/>
      <w:bookmarkEnd w:id="1604"/>
    </w:p>
    <w:p>
      <w:pPr>
        <w:pStyle w:val="30"/>
        <w:spacing w:after="0" w:line="400" w:lineRule="exact"/>
        <w:rPr>
          <w:rFonts w:ascii="宋体" w:hAnsi="宋体"/>
          <w:szCs w:val="21"/>
          <w:highlight w:val="none"/>
        </w:rPr>
      </w:pPr>
      <w:r>
        <w:rPr>
          <w:rFonts w:hint="eastAsia" w:ascii="宋体" w:hAnsi="宋体"/>
          <w:szCs w:val="21"/>
          <w:highlight w:val="none"/>
        </w:rPr>
        <w:t>（1）承包人报送修订合同进度计划申请报告和相关资料的期限：</w:t>
      </w:r>
      <w:r>
        <w:rPr>
          <w:rFonts w:hAnsi="宋体"/>
          <w:highlight w:val="none"/>
          <w:u w:val="single"/>
        </w:rPr>
        <w:t>在工程或工程的任何部分出现工期延误或显然可以预见的延误时，立即以书面方式申请发包人和监理人，并按照监理人要求的期限内呈报一份经过修订的进度计划，但修订后的进度计划必须确保合同竣工日期不受任何影响，并且不作为延长工期的依据</w:t>
      </w:r>
      <w:r>
        <w:rPr>
          <w:rFonts w:hint="eastAsia" w:ascii="宋体" w:hAnsi="宋体"/>
          <w:szCs w:val="21"/>
          <w:highlight w:val="none"/>
        </w:rPr>
        <w:t>。</w:t>
      </w:r>
    </w:p>
    <w:p>
      <w:pPr>
        <w:pStyle w:val="30"/>
        <w:spacing w:after="0" w:line="400" w:lineRule="exact"/>
        <w:rPr>
          <w:rFonts w:ascii="宋体" w:hAnsi="宋体"/>
          <w:szCs w:val="21"/>
          <w:highlight w:val="none"/>
        </w:rPr>
      </w:pPr>
      <w:r>
        <w:rPr>
          <w:rFonts w:hint="eastAsia" w:ascii="宋体" w:hAnsi="宋体"/>
          <w:szCs w:val="21"/>
          <w:highlight w:val="none"/>
        </w:rPr>
        <w:t>（2）监理人批复修订合同进度计划申请报告的期限：</w:t>
      </w:r>
      <w:r>
        <w:rPr>
          <w:rFonts w:hAnsi="宋体"/>
          <w:szCs w:val="21"/>
          <w:highlight w:val="none"/>
          <w:u w:val="single"/>
        </w:rPr>
        <w:t>在收到承包人提交的修订合同进度计划申请报告后</w:t>
      </w:r>
      <w:r>
        <w:rPr>
          <w:rFonts w:hint="eastAsia"/>
          <w:szCs w:val="21"/>
          <w:highlight w:val="none"/>
          <w:u w:val="single"/>
        </w:rPr>
        <w:t>14天</w:t>
      </w:r>
      <w:r>
        <w:rPr>
          <w:rFonts w:hAnsi="宋体"/>
          <w:szCs w:val="21"/>
          <w:highlight w:val="none"/>
          <w:u w:val="single"/>
        </w:rPr>
        <w:t>内。</w:t>
      </w:r>
      <w:r>
        <w:rPr>
          <w:rFonts w:hint="eastAsia" w:ascii="宋体" w:hAnsi="宋体"/>
          <w:szCs w:val="21"/>
          <w:highlight w:val="none"/>
          <w:u w:val="single"/>
        </w:rPr>
        <w:t xml:space="preserve"> </w:t>
      </w:r>
    </w:p>
    <w:p>
      <w:pPr>
        <w:pStyle w:val="30"/>
        <w:spacing w:after="0" w:line="400" w:lineRule="exact"/>
        <w:rPr>
          <w:rFonts w:ascii="宋体" w:hAnsi="宋体"/>
          <w:szCs w:val="21"/>
          <w:highlight w:val="none"/>
          <w:u w:val="single"/>
        </w:rPr>
      </w:pPr>
      <w:r>
        <w:rPr>
          <w:rFonts w:hint="eastAsia" w:ascii="宋体" w:hAnsi="宋体"/>
          <w:szCs w:val="21"/>
          <w:highlight w:val="none"/>
        </w:rPr>
        <w:t>（3）监理人批复修订合同进度计划的期限：</w:t>
      </w:r>
      <w:r>
        <w:rPr>
          <w:rFonts w:hAnsi="宋体"/>
          <w:szCs w:val="21"/>
          <w:highlight w:val="none"/>
          <w:u w:val="single"/>
        </w:rPr>
        <w:t>在收到承包人提交的修订合同进度计划后</w:t>
      </w:r>
      <w:r>
        <w:rPr>
          <w:rFonts w:hint="eastAsia" w:hAnsi="宋体"/>
          <w:szCs w:val="21"/>
          <w:highlight w:val="none"/>
          <w:u w:val="single"/>
        </w:rPr>
        <w:t>14天</w:t>
      </w:r>
      <w:r>
        <w:rPr>
          <w:rFonts w:hAnsi="宋体"/>
          <w:szCs w:val="21"/>
          <w:highlight w:val="none"/>
          <w:u w:val="single"/>
        </w:rPr>
        <w:t>内</w:t>
      </w:r>
      <w:r>
        <w:rPr>
          <w:rFonts w:hint="eastAsia" w:ascii="宋体" w:hAnsi="宋体"/>
          <w:szCs w:val="21"/>
          <w:highlight w:val="none"/>
        </w:rPr>
        <w:t>。</w:t>
      </w:r>
    </w:p>
    <w:p>
      <w:pPr>
        <w:pStyle w:val="282"/>
        <w:spacing w:before="0"/>
        <w:outlineLvl w:val="0"/>
        <w:rPr>
          <w:highlight w:val="none"/>
        </w:rPr>
      </w:pPr>
      <w:bookmarkStart w:id="1605" w:name="_Toc152042460"/>
      <w:bookmarkStart w:id="1606" w:name="_Toc152045682"/>
      <w:bookmarkStart w:id="1607" w:name="_Toc5121"/>
      <w:bookmarkStart w:id="1608" w:name="_Toc434331381"/>
      <w:bookmarkStart w:id="1609" w:name="_Toc342296459"/>
      <w:bookmarkStart w:id="1610" w:name="_Toc179632700"/>
      <w:bookmarkStart w:id="1611" w:name="_Toc241459700"/>
      <w:bookmarkStart w:id="1612" w:name="_Toc144974650"/>
      <w:r>
        <w:rPr>
          <w:rFonts w:hint="eastAsia"/>
          <w:highlight w:val="none"/>
        </w:rPr>
        <w:t>11. 开工和竣工</w:t>
      </w:r>
      <w:bookmarkEnd w:id="1605"/>
      <w:bookmarkEnd w:id="1606"/>
      <w:bookmarkEnd w:id="1607"/>
      <w:bookmarkEnd w:id="1608"/>
      <w:bookmarkEnd w:id="1609"/>
      <w:bookmarkEnd w:id="1610"/>
      <w:bookmarkEnd w:id="1611"/>
      <w:bookmarkEnd w:id="1612"/>
    </w:p>
    <w:p>
      <w:pPr>
        <w:pStyle w:val="199"/>
        <w:outlineLvl w:val="0"/>
        <w:rPr>
          <w:rFonts w:ascii="黑体" w:hAnsi="宋体" w:cs="Arial"/>
          <w:highlight w:val="none"/>
        </w:rPr>
      </w:pPr>
      <w:bookmarkStart w:id="1613" w:name="_Toc434331382"/>
      <w:bookmarkStart w:id="1614" w:name="_Toc144974653"/>
      <w:bookmarkStart w:id="1615" w:name="_Toc342296460"/>
      <w:bookmarkStart w:id="1616" w:name="_Toc152042463"/>
      <w:bookmarkStart w:id="1617" w:name="_Toc12734"/>
      <w:bookmarkStart w:id="1618" w:name="_Toc241459701"/>
      <w:bookmarkStart w:id="1619" w:name="_Toc152045685"/>
      <w:bookmarkStart w:id="1620" w:name="_Toc179632703"/>
      <w:r>
        <w:rPr>
          <w:rFonts w:hint="eastAsia" w:ascii="黑体" w:hAnsi="宋体" w:cs="Arial"/>
          <w:highlight w:val="none"/>
        </w:rPr>
        <w:t>11.3 发包人的工期延误</w:t>
      </w:r>
      <w:bookmarkEnd w:id="1613"/>
      <w:bookmarkEnd w:id="1614"/>
      <w:bookmarkEnd w:id="1615"/>
      <w:bookmarkEnd w:id="1616"/>
      <w:bookmarkEnd w:id="1617"/>
      <w:bookmarkEnd w:id="1618"/>
      <w:bookmarkEnd w:id="1619"/>
      <w:bookmarkEnd w:id="1620"/>
    </w:p>
    <w:p>
      <w:pPr>
        <w:pStyle w:val="30"/>
        <w:spacing w:after="0" w:line="400" w:lineRule="exact"/>
        <w:ind w:left="0" w:leftChars="0" w:firstLine="420" w:firstLineChars="200"/>
        <w:rPr>
          <w:rFonts w:ascii="宋体" w:hAnsi="宋体"/>
          <w:szCs w:val="21"/>
          <w:highlight w:val="none"/>
        </w:rPr>
      </w:pPr>
      <w:r>
        <w:rPr>
          <w:rFonts w:hint="eastAsia" w:ascii="宋体" w:hAnsi="宋体"/>
          <w:szCs w:val="21"/>
          <w:highlight w:val="none"/>
        </w:rPr>
        <w:t>(7) 因发包人原因不能按照监理人发出的开工通知中载明的开工日期开工。除发包人原因延期开工外，发包人造成工期延误的其他原因还包括：</w:t>
      </w:r>
      <w:r>
        <w:rPr>
          <w:rFonts w:hint="eastAsia" w:ascii="宋体" w:hAnsi="宋体"/>
          <w:szCs w:val="21"/>
          <w:highlight w:val="none"/>
          <w:u w:val="single"/>
        </w:rPr>
        <w:t xml:space="preserve"> / </w:t>
      </w:r>
      <w:r>
        <w:rPr>
          <w:rFonts w:hint="eastAsia" w:ascii="宋体" w:hAnsi="宋体"/>
          <w:szCs w:val="21"/>
          <w:highlight w:val="none"/>
        </w:rPr>
        <w:t>等延误承包人关键线路工作的情况。</w:t>
      </w:r>
    </w:p>
    <w:p>
      <w:pPr>
        <w:pStyle w:val="199"/>
        <w:outlineLvl w:val="0"/>
        <w:rPr>
          <w:rFonts w:ascii="黑体" w:hAnsi="宋体" w:cs="Arial"/>
          <w:highlight w:val="none"/>
        </w:rPr>
      </w:pPr>
      <w:bookmarkStart w:id="1621" w:name="_Toc342296461"/>
      <w:bookmarkStart w:id="1622" w:name="_Toc434331383"/>
      <w:bookmarkStart w:id="1623" w:name="_Toc144974654"/>
      <w:bookmarkStart w:id="1624" w:name="_Toc241459702"/>
      <w:bookmarkStart w:id="1625" w:name="_Toc152045686"/>
      <w:bookmarkStart w:id="1626" w:name="_Toc179632704"/>
      <w:bookmarkStart w:id="1627" w:name="_Toc152042464"/>
      <w:bookmarkStart w:id="1628" w:name="_Toc24459"/>
      <w:r>
        <w:rPr>
          <w:rFonts w:hint="eastAsia" w:ascii="黑体" w:hAnsi="宋体" w:cs="Arial"/>
          <w:highlight w:val="none"/>
        </w:rPr>
        <w:t>11.4 异常恶劣的气候条件</w:t>
      </w:r>
      <w:bookmarkEnd w:id="1621"/>
      <w:bookmarkEnd w:id="1622"/>
      <w:bookmarkEnd w:id="1623"/>
      <w:bookmarkEnd w:id="1624"/>
      <w:bookmarkEnd w:id="1625"/>
      <w:bookmarkEnd w:id="1626"/>
      <w:bookmarkEnd w:id="1627"/>
      <w:bookmarkEnd w:id="1628"/>
    </w:p>
    <w:p>
      <w:pPr>
        <w:pStyle w:val="30"/>
        <w:spacing w:after="0" w:line="400" w:lineRule="exact"/>
        <w:rPr>
          <w:rFonts w:ascii="宋体" w:hAnsi="宋体"/>
          <w:szCs w:val="21"/>
          <w:highlight w:val="none"/>
        </w:rPr>
      </w:pPr>
      <w:bookmarkStart w:id="1629" w:name="_Toc179632705"/>
      <w:bookmarkStart w:id="1630" w:name="_Toc144974655"/>
      <w:bookmarkStart w:id="1631" w:name="_Toc152045687"/>
      <w:bookmarkStart w:id="1632" w:name="_Toc152042465"/>
      <w:r>
        <w:rPr>
          <w:rFonts w:hint="eastAsia" w:ascii="宋体" w:hAnsi="宋体"/>
          <w:szCs w:val="21"/>
          <w:highlight w:val="none"/>
        </w:rPr>
        <w:t>异常恶劣的气候条件的范围和标准：</w:t>
      </w:r>
      <w:r>
        <w:rPr>
          <w:rFonts w:hint="eastAsia" w:ascii="宋体" w:hAnsi="宋体"/>
          <w:szCs w:val="21"/>
          <w:highlight w:val="none"/>
          <w:u w:val="single"/>
        </w:rPr>
        <w:t>项目所在地行政主管部门确认的并直接导致本工程无法施工的20年一遇的最大降水（雪）量、最高（低）温度等</w:t>
      </w:r>
      <w:r>
        <w:rPr>
          <w:rFonts w:hint="eastAsia" w:ascii="宋体" w:hAnsi="宋体"/>
          <w:szCs w:val="21"/>
          <w:highlight w:val="none"/>
        </w:rPr>
        <w:t>。</w:t>
      </w:r>
      <w:r>
        <w:rPr>
          <w:rFonts w:hint="eastAsia" w:ascii="宋体" w:hAnsi="宋体"/>
          <w:szCs w:val="21"/>
          <w:highlight w:val="none"/>
          <w:u w:val="single"/>
        </w:rPr>
        <w:t>承</w:t>
      </w:r>
      <w:r>
        <w:rPr>
          <w:rFonts w:hAnsi="宋体"/>
          <w:highlight w:val="none"/>
          <w:u w:val="single"/>
        </w:rPr>
        <w:t>包人应为任何已完成的和将要进行的任何永久和临时工程、材料、物品、设备、以及因永久工程施工而暴露的任何毗邻财产提供必要的覆盖和保护措施，以避免恶劣天气对工程施工的任何影响和减少可能的损失；保护措施包括必要的冬季供暖、雨季用阻燃防水油布覆盖、额外的临时仓库等</w:t>
      </w:r>
      <w:r>
        <w:rPr>
          <w:rFonts w:hint="eastAsia" w:ascii="宋体" w:hAnsi="宋体"/>
          <w:szCs w:val="21"/>
          <w:highlight w:val="none"/>
        </w:rPr>
        <w:t>。</w:t>
      </w:r>
    </w:p>
    <w:p>
      <w:pPr>
        <w:pStyle w:val="199"/>
        <w:outlineLvl w:val="0"/>
        <w:rPr>
          <w:rFonts w:ascii="黑体" w:hAnsi="宋体" w:cs="Arial"/>
          <w:highlight w:val="none"/>
        </w:rPr>
      </w:pPr>
      <w:bookmarkStart w:id="1633" w:name="_Toc12099"/>
      <w:bookmarkStart w:id="1634" w:name="_Toc342296462"/>
      <w:bookmarkStart w:id="1635" w:name="_Toc241459703"/>
      <w:bookmarkStart w:id="1636" w:name="_Toc434331384"/>
      <w:r>
        <w:rPr>
          <w:rFonts w:hint="eastAsia" w:ascii="黑体" w:hAnsi="宋体" w:cs="Arial"/>
          <w:highlight w:val="none"/>
        </w:rPr>
        <w:t>11.5 承包人的工期延误</w:t>
      </w:r>
      <w:bookmarkEnd w:id="1629"/>
      <w:bookmarkEnd w:id="1630"/>
      <w:bookmarkEnd w:id="1631"/>
      <w:bookmarkEnd w:id="1632"/>
      <w:bookmarkEnd w:id="1633"/>
      <w:bookmarkEnd w:id="1634"/>
      <w:bookmarkEnd w:id="1635"/>
      <w:bookmarkEnd w:id="1636"/>
    </w:p>
    <w:p>
      <w:pPr>
        <w:pStyle w:val="30"/>
        <w:spacing w:after="0" w:line="400" w:lineRule="exact"/>
        <w:ind w:left="0" w:leftChars="0" w:firstLine="420" w:firstLineChars="200"/>
        <w:rPr>
          <w:rFonts w:ascii="宋体" w:hAnsi="宋体"/>
          <w:szCs w:val="21"/>
          <w:highlight w:val="none"/>
        </w:rPr>
      </w:pPr>
      <w:bookmarkStart w:id="1637" w:name="_Toc144974656"/>
      <w:bookmarkStart w:id="1638" w:name="_Toc179632706"/>
      <w:bookmarkStart w:id="1639" w:name="_Toc152042466"/>
      <w:bookmarkStart w:id="1640" w:name="_Toc152045688"/>
      <w:r>
        <w:rPr>
          <w:rFonts w:hint="eastAsia" w:ascii="宋体" w:hAnsi="宋体"/>
          <w:szCs w:val="21"/>
          <w:highlight w:val="none"/>
        </w:rPr>
        <w:t>由于承包人原因造成不能按期竣工的，在按合同约定确定的竣工日期（包括按合同延长的工期）后7天内，监理人应当按通用合同条款第23.4.1项的约定书面通知承包人,说明发包人有权得到按本款约定的下列标准和方法计算的逾期竣工违约金，但最终违约金的金额不应超过本款约定的逾期竣工违约金最高限额。</w:t>
      </w:r>
    </w:p>
    <w:p>
      <w:pPr>
        <w:pStyle w:val="30"/>
        <w:spacing w:after="0" w:line="400" w:lineRule="exact"/>
        <w:rPr>
          <w:rFonts w:ascii="宋体" w:hAnsi="宋体"/>
          <w:szCs w:val="21"/>
          <w:highlight w:val="none"/>
        </w:rPr>
      </w:pPr>
      <w:r>
        <w:rPr>
          <w:rFonts w:hint="eastAsia" w:ascii="宋体" w:hAnsi="宋体"/>
          <w:szCs w:val="21"/>
          <w:highlight w:val="none"/>
        </w:rPr>
        <w:t>逾期竣工违约金的计算标准：</w:t>
      </w:r>
      <w:r>
        <w:rPr>
          <w:rFonts w:hint="eastAsia" w:ascii="宋体" w:hAnsi="宋体"/>
          <w:szCs w:val="21"/>
          <w:highlight w:val="none"/>
          <w:u w:val="single"/>
        </w:rPr>
        <w:t xml:space="preserve">  按天计算 </w:t>
      </w:r>
      <w:r>
        <w:rPr>
          <w:rFonts w:hint="eastAsia" w:ascii="宋体" w:hAnsi="宋体"/>
          <w:szCs w:val="21"/>
          <w:highlight w:val="none"/>
        </w:rPr>
        <w:t>。</w:t>
      </w:r>
    </w:p>
    <w:p>
      <w:pPr>
        <w:pStyle w:val="30"/>
        <w:spacing w:after="0" w:line="400" w:lineRule="exact"/>
        <w:rPr>
          <w:rFonts w:ascii="宋体" w:hAnsi="宋体"/>
          <w:szCs w:val="21"/>
          <w:highlight w:val="none"/>
        </w:rPr>
      </w:pPr>
      <w:r>
        <w:rPr>
          <w:rFonts w:hint="eastAsia" w:ascii="宋体" w:hAnsi="宋体"/>
          <w:szCs w:val="21"/>
          <w:highlight w:val="none"/>
        </w:rPr>
        <w:t>逾期竣工违约金的计算方法：</w:t>
      </w:r>
      <w:r>
        <w:rPr>
          <w:rFonts w:hint="eastAsia" w:ascii="宋体" w:hAnsi="宋体"/>
          <w:szCs w:val="21"/>
          <w:highlight w:val="none"/>
          <w:u w:val="single"/>
        </w:rPr>
        <w:t>每延误一天，承包人应向发包人赔偿人民币签约合同价的万分之三，不足一天按一天计算</w:t>
      </w:r>
      <w:r>
        <w:rPr>
          <w:rFonts w:hint="eastAsia" w:ascii="宋体" w:hAnsi="宋体"/>
          <w:szCs w:val="21"/>
          <w:highlight w:val="none"/>
        </w:rPr>
        <w:t>。</w:t>
      </w:r>
      <w:r>
        <w:rPr>
          <w:rFonts w:hAnsi="宋体"/>
          <w:highlight w:val="none"/>
          <w:u w:val="single"/>
        </w:rPr>
        <w:t>延误超过</w:t>
      </w:r>
      <w:r>
        <w:rPr>
          <w:highlight w:val="none"/>
          <w:u w:val="single"/>
        </w:rPr>
        <w:t>60</w:t>
      </w:r>
      <w:r>
        <w:rPr>
          <w:rFonts w:hAnsi="宋体"/>
          <w:highlight w:val="none"/>
          <w:u w:val="single"/>
        </w:rPr>
        <w:t>天以上，如发包人判断，承包人已经无法保证计划竣工工期，除支付工期违约金外，发包人有权终止合同</w:t>
      </w:r>
      <w:r>
        <w:rPr>
          <w:rFonts w:hint="eastAsia" w:hAnsi="宋体"/>
          <w:highlight w:val="none"/>
          <w:u w:val="single"/>
        </w:rPr>
        <w:t>，</w:t>
      </w:r>
      <w:r>
        <w:rPr>
          <w:rFonts w:hAnsi="宋体"/>
          <w:highlight w:val="none"/>
          <w:u w:val="single"/>
        </w:rPr>
        <w:t>并赔偿因此给发包人造成的损失。</w:t>
      </w:r>
    </w:p>
    <w:p>
      <w:pPr>
        <w:pStyle w:val="30"/>
        <w:spacing w:after="0" w:line="400" w:lineRule="exact"/>
        <w:rPr>
          <w:rFonts w:ascii="宋体" w:hAnsi="宋体"/>
          <w:szCs w:val="21"/>
          <w:highlight w:val="none"/>
        </w:rPr>
      </w:pPr>
      <w:r>
        <w:rPr>
          <w:rFonts w:hint="eastAsia" w:ascii="宋体" w:hAnsi="宋体"/>
          <w:szCs w:val="21"/>
          <w:highlight w:val="none"/>
        </w:rPr>
        <w:t>逾期竣工</w:t>
      </w:r>
      <w:r>
        <w:rPr>
          <w:rFonts w:ascii="宋体" w:hAnsi="宋体"/>
          <w:szCs w:val="21"/>
          <w:highlight w:val="none"/>
        </w:rPr>
        <w:t>违约</w:t>
      </w:r>
      <w:r>
        <w:rPr>
          <w:rFonts w:hint="eastAsia" w:ascii="宋体" w:hAnsi="宋体"/>
          <w:szCs w:val="21"/>
          <w:highlight w:val="none"/>
        </w:rPr>
        <w:t>金</w:t>
      </w:r>
      <w:r>
        <w:rPr>
          <w:rFonts w:ascii="宋体" w:hAnsi="宋体"/>
          <w:szCs w:val="21"/>
          <w:highlight w:val="none"/>
        </w:rPr>
        <w:t>最高限额</w:t>
      </w:r>
      <w:r>
        <w:rPr>
          <w:rFonts w:hint="eastAsia" w:ascii="宋体" w:hAnsi="宋体"/>
          <w:szCs w:val="21"/>
          <w:highlight w:val="none"/>
        </w:rPr>
        <w:t>：</w:t>
      </w:r>
      <w:r>
        <w:rPr>
          <w:rFonts w:hint="eastAsia" w:ascii="宋体" w:hAnsi="宋体"/>
          <w:szCs w:val="21"/>
          <w:highlight w:val="none"/>
          <w:u w:val="single"/>
        </w:rPr>
        <w:t xml:space="preserve">   不超过签约合同价的5% </w:t>
      </w:r>
    </w:p>
    <w:p>
      <w:pPr>
        <w:pStyle w:val="199"/>
        <w:outlineLvl w:val="0"/>
        <w:rPr>
          <w:rFonts w:ascii="黑体" w:hAnsi="宋体" w:cs="Arial"/>
          <w:highlight w:val="none"/>
        </w:rPr>
      </w:pPr>
      <w:bookmarkStart w:id="1641" w:name="_Toc10801"/>
      <w:bookmarkStart w:id="1642" w:name="_Toc342296463"/>
      <w:bookmarkStart w:id="1643" w:name="_Toc434331385"/>
      <w:bookmarkStart w:id="1644" w:name="_Toc241459704"/>
      <w:r>
        <w:rPr>
          <w:rFonts w:hint="eastAsia" w:ascii="黑体" w:hAnsi="宋体" w:cs="Arial"/>
          <w:highlight w:val="none"/>
        </w:rPr>
        <w:t>11.6</w:t>
      </w:r>
      <w:bookmarkEnd w:id="1637"/>
      <w:bookmarkStart w:id="1645" w:name="_Toc144974657"/>
      <w:r>
        <w:rPr>
          <w:rFonts w:hint="eastAsia" w:ascii="黑体" w:hAnsi="宋体" w:cs="Arial"/>
          <w:highlight w:val="none"/>
        </w:rPr>
        <w:t xml:space="preserve"> 工期提前</w:t>
      </w:r>
      <w:bookmarkEnd w:id="1638"/>
      <w:bookmarkEnd w:id="1639"/>
      <w:bookmarkEnd w:id="1640"/>
      <w:bookmarkEnd w:id="1641"/>
      <w:bookmarkEnd w:id="1642"/>
      <w:bookmarkEnd w:id="1643"/>
      <w:bookmarkEnd w:id="1644"/>
      <w:bookmarkEnd w:id="1645"/>
    </w:p>
    <w:p>
      <w:pPr>
        <w:pStyle w:val="30"/>
        <w:spacing w:after="0" w:line="400" w:lineRule="exact"/>
        <w:rPr>
          <w:rFonts w:ascii="宋体" w:hAnsi="宋体"/>
          <w:szCs w:val="21"/>
          <w:highlight w:val="none"/>
        </w:rPr>
      </w:pPr>
      <w:bookmarkStart w:id="1646" w:name="_Toc144974658"/>
      <w:bookmarkStart w:id="1647" w:name="_Toc152042467"/>
      <w:bookmarkStart w:id="1648" w:name="_Toc152045689"/>
      <w:bookmarkStart w:id="1649" w:name="_Toc179632707"/>
      <w:r>
        <w:rPr>
          <w:rFonts w:hint="eastAsia" w:ascii="宋体" w:hAnsi="宋体"/>
          <w:szCs w:val="21"/>
          <w:highlight w:val="none"/>
        </w:rPr>
        <w:t>提前竣工的奖励办法：</w:t>
      </w:r>
      <w:r>
        <w:rPr>
          <w:rFonts w:hint="eastAsia" w:ascii="宋体" w:hAnsi="宋体"/>
          <w:szCs w:val="21"/>
          <w:highlight w:val="none"/>
          <w:u w:val="single"/>
        </w:rPr>
        <w:t xml:space="preserve">         /                     </w:t>
      </w:r>
      <w:r>
        <w:rPr>
          <w:rFonts w:hint="eastAsia" w:ascii="宋体" w:hAnsi="宋体"/>
          <w:szCs w:val="21"/>
          <w:highlight w:val="none"/>
        </w:rPr>
        <w:t>。</w:t>
      </w:r>
    </w:p>
    <w:p>
      <w:pPr>
        <w:pStyle w:val="282"/>
        <w:spacing w:before="0"/>
        <w:outlineLvl w:val="0"/>
        <w:rPr>
          <w:highlight w:val="none"/>
        </w:rPr>
      </w:pPr>
      <w:bookmarkStart w:id="1650" w:name="_Toc434331386"/>
      <w:bookmarkStart w:id="1651" w:name="_Toc241459705"/>
      <w:bookmarkStart w:id="1652" w:name="_Toc23257"/>
      <w:bookmarkStart w:id="1653" w:name="_Toc342296464"/>
      <w:bookmarkStart w:id="1654" w:name="_Toc241484601"/>
      <w:r>
        <w:rPr>
          <w:rFonts w:hint="eastAsia"/>
          <w:highlight w:val="none"/>
        </w:rPr>
        <w:t>12. 暂停施工</w:t>
      </w:r>
      <w:bookmarkEnd w:id="1646"/>
      <w:bookmarkEnd w:id="1647"/>
      <w:bookmarkEnd w:id="1648"/>
      <w:bookmarkEnd w:id="1649"/>
      <w:bookmarkEnd w:id="1650"/>
      <w:bookmarkEnd w:id="1651"/>
      <w:bookmarkEnd w:id="1652"/>
      <w:bookmarkEnd w:id="1653"/>
      <w:bookmarkEnd w:id="1654"/>
    </w:p>
    <w:p>
      <w:pPr>
        <w:pStyle w:val="199"/>
        <w:outlineLvl w:val="0"/>
        <w:rPr>
          <w:rFonts w:ascii="黑体" w:hAnsi="宋体" w:cs="Arial"/>
          <w:highlight w:val="none"/>
        </w:rPr>
      </w:pPr>
      <w:bookmarkStart w:id="1655" w:name="_Toc179632708"/>
      <w:bookmarkStart w:id="1656" w:name="_Toc241459706"/>
      <w:bookmarkStart w:id="1657" w:name="_Toc434331387"/>
      <w:bookmarkStart w:id="1658" w:name="_Toc342296465"/>
      <w:bookmarkStart w:id="1659" w:name="_Toc152045690"/>
      <w:bookmarkStart w:id="1660" w:name="_Toc152042468"/>
      <w:bookmarkStart w:id="1661" w:name="_Toc1398"/>
      <w:bookmarkStart w:id="1662" w:name="_Toc144974659"/>
      <w:r>
        <w:rPr>
          <w:rFonts w:hint="eastAsia" w:ascii="黑体" w:hAnsi="宋体" w:cs="Arial"/>
          <w:highlight w:val="none"/>
        </w:rPr>
        <w:t>12.1 承包人暂停施工的责任</w:t>
      </w:r>
      <w:bookmarkEnd w:id="1655"/>
      <w:bookmarkEnd w:id="1656"/>
      <w:bookmarkEnd w:id="1657"/>
      <w:bookmarkEnd w:id="1658"/>
      <w:bookmarkEnd w:id="1659"/>
      <w:bookmarkEnd w:id="1660"/>
      <w:bookmarkEnd w:id="1661"/>
      <w:bookmarkEnd w:id="1662"/>
    </w:p>
    <w:p>
      <w:pPr>
        <w:pStyle w:val="30"/>
        <w:spacing w:after="0" w:line="400" w:lineRule="exact"/>
        <w:rPr>
          <w:rFonts w:ascii="宋体" w:hAnsi="宋体"/>
          <w:highlight w:val="none"/>
          <w:u w:val="single"/>
        </w:rPr>
      </w:pPr>
      <w:r>
        <w:rPr>
          <w:rFonts w:hint="eastAsia" w:ascii="宋体" w:hAnsi="宋体"/>
          <w:szCs w:val="21"/>
          <w:highlight w:val="none"/>
        </w:rPr>
        <w:t>（5）承包人承担暂停施工责任的其他情形：</w:t>
      </w:r>
      <w:r>
        <w:rPr>
          <w:rFonts w:hAnsi="宋体"/>
          <w:kern w:val="0"/>
          <w:szCs w:val="21"/>
          <w:highlight w:val="none"/>
          <w:u w:val="single"/>
        </w:rPr>
        <w:t>包括但不限于天气、气温、扰民、民扰、环境保护、社会</w:t>
      </w:r>
      <w:r>
        <w:rPr>
          <w:rFonts w:hint="eastAsia" w:hAnsi="宋体"/>
          <w:kern w:val="0"/>
          <w:szCs w:val="21"/>
          <w:highlight w:val="none"/>
          <w:u w:val="single"/>
        </w:rPr>
        <w:t>活动</w:t>
      </w:r>
      <w:r>
        <w:rPr>
          <w:rFonts w:hAnsi="宋体"/>
          <w:kern w:val="0"/>
          <w:szCs w:val="21"/>
          <w:highlight w:val="none"/>
          <w:u w:val="single"/>
        </w:rPr>
        <w:t>、外交、政府、视察等因素引起的暂停施工</w:t>
      </w:r>
      <w:r>
        <w:rPr>
          <w:rFonts w:hint="eastAsia" w:hAnsi="宋体"/>
          <w:kern w:val="0"/>
          <w:szCs w:val="21"/>
          <w:highlight w:val="none"/>
          <w:u w:val="single"/>
        </w:rPr>
        <w:t>。</w:t>
      </w:r>
    </w:p>
    <w:p>
      <w:pPr>
        <w:pStyle w:val="199"/>
        <w:outlineLvl w:val="0"/>
        <w:rPr>
          <w:rFonts w:ascii="黑体" w:hAnsi="宋体" w:cs="Arial"/>
          <w:highlight w:val="none"/>
        </w:rPr>
      </w:pPr>
      <w:bookmarkStart w:id="1663" w:name="_Toc342296466"/>
      <w:bookmarkStart w:id="1664" w:name="_Toc11535"/>
      <w:bookmarkStart w:id="1665" w:name="_Toc241459707"/>
      <w:bookmarkStart w:id="1666" w:name="_Toc434331388"/>
      <w:r>
        <w:rPr>
          <w:rFonts w:hint="eastAsia" w:ascii="黑体" w:hAnsi="宋体" w:cs="Arial"/>
          <w:highlight w:val="none"/>
        </w:rPr>
        <w:t>12.4 暂停施工后的复工</w:t>
      </w:r>
      <w:bookmarkEnd w:id="1663"/>
      <w:bookmarkEnd w:id="1664"/>
      <w:bookmarkEnd w:id="1665"/>
      <w:bookmarkEnd w:id="1666"/>
    </w:p>
    <w:p>
      <w:pPr>
        <w:spacing w:line="400" w:lineRule="exact"/>
        <w:ind w:firstLine="420" w:firstLineChars="200"/>
        <w:rPr>
          <w:szCs w:val="21"/>
          <w:highlight w:val="none"/>
        </w:rPr>
      </w:pPr>
      <w:r>
        <w:rPr>
          <w:rFonts w:cs="Arial"/>
          <w:highlight w:val="none"/>
        </w:rPr>
        <w:t>12.</w:t>
      </w:r>
      <w:r>
        <w:rPr>
          <w:rFonts w:hint="eastAsia" w:cs="Arial"/>
          <w:highlight w:val="none"/>
        </w:rPr>
        <w:t xml:space="preserve">4.3 </w:t>
      </w:r>
      <w:r>
        <w:rPr>
          <w:rFonts w:hint="eastAsia"/>
          <w:szCs w:val="21"/>
          <w:highlight w:val="none"/>
        </w:rPr>
        <w:t>根据通用合同条款第12.4.1款的约定，监理人发出复工通知后，监理人应和承包人一起对受到暂停施工影响的工程、材料和工程设备进行检查。承包人负责修复在暂停施工期间发生在工程、材料和工程设备上的任何损蚀、缺陷或损失，修复费用由承担暂停施工责任的责任人承担。</w:t>
      </w:r>
    </w:p>
    <w:p>
      <w:pPr>
        <w:spacing w:line="400" w:lineRule="exact"/>
        <w:ind w:firstLine="420" w:firstLineChars="200"/>
        <w:rPr>
          <w:highlight w:val="none"/>
        </w:rPr>
      </w:pPr>
      <w:r>
        <w:rPr>
          <w:rFonts w:cs="Arial"/>
          <w:highlight w:val="none"/>
        </w:rPr>
        <w:t>12.</w:t>
      </w:r>
      <w:r>
        <w:rPr>
          <w:rFonts w:hint="eastAsia" w:cs="Arial"/>
          <w:highlight w:val="none"/>
        </w:rPr>
        <w:t xml:space="preserve">4.4 </w:t>
      </w:r>
      <w:r>
        <w:rPr>
          <w:rFonts w:hint="eastAsia"/>
          <w:highlight w:val="none"/>
        </w:rPr>
        <w:t>暂停施工持续56天以上，按合同约定由承包人提供的材料和工程设备，由于暂停施工原因导致承包人在暂停施工前已经订购但被暂停运至施工现场的，发包人应按照承包人订购合同</w:t>
      </w:r>
      <w:bookmarkStart w:id="1667" w:name="_Toc144974664"/>
      <w:bookmarkStart w:id="1668" w:name="_Toc241459708"/>
      <w:bookmarkStart w:id="1669" w:name="_Toc152042473"/>
      <w:bookmarkStart w:id="1670" w:name="_Toc179632713"/>
      <w:bookmarkStart w:id="1671" w:name="_Toc152045695"/>
      <w:r>
        <w:rPr>
          <w:rFonts w:hint="eastAsia"/>
          <w:highlight w:val="none"/>
        </w:rPr>
        <w:t>的约定支付相应的订购款项，但由于承包人原因引起的停工，发包人不承担任何支付责任和违约责任。</w:t>
      </w:r>
    </w:p>
    <w:p>
      <w:pPr>
        <w:pStyle w:val="282"/>
        <w:spacing w:before="0"/>
        <w:outlineLvl w:val="0"/>
        <w:rPr>
          <w:highlight w:val="none"/>
        </w:rPr>
      </w:pPr>
      <w:bookmarkStart w:id="1672" w:name="_Toc434331389"/>
      <w:bookmarkStart w:id="1673" w:name="_Toc342296467"/>
      <w:bookmarkStart w:id="1674" w:name="_Toc26727"/>
      <w:r>
        <w:rPr>
          <w:rFonts w:hint="eastAsia"/>
          <w:highlight w:val="none"/>
        </w:rPr>
        <w:t>13. 工程质量</w:t>
      </w:r>
      <w:bookmarkEnd w:id="1667"/>
      <w:bookmarkEnd w:id="1668"/>
      <w:bookmarkEnd w:id="1669"/>
      <w:bookmarkEnd w:id="1670"/>
      <w:bookmarkEnd w:id="1671"/>
      <w:bookmarkEnd w:id="1672"/>
      <w:bookmarkEnd w:id="1673"/>
      <w:bookmarkEnd w:id="1674"/>
      <w:bookmarkStart w:id="1675" w:name="_Toc152045697"/>
      <w:bookmarkStart w:id="1676" w:name="_Toc179632715"/>
      <w:bookmarkStart w:id="1677" w:name="_Toc152042475"/>
      <w:bookmarkStart w:id="1678" w:name="_Toc144974666"/>
    </w:p>
    <w:p>
      <w:pPr>
        <w:pStyle w:val="199"/>
        <w:outlineLvl w:val="0"/>
        <w:rPr>
          <w:rFonts w:ascii="黑体" w:hAnsi="宋体" w:cs="Arial"/>
          <w:highlight w:val="none"/>
        </w:rPr>
      </w:pPr>
      <w:bookmarkStart w:id="1679" w:name="_Toc342296468"/>
      <w:bookmarkStart w:id="1680" w:name="_Toc26279"/>
      <w:bookmarkStart w:id="1681" w:name="_Toc241459709"/>
      <w:bookmarkStart w:id="1682" w:name="_Toc434331390"/>
      <w:r>
        <w:rPr>
          <w:rFonts w:hint="eastAsia" w:ascii="黑体" w:hAnsi="宋体" w:cs="Arial"/>
          <w:highlight w:val="none"/>
        </w:rPr>
        <w:t>13.2 承包人的质量管理</w:t>
      </w:r>
      <w:bookmarkEnd w:id="1675"/>
      <w:bookmarkEnd w:id="1676"/>
      <w:bookmarkEnd w:id="1677"/>
      <w:bookmarkEnd w:id="1678"/>
      <w:bookmarkEnd w:id="1679"/>
      <w:bookmarkEnd w:id="1680"/>
      <w:bookmarkEnd w:id="1681"/>
      <w:bookmarkEnd w:id="1682"/>
    </w:p>
    <w:p>
      <w:pPr>
        <w:spacing w:line="400" w:lineRule="exact"/>
        <w:ind w:firstLine="420" w:firstLineChars="200"/>
        <w:rPr>
          <w:rFonts w:cs="Arial"/>
          <w:highlight w:val="none"/>
        </w:rPr>
      </w:pPr>
      <w:bookmarkStart w:id="1683" w:name="_Toc152045698"/>
      <w:bookmarkStart w:id="1684" w:name="_Toc179632716"/>
      <w:bookmarkStart w:id="1685" w:name="_Toc144974667"/>
      <w:bookmarkStart w:id="1686" w:name="_Toc152042476"/>
      <w:r>
        <w:rPr>
          <w:szCs w:val="21"/>
          <w:highlight w:val="none"/>
        </w:rPr>
        <w:t>1</w:t>
      </w:r>
      <w:r>
        <w:rPr>
          <w:rFonts w:hint="eastAsia"/>
          <w:szCs w:val="21"/>
          <w:highlight w:val="none"/>
        </w:rPr>
        <w:t>3</w:t>
      </w:r>
      <w:r>
        <w:rPr>
          <w:szCs w:val="21"/>
          <w:highlight w:val="none"/>
        </w:rPr>
        <w:t>.</w:t>
      </w:r>
      <w:r>
        <w:rPr>
          <w:rFonts w:hint="eastAsia"/>
          <w:szCs w:val="21"/>
          <w:highlight w:val="none"/>
        </w:rPr>
        <w:t>2</w:t>
      </w:r>
      <w:r>
        <w:rPr>
          <w:szCs w:val="21"/>
          <w:highlight w:val="none"/>
        </w:rPr>
        <w:t>.</w:t>
      </w:r>
      <w:r>
        <w:rPr>
          <w:rFonts w:hint="eastAsia"/>
          <w:szCs w:val="21"/>
          <w:highlight w:val="none"/>
        </w:rPr>
        <w:t>1承包人向监理人提交工程质量保证措施文件的期限：</w:t>
      </w:r>
      <w:r>
        <w:rPr>
          <w:rFonts w:hint="eastAsia"/>
          <w:szCs w:val="21"/>
          <w:highlight w:val="none"/>
          <w:u w:val="single"/>
        </w:rPr>
        <w:t xml:space="preserve">   签订合同后7日内 </w:t>
      </w:r>
    </w:p>
    <w:p>
      <w:pPr>
        <w:spacing w:line="400" w:lineRule="exact"/>
        <w:ind w:firstLine="420" w:firstLineChars="200"/>
        <w:rPr>
          <w:szCs w:val="21"/>
          <w:highlight w:val="none"/>
        </w:rPr>
      </w:pPr>
      <w:r>
        <w:rPr>
          <w:rFonts w:hint="eastAsia"/>
          <w:szCs w:val="21"/>
          <w:highlight w:val="none"/>
        </w:rPr>
        <w:t>监理人审批工程质量保证措施文件的期限：</w:t>
      </w:r>
      <w:r>
        <w:rPr>
          <w:rFonts w:hint="eastAsia"/>
          <w:szCs w:val="21"/>
          <w:highlight w:val="none"/>
          <w:u w:val="single"/>
        </w:rPr>
        <w:t xml:space="preserve">     7天              </w:t>
      </w:r>
      <w:r>
        <w:rPr>
          <w:rFonts w:hint="eastAsia"/>
          <w:szCs w:val="21"/>
          <w:highlight w:val="none"/>
        </w:rPr>
        <w:t>。</w:t>
      </w:r>
    </w:p>
    <w:p>
      <w:pPr>
        <w:pStyle w:val="199"/>
        <w:outlineLvl w:val="0"/>
        <w:rPr>
          <w:rFonts w:ascii="黑体" w:hAnsi="宋体" w:cs="Arial"/>
          <w:highlight w:val="none"/>
        </w:rPr>
      </w:pPr>
      <w:bookmarkStart w:id="1687" w:name="_Toc241459710"/>
      <w:bookmarkStart w:id="1688" w:name="_Toc434331391"/>
      <w:bookmarkStart w:id="1689" w:name="_Toc18168"/>
      <w:bookmarkStart w:id="1690" w:name="_Toc342296469"/>
      <w:r>
        <w:rPr>
          <w:rFonts w:hint="eastAsia" w:ascii="黑体" w:hAnsi="宋体" w:cs="Arial"/>
          <w:highlight w:val="none"/>
        </w:rPr>
        <w:t>13.3 承包人的质量检查</w:t>
      </w:r>
      <w:bookmarkEnd w:id="1683"/>
      <w:bookmarkEnd w:id="1684"/>
      <w:bookmarkEnd w:id="1685"/>
      <w:bookmarkEnd w:id="1686"/>
      <w:bookmarkEnd w:id="1687"/>
      <w:bookmarkEnd w:id="1688"/>
      <w:bookmarkEnd w:id="1689"/>
      <w:bookmarkEnd w:id="1690"/>
    </w:p>
    <w:p>
      <w:pPr>
        <w:spacing w:line="400" w:lineRule="exact"/>
        <w:ind w:firstLine="420" w:firstLineChars="200"/>
        <w:rPr>
          <w:rFonts w:cs="Arial"/>
          <w:highlight w:val="none"/>
        </w:rPr>
      </w:pPr>
      <w:bookmarkStart w:id="1691" w:name="_Toc152045699"/>
      <w:bookmarkStart w:id="1692" w:name="_Toc179632717"/>
      <w:bookmarkStart w:id="1693" w:name="_Toc144974668"/>
      <w:bookmarkStart w:id="1694" w:name="_Toc152042477"/>
      <w:r>
        <w:rPr>
          <w:rFonts w:hint="eastAsia"/>
          <w:szCs w:val="21"/>
          <w:highlight w:val="none"/>
        </w:rPr>
        <w:t>承包人向监理人报送工程质量报表的期限：</w:t>
      </w:r>
      <w:r>
        <w:rPr>
          <w:rFonts w:hint="eastAsia"/>
          <w:szCs w:val="21"/>
          <w:highlight w:val="none"/>
          <w:u w:val="single"/>
        </w:rPr>
        <w:t xml:space="preserve">按建设工程监理规范GB/T50319-2013要求  </w:t>
      </w:r>
      <w:r>
        <w:rPr>
          <w:szCs w:val="21"/>
          <w:highlight w:val="none"/>
        </w:rPr>
        <w:t>。</w:t>
      </w:r>
    </w:p>
    <w:bookmarkEnd w:id="1691"/>
    <w:bookmarkEnd w:id="1692"/>
    <w:bookmarkEnd w:id="1693"/>
    <w:bookmarkEnd w:id="1694"/>
    <w:p>
      <w:pPr>
        <w:spacing w:line="400" w:lineRule="exact"/>
        <w:ind w:firstLine="420" w:firstLineChars="200"/>
        <w:rPr>
          <w:szCs w:val="21"/>
          <w:highlight w:val="none"/>
        </w:rPr>
      </w:pPr>
      <w:bookmarkStart w:id="1695" w:name="_Toc152042478"/>
      <w:bookmarkStart w:id="1696" w:name="_Toc152045700"/>
      <w:bookmarkStart w:id="1697" w:name="_Toc144974669"/>
      <w:bookmarkStart w:id="1698" w:name="_Toc179632718"/>
      <w:r>
        <w:rPr>
          <w:rFonts w:hint="eastAsia"/>
          <w:szCs w:val="21"/>
          <w:highlight w:val="none"/>
        </w:rPr>
        <w:t>承包人向监理人报送工程质量报表的要求：</w:t>
      </w:r>
      <w:r>
        <w:rPr>
          <w:rFonts w:hint="eastAsia"/>
          <w:szCs w:val="21"/>
          <w:highlight w:val="none"/>
          <w:u w:val="single"/>
        </w:rPr>
        <w:t xml:space="preserve"> 按建设工程监理规范GB/T50319-2013要求的全部自检资料   </w:t>
      </w:r>
      <w:r>
        <w:rPr>
          <w:szCs w:val="21"/>
          <w:highlight w:val="none"/>
        </w:rPr>
        <w:t>。</w:t>
      </w:r>
    </w:p>
    <w:p>
      <w:pPr>
        <w:spacing w:line="400" w:lineRule="exact"/>
        <w:ind w:firstLine="420" w:firstLineChars="200"/>
        <w:rPr>
          <w:szCs w:val="21"/>
          <w:highlight w:val="none"/>
        </w:rPr>
      </w:pPr>
      <w:r>
        <w:rPr>
          <w:rFonts w:hint="eastAsia"/>
          <w:szCs w:val="21"/>
          <w:highlight w:val="none"/>
        </w:rPr>
        <w:t>监理人审查工程质量报表的期限：</w:t>
      </w:r>
      <w:r>
        <w:rPr>
          <w:rFonts w:hint="eastAsia"/>
          <w:szCs w:val="21"/>
          <w:highlight w:val="none"/>
          <w:u w:val="single"/>
        </w:rPr>
        <w:t xml:space="preserve">     7天       </w:t>
      </w:r>
      <w:r>
        <w:rPr>
          <w:szCs w:val="21"/>
          <w:highlight w:val="none"/>
        </w:rPr>
        <w:t>。</w:t>
      </w:r>
    </w:p>
    <w:p>
      <w:pPr>
        <w:pStyle w:val="199"/>
        <w:outlineLvl w:val="0"/>
        <w:rPr>
          <w:rFonts w:ascii="黑体" w:hAnsi="宋体" w:cs="Arial"/>
          <w:highlight w:val="none"/>
        </w:rPr>
      </w:pPr>
      <w:bookmarkStart w:id="1699" w:name="_Toc4354"/>
      <w:bookmarkStart w:id="1700" w:name="_Toc342296470"/>
      <w:bookmarkStart w:id="1701" w:name="_Toc434331392"/>
      <w:bookmarkStart w:id="1702" w:name="_Toc241459711"/>
      <w:r>
        <w:rPr>
          <w:rFonts w:hint="eastAsia" w:ascii="黑体" w:hAnsi="宋体" w:cs="Arial"/>
          <w:highlight w:val="none"/>
        </w:rPr>
        <w:t>13.4 监理人的质量检查</w:t>
      </w:r>
      <w:bookmarkEnd w:id="1699"/>
      <w:bookmarkEnd w:id="1700"/>
      <w:bookmarkEnd w:id="1701"/>
      <w:bookmarkEnd w:id="1702"/>
    </w:p>
    <w:p>
      <w:pPr>
        <w:spacing w:line="400" w:lineRule="exact"/>
        <w:ind w:firstLine="420" w:firstLineChars="200"/>
        <w:rPr>
          <w:szCs w:val="21"/>
          <w:highlight w:val="none"/>
        </w:rPr>
      </w:pPr>
      <w:r>
        <w:rPr>
          <w:rFonts w:hint="eastAsia"/>
          <w:szCs w:val="21"/>
          <w:highlight w:val="none"/>
        </w:rPr>
        <w:t>承包人应当为监理人的检查和检验提供方便，监理人可以进行察看和查阅施工原始记录的其他地方包括：</w:t>
      </w:r>
      <w:r>
        <w:rPr>
          <w:szCs w:val="21"/>
          <w:highlight w:val="none"/>
          <w:u w:val="single"/>
        </w:rPr>
        <w:t>承包人安排在工厂加工的材料、设备和构配件、场区内的加工车间、供应砼的搅拌站等。</w:t>
      </w:r>
    </w:p>
    <w:p>
      <w:pPr>
        <w:pStyle w:val="199"/>
        <w:outlineLvl w:val="0"/>
        <w:rPr>
          <w:rFonts w:ascii="黑体" w:hAnsi="宋体" w:cs="Arial"/>
          <w:highlight w:val="none"/>
        </w:rPr>
      </w:pPr>
      <w:bookmarkStart w:id="1703" w:name="_Toc241459712"/>
      <w:bookmarkStart w:id="1704" w:name="_Toc15714"/>
      <w:bookmarkStart w:id="1705" w:name="_Toc342296471"/>
      <w:bookmarkStart w:id="1706" w:name="_Toc434331393"/>
      <w:r>
        <w:rPr>
          <w:rFonts w:hint="eastAsia" w:ascii="黑体" w:hAnsi="宋体" w:cs="Arial"/>
          <w:highlight w:val="none"/>
        </w:rPr>
        <w:t>13.5 工程隐蔽部位覆盖前的检查</w:t>
      </w:r>
      <w:bookmarkEnd w:id="1695"/>
      <w:bookmarkEnd w:id="1696"/>
      <w:bookmarkEnd w:id="1697"/>
      <w:bookmarkEnd w:id="1698"/>
      <w:bookmarkEnd w:id="1703"/>
      <w:bookmarkEnd w:id="1704"/>
      <w:bookmarkEnd w:id="1705"/>
      <w:bookmarkEnd w:id="1706"/>
    </w:p>
    <w:p>
      <w:pPr>
        <w:spacing w:line="400" w:lineRule="exact"/>
        <w:ind w:firstLine="420" w:firstLineChars="200"/>
        <w:rPr>
          <w:rFonts w:cs="Arial"/>
          <w:highlight w:val="none"/>
        </w:rPr>
      </w:pPr>
      <w:r>
        <w:rPr>
          <w:szCs w:val="21"/>
          <w:highlight w:val="none"/>
        </w:rPr>
        <w:t>1</w:t>
      </w:r>
      <w:r>
        <w:rPr>
          <w:rFonts w:hint="eastAsia"/>
          <w:szCs w:val="21"/>
          <w:highlight w:val="none"/>
        </w:rPr>
        <w:t>3</w:t>
      </w:r>
      <w:r>
        <w:rPr>
          <w:szCs w:val="21"/>
          <w:highlight w:val="none"/>
        </w:rPr>
        <w:t>.</w:t>
      </w:r>
      <w:r>
        <w:rPr>
          <w:rFonts w:hint="eastAsia"/>
          <w:szCs w:val="21"/>
          <w:highlight w:val="none"/>
        </w:rPr>
        <w:t>5</w:t>
      </w:r>
      <w:r>
        <w:rPr>
          <w:szCs w:val="21"/>
          <w:highlight w:val="none"/>
        </w:rPr>
        <w:t>.</w:t>
      </w:r>
      <w:r>
        <w:rPr>
          <w:rFonts w:hint="eastAsia"/>
          <w:szCs w:val="21"/>
          <w:highlight w:val="none"/>
        </w:rPr>
        <w:t>1</w:t>
      </w:r>
      <w:r>
        <w:rPr>
          <w:szCs w:val="21"/>
          <w:highlight w:val="none"/>
        </w:rPr>
        <w:t xml:space="preserve"> </w:t>
      </w:r>
      <w:r>
        <w:rPr>
          <w:rFonts w:hint="eastAsia"/>
          <w:szCs w:val="21"/>
          <w:highlight w:val="none"/>
        </w:rPr>
        <w:t>监理人对工程隐蔽部位进行检查的期限：</w:t>
      </w:r>
      <w:r>
        <w:rPr>
          <w:rFonts w:hint="eastAsia"/>
          <w:szCs w:val="21"/>
          <w:highlight w:val="none"/>
          <w:u w:val="single"/>
        </w:rPr>
        <w:t>收到承包人的检查通知后12小时内</w:t>
      </w:r>
      <w:r>
        <w:rPr>
          <w:rFonts w:hint="eastAsia"/>
          <w:szCs w:val="21"/>
          <w:highlight w:val="none"/>
        </w:rPr>
        <w:t>。</w:t>
      </w:r>
    </w:p>
    <w:p>
      <w:pPr>
        <w:pStyle w:val="199"/>
        <w:outlineLvl w:val="0"/>
        <w:rPr>
          <w:rFonts w:ascii="黑体" w:hAnsi="宋体" w:cs="Arial"/>
          <w:highlight w:val="none"/>
        </w:rPr>
      </w:pPr>
      <w:bookmarkStart w:id="1707" w:name="_Toc342296472"/>
      <w:bookmarkStart w:id="1708" w:name="_Toc241459713"/>
      <w:bookmarkStart w:id="1709" w:name="_Toc30334"/>
      <w:bookmarkStart w:id="1710" w:name="_Toc434331394"/>
      <w:bookmarkStart w:id="1711" w:name="_Toc144974675"/>
      <w:bookmarkStart w:id="1712" w:name="_Toc152045706"/>
      <w:bookmarkStart w:id="1713" w:name="_Toc152042484"/>
      <w:bookmarkStart w:id="1714" w:name="_Toc179632724"/>
      <w:r>
        <w:rPr>
          <w:rFonts w:hint="eastAsia" w:ascii="黑体" w:hAnsi="宋体" w:cs="Arial"/>
          <w:highlight w:val="none"/>
        </w:rPr>
        <w:t>13.7 质量争议</w:t>
      </w:r>
      <w:bookmarkEnd w:id="1707"/>
      <w:bookmarkEnd w:id="1708"/>
      <w:bookmarkEnd w:id="1709"/>
      <w:bookmarkEnd w:id="1710"/>
    </w:p>
    <w:p>
      <w:pPr>
        <w:spacing w:line="400" w:lineRule="exact"/>
        <w:ind w:firstLine="420" w:firstLineChars="200"/>
        <w:rPr>
          <w:sz w:val="28"/>
          <w:szCs w:val="20"/>
          <w:highlight w:val="none"/>
        </w:rPr>
      </w:pPr>
      <w:r>
        <w:rPr>
          <w:rFonts w:hint="eastAsia"/>
          <w:szCs w:val="21"/>
          <w:highlight w:val="none"/>
        </w:rPr>
        <w:t>发包人和承包人对工程质量有争议的，除可按合同条款第24条办理外，监理人可提请合同双方委托有相应资质的工程质量检测机构进行鉴定，所需费用及因此造成的损失，由责任人承担，双方均有责任，由双方根据其责任分别承担。经检测，质量确有缺陷的，已竣工验收或已竣工未验收但实际投入使用的工程，其处理按工程保修书的约定执行；已竣工未验收且未实际投入使用的工程以及停工、停建的工程，根据检测结果确定解决方案，或按工程质量监督机构的处理决定执行。</w:t>
      </w:r>
    </w:p>
    <w:p>
      <w:pPr>
        <w:pStyle w:val="282"/>
        <w:spacing w:before="0"/>
        <w:outlineLvl w:val="0"/>
        <w:rPr>
          <w:highlight w:val="none"/>
        </w:rPr>
      </w:pPr>
      <w:bookmarkStart w:id="1715" w:name="_Toc342296473"/>
      <w:bookmarkStart w:id="1716" w:name="_Toc241459714"/>
      <w:bookmarkStart w:id="1717" w:name="_Toc14177"/>
      <w:bookmarkStart w:id="1718" w:name="_Toc434331395"/>
      <w:r>
        <w:rPr>
          <w:rFonts w:hint="eastAsia"/>
          <w:highlight w:val="none"/>
        </w:rPr>
        <w:t>15. 变更</w:t>
      </w:r>
      <w:bookmarkEnd w:id="1711"/>
      <w:bookmarkEnd w:id="1712"/>
      <w:bookmarkEnd w:id="1713"/>
      <w:bookmarkEnd w:id="1714"/>
      <w:bookmarkEnd w:id="1715"/>
      <w:bookmarkEnd w:id="1716"/>
      <w:bookmarkEnd w:id="1717"/>
      <w:bookmarkEnd w:id="1718"/>
    </w:p>
    <w:p>
      <w:pPr>
        <w:pStyle w:val="199"/>
        <w:outlineLvl w:val="0"/>
        <w:rPr>
          <w:rFonts w:ascii="黑体" w:hAnsi="宋体" w:cs="Arial"/>
          <w:highlight w:val="none"/>
        </w:rPr>
      </w:pPr>
      <w:bookmarkStart w:id="1719" w:name="_Toc31550"/>
      <w:bookmarkStart w:id="1720" w:name="_Toc152045707"/>
      <w:bookmarkStart w:id="1721" w:name="_Toc152042485"/>
      <w:bookmarkStart w:id="1722" w:name="_Toc342296474"/>
      <w:bookmarkStart w:id="1723" w:name="_Toc144974676"/>
      <w:bookmarkStart w:id="1724" w:name="_Toc241459715"/>
      <w:bookmarkStart w:id="1725" w:name="_Toc434331396"/>
      <w:bookmarkStart w:id="1726" w:name="_Toc179632725"/>
      <w:r>
        <w:rPr>
          <w:rFonts w:hint="eastAsia" w:ascii="黑体" w:hAnsi="宋体" w:cs="Arial"/>
          <w:highlight w:val="none"/>
        </w:rPr>
        <w:t>15.1 变更的范围和内容</w:t>
      </w:r>
      <w:bookmarkEnd w:id="1719"/>
      <w:bookmarkEnd w:id="1720"/>
      <w:bookmarkEnd w:id="1721"/>
      <w:bookmarkEnd w:id="1722"/>
      <w:bookmarkEnd w:id="1723"/>
      <w:bookmarkEnd w:id="1724"/>
      <w:bookmarkEnd w:id="1725"/>
      <w:bookmarkEnd w:id="1726"/>
    </w:p>
    <w:p>
      <w:pPr>
        <w:spacing w:line="400" w:lineRule="exact"/>
        <w:ind w:firstLine="420" w:firstLineChars="200"/>
        <w:rPr>
          <w:szCs w:val="21"/>
          <w:highlight w:val="none"/>
          <w:u w:val="single"/>
        </w:rPr>
      </w:pPr>
      <w:r>
        <w:rPr>
          <w:rFonts w:hint="eastAsia"/>
          <w:szCs w:val="21"/>
          <w:highlight w:val="none"/>
        </w:rPr>
        <w:t>应当进行变更的其他情形：</w:t>
      </w:r>
      <w:r>
        <w:rPr>
          <w:rFonts w:hint="eastAsia"/>
          <w:szCs w:val="21"/>
          <w:highlight w:val="none"/>
          <w:u w:val="single"/>
        </w:rPr>
        <w:t xml:space="preserve"> </w:t>
      </w:r>
      <w:r>
        <w:rPr>
          <w:rFonts w:hint="eastAsia"/>
          <w:sz w:val="32"/>
          <w:szCs w:val="32"/>
          <w:highlight w:val="none"/>
          <w:u w:val="single"/>
        </w:rPr>
        <w:t xml:space="preserve"> </w:t>
      </w:r>
      <w:r>
        <w:rPr>
          <w:rFonts w:hint="eastAsia"/>
          <w:szCs w:val="21"/>
          <w:highlight w:val="none"/>
          <w:u w:val="single"/>
        </w:rPr>
        <w:t xml:space="preserve">/ </w:t>
      </w:r>
      <w:r>
        <w:rPr>
          <w:rFonts w:hint="eastAsia"/>
          <w:sz w:val="32"/>
          <w:szCs w:val="32"/>
          <w:highlight w:val="none"/>
          <w:u w:val="single"/>
        </w:rPr>
        <w:t xml:space="preserve"> </w:t>
      </w:r>
      <w:r>
        <w:rPr>
          <w:rFonts w:hint="eastAsia"/>
          <w:szCs w:val="21"/>
          <w:highlight w:val="none"/>
        </w:rPr>
        <w:t>。</w:t>
      </w:r>
    </w:p>
    <w:p>
      <w:pPr>
        <w:pStyle w:val="199"/>
        <w:outlineLvl w:val="0"/>
        <w:rPr>
          <w:rFonts w:ascii="黑体" w:hAnsi="宋体" w:cs="Arial"/>
          <w:highlight w:val="none"/>
        </w:rPr>
      </w:pPr>
      <w:bookmarkStart w:id="1727" w:name="_Toc152042487"/>
      <w:bookmarkStart w:id="1728" w:name="_Toc144974678"/>
      <w:bookmarkStart w:id="1729" w:name="_Toc179632727"/>
      <w:bookmarkStart w:id="1730" w:name="_Toc241459716"/>
      <w:bookmarkStart w:id="1731" w:name="_Toc434331397"/>
      <w:bookmarkStart w:id="1732" w:name="_Toc152045709"/>
      <w:bookmarkStart w:id="1733" w:name="_Toc342296475"/>
      <w:bookmarkStart w:id="1734" w:name="_Toc31370"/>
      <w:r>
        <w:rPr>
          <w:rFonts w:hint="eastAsia" w:ascii="黑体" w:hAnsi="宋体" w:cs="Arial"/>
          <w:highlight w:val="none"/>
        </w:rPr>
        <w:t>15.3 变更程序</w:t>
      </w:r>
      <w:bookmarkEnd w:id="1727"/>
      <w:bookmarkEnd w:id="1728"/>
      <w:bookmarkEnd w:id="1729"/>
      <w:bookmarkEnd w:id="1730"/>
      <w:bookmarkEnd w:id="1731"/>
      <w:bookmarkEnd w:id="1732"/>
      <w:bookmarkEnd w:id="1733"/>
      <w:bookmarkEnd w:id="1734"/>
    </w:p>
    <w:p>
      <w:pPr>
        <w:spacing w:line="400" w:lineRule="exact"/>
        <w:ind w:firstLine="420" w:firstLineChars="200"/>
        <w:rPr>
          <w:rFonts w:ascii="黑体" w:eastAsia="黑体" w:cs="Arial"/>
          <w:highlight w:val="none"/>
        </w:rPr>
      </w:pPr>
      <w:r>
        <w:rPr>
          <w:rFonts w:hint="eastAsia" w:ascii="黑体" w:eastAsia="黑体" w:cs="Arial"/>
          <w:highlight w:val="none"/>
        </w:rPr>
        <w:t>15.3.2 变更估价</w:t>
      </w:r>
    </w:p>
    <w:p>
      <w:pPr>
        <w:spacing w:line="400" w:lineRule="exact"/>
        <w:ind w:firstLine="420" w:firstLineChars="200"/>
        <w:rPr>
          <w:szCs w:val="21"/>
          <w:highlight w:val="none"/>
        </w:rPr>
      </w:pPr>
      <w:r>
        <w:rPr>
          <w:rFonts w:hint="eastAsia"/>
          <w:szCs w:val="21"/>
          <w:highlight w:val="none"/>
        </w:rPr>
        <w:t>（1）承包人提交变更报价书的期限：</w:t>
      </w:r>
      <w:r>
        <w:rPr>
          <w:rFonts w:hint="eastAsia"/>
          <w:szCs w:val="21"/>
          <w:highlight w:val="none"/>
          <w:u w:val="single"/>
        </w:rPr>
        <w:t xml:space="preserve"> 承包人收到变更指示或变更意向书后14天内</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（3）监理人商定或确定变更价格的期限：</w:t>
      </w:r>
      <w:r>
        <w:rPr>
          <w:rFonts w:hint="eastAsia"/>
          <w:szCs w:val="21"/>
          <w:highlight w:val="none"/>
          <w:u w:val="single"/>
        </w:rPr>
        <w:t xml:space="preserve">        /                </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（4）收到变更指示后，如承包人未在规定的期限内提交变更报价书的，监理人可自行决定是否调整合同价款以及如果监理人决定调整合同价款时，相应调整的具体金额。</w:t>
      </w:r>
    </w:p>
    <w:p>
      <w:pPr>
        <w:pStyle w:val="199"/>
        <w:outlineLvl w:val="0"/>
        <w:rPr>
          <w:rFonts w:ascii="黑体" w:hAnsi="宋体" w:cs="Arial"/>
          <w:highlight w:val="none"/>
        </w:rPr>
      </w:pPr>
      <w:bookmarkStart w:id="1735" w:name="_Toc152042488"/>
      <w:bookmarkStart w:id="1736" w:name="_Toc16562"/>
      <w:bookmarkStart w:id="1737" w:name="_Toc179632728"/>
      <w:bookmarkStart w:id="1738" w:name="_Toc434331398"/>
      <w:bookmarkStart w:id="1739" w:name="_Toc144974679"/>
      <w:bookmarkStart w:id="1740" w:name="_Toc241459717"/>
      <w:bookmarkStart w:id="1741" w:name="_Toc342296476"/>
      <w:bookmarkStart w:id="1742" w:name="_Toc152045710"/>
      <w:r>
        <w:rPr>
          <w:rFonts w:hint="eastAsia" w:ascii="黑体" w:hAnsi="宋体" w:cs="Arial"/>
          <w:highlight w:val="none"/>
        </w:rPr>
        <w:t>15.4 变更的估价原则</w:t>
      </w:r>
      <w:bookmarkEnd w:id="1735"/>
      <w:bookmarkEnd w:id="1736"/>
      <w:bookmarkEnd w:id="1737"/>
      <w:bookmarkEnd w:id="1738"/>
      <w:bookmarkEnd w:id="1739"/>
      <w:bookmarkEnd w:id="1740"/>
      <w:bookmarkEnd w:id="1741"/>
      <w:bookmarkEnd w:id="1742"/>
    </w:p>
    <w:p>
      <w:pPr>
        <w:spacing w:line="400" w:lineRule="exact"/>
        <w:ind w:firstLine="420" w:firstLineChars="200"/>
        <w:rPr>
          <w:szCs w:val="21"/>
          <w:highlight w:val="none"/>
        </w:rPr>
      </w:pPr>
      <w:r>
        <w:rPr>
          <w:rFonts w:hint="eastAsia"/>
          <w:szCs w:val="21"/>
          <w:highlight w:val="none"/>
        </w:rPr>
        <w:t xml:space="preserve">15.4.5 合同协议书约定采用单价合同形式时，因非承包人原因引起已标价工程量清单中列明的工程量发生增减，且单个子目工程量变化幅度在 </w:t>
      </w:r>
      <w:r>
        <w:rPr>
          <w:rFonts w:hint="eastAsia"/>
          <w:szCs w:val="21"/>
          <w:highlight w:val="none"/>
          <w:u w:val="single"/>
        </w:rPr>
        <w:t xml:space="preserve"> 15 </w:t>
      </w:r>
      <w:r>
        <w:rPr>
          <w:rFonts w:hint="eastAsia"/>
          <w:szCs w:val="21"/>
          <w:highlight w:val="none"/>
        </w:rPr>
        <w:t xml:space="preserve"> %以内（含）时，应执行已标价工程量清单中列明的该子目的单价；单个子目工程量变化幅度在 </w:t>
      </w:r>
      <w:r>
        <w:rPr>
          <w:rFonts w:hint="eastAsia"/>
          <w:szCs w:val="21"/>
          <w:highlight w:val="none"/>
          <w:u w:val="single"/>
        </w:rPr>
        <w:t xml:space="preserve"> 15 </w:t>
      </w:r>
      <w:r>
        <w:rPr>
          <w:rFonts w:hint="eastAsia"/>
          <w:szCs w:val="21"/>
          <w:highlight w:val="none"/>
        </w:rPr>
        <w:t xml:space="preserve"> %以外（不含），且导致分部分项工程费总额变化幅度超过 </w:t>
      </w:r>
      <w:r>
        <w:rPr>
          <w:rFonts w:hint="eastAsia"/>
          <w:szCs w:val="21"/>
          <w:highlight w:val="none"/>
          <w:u w:val="single"/>
        </w:rPr>
        <w:t xml:space="preserve">  1  </w:t>
      </w:r>
      <w:r>
        <w:rPr>
          <w:rFonts w:hint="eastAsia"/>
          <w:szCs w:val="21"/>
          <w:highlight w:val="none"/>
        </w:rPr>
        <w:t xml:space="preserve"> %时，由承包人提出并由监理人按第3.5款商定或确定新的单价并经造价咨询公司审定后，该子目按审定后的新的单价计价。</w:t>
      </w:r>
    </w:p>
    <w:p>
      <w:pPr>
        <w:spacing w:line="400" w:lineRule="exact"/>
        <w:ind w:firstLine="420" w:firstLineChars="200"/>
        <w:rPr>
          <w:b/>
          <w:sz w:val="32"/>
          <w:szCs w:val="32"/>
          <w:highlight w:val="none"/>
          <w:u w:val="single"/>
        </w:rPr>
      </w:pPr>
      <w:r>
        <w:rPr>
          <w:rFonts w:hint="eastAsia"/>
          <w:szCs w:val="21"/>
          <w:highlight w:val="none"/>
        </w:rPr>
        <w:t>15.4.6 因变更引起价格调整的其他处理方式：（1）合同中已有适用于变更工程的价格，按合同已有的价格变更合同价款；（2）合同中只有类似于变更工程的价格，可以参照类似价格变更合同价款；（3）合同中没有适用或类似于变更工程的价格，新的工程量项目的综合单价由承包人提出，经发包人确认后作为结算依据。承包人在组价过程中应遵循下述原则：</w:t>
      </w:r>
    </w:p>
    <w:p>
      <w:pPr>
        <w:spacing w:line="400" w:lineRule="exact"/>
        <w:ind w:firstLine="420" w:firstLineChars="200"/>
        <w:rPr>
          <w:szCs w:val="21"/>
          <w:highlight w:val="none"/>
          <w:u w:val="single"/>
        </w:rPr>
      </w:pPr>
      <w:bookmarkStart w:id="1743" w:name="_Toc342296477"/>
      <w:bookmarkStart w:id="1744" w:name="_Toc241459718"/>
      <w:bookmarkStart w:id="1745" w:name="_Toc152045711"/>
      <w:bookmarkStart w:id="1746" w:name="_Toc144974680"/>
      <w:bookmarkStart w:id="1747" w:name="_Toc179632729"/>
      <w:bookmarkStart w:id="1748" w:name="_Toc152042489"/>
      <w:r>
        <w:rPr>
          <w:rFonts w:hint="eastAsia"/>
          <w:szCs w:val="21"/>
          <w:highlight w:val="none"/>
          <w:u w:val="single"/>
        </w:rPr>
        <w:t>1）主要材料和设备按监理及发包人（或发包人委托的造价咨询公司）审定后的价格进行计算，人工、机械、辅材单价参照承包人投标报价书中的相应单价或投标基准期黄石市造价信息价计算。</w:t>
      </w:r>
    </w:p>
    <w:p>
      <w:pPr>
        <w:spacing w:line="360" w:lineRule="auto"/>
        <w:ind w:firstLine="420" w:firstLineChars="200"/>
        <w:rPr>
          <w:szCs w:val="21"/>
          <w:highlight w:val="none"/>
          <w:u w:val="single"/>
        </w:rPr>
      </w:pPr>
      <w:r>
        <w:rPr>
          <w:rFonts w:hint="eastAsia"/>
          <w:szCs w:val="21"/>
          <w:highlight w:val="none"/>
          <w:u w:val="single"/>
        </w:rPr>
        <w:t>2）人工工日、机械、辅材消耗量依据湖北省相关定额中的消耗量计算，以及湖北省相关计价规定执行。若无相应子目，</w:t>
      </w:r>
      <w:r>
        <w:rPr>
          <w:rFonts w:hint="eastAsia"/>
          <w:szCs w:val="21"/>
          <w:highlight w:val="none"/>
          <w:u w:val="single"/>
          <w:lang w:val="en-US" w:eastAsia="zh-CN"/>
        </w:rPr>
        <w:t>优先选用2018版《</w:t>
      </w:r>
      <w:r>
        <w:rPr>
          <w:rFonts w:hint="eastAsia"/>
          <w:szCs w:val="21"/>
          <w:highlight w:val="none"/>
          <w:u w:val="single"/>
        </w:rPr>
        <w:t>武汉城市轨道交通工程消耗量定额及全费用基价表</w:t>
      </w:r>
      <w:r>
        <w:rPr>
          <w:rFonts w:hint="eastAsia"/>
          <w:szCs w:val="21"/>
          <w:highlight w:val="none"/>
          <w:u w:val="single"/>
          <w:lang w:val="en-US" w:eastAsia="zh-CN"/>
        </w:rPr>
        <w:t>》，</w:t>
      </w:r>
      <w:r>
        <w:rPr>
          <w:rFonts w:hint="eastAsia"/>
          <w:color w:val="000000"/>
          <w:szCs w:val="21"/>
          <w:highlight w:val="none"/>
          <w:u w:val="single"/>
        </w:rPr>
        <w:t>以上定额不足部分，</w:t>
      </w:r>
      <w:r>
        <w:rPr>
          <w:rFonts w:hint="eastAsia"/>
          <w:szCs w:val="21"/>
          <w:highlight w:val="none"/>
          <w:u w:val="single"/>
          <w:lang w:val="en-US" w:eastAsia="zh-CN"/>
        </w:rPr>
        <w:t>采用</w:t>
      </w:r>
      <w:r>
        <w:rPr>
          <w:rFonts w:hint="eastAsia"/>
          <w:szCs w:val="21"/>
          <w:highlight w:val="none"/>
          <w:u w:val="single"/>
        </w:rPr>
        <w:t>2018版《湖北省市政工程消耗量定额及全费用基价表》、《湖北省房屋建筑与装饰工程消耗量定额及全费用基价表》</w:t>
      </w:r>
      <w:r>
        <w:rPr>
          <w:rFonts w:hint="eastAsia"/>
          <w:szCs w:val="21"/>
          <w:highlight w:val="none"/>
          <w:u w:val="single"/>
          <w:lang w:val="en-US" w:eastAsia="zh-CN"/>
        </w:rPr>
        <w:t>等，</w:t>
      </w:r>
      <w:r>
        <w:rPr>
          <w:rFonts w:hint="eastAsia"/>
          <w:szCs w:val="21"/>
          <w:highlight w:val="none"/>
          <w:u w:val="single"/>
        </w:rPr>
        <w:t>参考上述定额和文件协商执行。</w:t>
      </w:r>
    </w:p>
    <w:p>
      <w:pPr>
        <w:spacing w:line="400" w:lineRule="exact"/>
        <w:ind w:firstLine="420" w:firstLineChars="200"/>
        <w:rPr>
          <w:szCs w:val="21"/>
          <w:highlight w:val="none"/>
          <w:u w:val="single"/>
        </w:rPr>
      </w:pPr>
      <w:r>
        <w:rPr>
          <w:rFonts w:hint="eastAsia"/>
          <w:szCs w:val="21"/>
          <w:highlight w:val="none"/>
          <w:u w:val="single"/>
        </w:rPr>
        <w:t>3）执行承包人的投标</w:t>
      </w:r>
      <w:r>
        <w:rPr>
          <w:rFonts w:hint="eastAsia"/>
          <w:szCs w:val="21"/>
          <w:highlight w:val="none"/>
          <w:u w:val="single"/>
          <w:lang w:val="en-US" w:eastAsia="zh-CN"/>
        </w:rPr>
        <w:t>下浮</w:t>
      </w:r>
      <w:r>
        <w:rPr>
          <w:rFonts w:hint="eastAsia"/>
          <w:szCs w:val="21"/>
          <w:highlight w:val="none"/>
          <w:u w:val="single"/>
        </w:rPr>
        <w:t>率</w:t>
      </w:r>
      <w:r>
        <w:rPr>
          <w:rFonts w:hint="eastAsia"/>
          <w:szCs w:val="21"/>
          <w:highlight w:val="none"/>
          <w:u w:val="single"/>
          <w:lang w:eastAsia="zh-CN"/>
        </w:rPr>
        <w:t>，</w:t>
      </w:r>
      <w:r>
        <w:rPr>
          <w:rFonts w:hint="eastAsia"/>
          <w:szCs w:val="21"/>
          <w:highlight w:val="none"/>
          <w:u w:val="single"/>
          <w:lang w:val="en-US" w:eastAsia="zh-CN"/>
        </w:rPr>
        <w:t>投标下浮率=1-承包人投标报价/招标控制价*100%</w:t>
      </w:r>
      <w:r>
        <w:rPr>
          <w:rFonts w:hint="eastAsia"/>
          <w:szCs w:val="21"/>
          <w:highlight w:val="none"/>
          <w:u w:val="single"/>
        </w:rPr>
        <w:t>。</w:t>
      </w:r>
    </w:p>
    <w:p>
      <w:pPr>
        <w:spacing w:line="400" w:lineRule="exact"/>
        <w:ind w:firstLine="420" w:firstLineChars="200"/>
        <w:rPr>
          <w:szCs w:val="21"/>
          <w:highlight w:val="none"/>
          <w:u w:val="single"/>
        </w:rPr>
      </w:pPr>
      <w:r>
        <w:rPr>
          <w:rFonts w:hint="eastAsia"/>
          <w:szCs w:val="21"/>
          <w:highlight w:val="none"/>
          <w:u w:val="single"/>
        </w:rPr>
        <w:t>4）材料和设备价格审定原则为：投标报价中有的，执行投标报价中的相应单价；投标报价中没有的执行变更开始实施当月的黄石市市工程造价信息；信息价中没有的，承包人应在定货加工前30天提交材料设备的</w:t>
      </w:r>
      <w:r>
        <w:rPr>
          <w:szCs w:val="21"/>
          <w:highlight w:val="none"/>
          <w:u w:val="single"/>
        </w:rPr>
        <w:t>名称、数量、规格、型号、品牌、性能、价格及其他任何详细资料</w:t>
      </w:r>
      <w:r>
        <w:rPr>
          <w:rFonts w:hint="eastAsia"/>
          <w:szCs w:val="21"/>
          <w:highlight w:val="none"/>
          <w:u w:val="single"/>
        </w:rPr>
        <w:t>，报监理及发包人（或发包人委托的造价咨询公司）认价，提交详细信息后20天内应予以认价，认价可以参考同档次、同性能不同品牌的材料设备，存在价格分认价过程承包人不得影响施工进度。</w:t>
      </w:r>
    </w:p>
    <w:p>
      <w:pPr>
        <w:pStyle w:val="199"/>
        <w:outlineLvl w:val="0"/>
        <w:rPr>
          <w:rFonts w:ascii="黑体" w:hAnsi="宋体" w:cs="Arial"/>
          <w:highlight w:val="none"/>
        </w:rPr>
      </w:pPr>
      <w:bookmarkStart w:id="1749" w:name="_Toc4822"/>
      <w:bookmarkStart w:id="1750" w:name="_Toc434331399"/>
      <w:r>
        <w:rPr>
          <w:rFonts w:hint="eastAsia" w:ascii="黑体" w:hAnsi="宋体" w:cs="Arial"/>
          <w:highlight w:val="none"/>
        </w:rPr>
        <w:t>15.5 承包人的合理化建议</w:t>
      </w:r>
      <w:bookmarkEnd w:id="1743"/>
      <w:bookmarkEnd w:id="1744"/>
      <w:bookmarkEnd w:id="1745"/>
      <w:bookmarkEnd w:id="1746"/>
      <w:bookmarkEnd w:id="1747"/>
      <w:bookmarkEnd w:id="1748"/>
      <w:bookmarkEnd w:id="1749"/>
      <w:bookmarkEnd w:id="1750"/>
    </w:p>
    <w:p>
      <w:pPr>
        <w:spacing w:line="400" w:lineRule="exact"/>
        <w:ind w:firstLine="420" w:firstLineChars="200"/>
        <w:rPr>
          <w:szCs w:val="21"/>
          <w:highlight w:val="none"/>
        </w:rPr>
      </w:pPr>
      <w:r>
        <w:rPr>
          <w:rFonts w:hint="eastAsia"/>
          <w:szCs w:val="21"/>
          <w:highlight w:val="none"/>
        </w:rPr>
        <w:t>15.5.2对承包人提出合理化建议的奖励方法：</w:t>
      </w:r>
      <w:r>
        <w:rPr>
          <w:rFonts w:hint="eastAsia"/>
          <w:szCs w:val="21"/>
          <w:highlight w:val="none"/>
          <w:u w:val="single"/>
        </w:rPr>
        <w:t xml:space="preserve">     /      </w:t>
      </w:r>
      <w:r>
        <w:rPr>
          <w:rFonts w:hint="eastAsia"/>
          <w:szCs w:val="21"/>
          <w:highlight w:val="none"/>
        </w:rPr>
        <w:t>。</w:t>
      </w:r>
    </w:p>
    <w:p>
      <w:pPr>
        <w:pStyle w:val="199"/>
        <w:outlineLvl w:val="0"/>
        <w:rPr>
          <w:rFonts w:ascii="黑体" w:hAnsi="宋体" w:cs="Arial"/>
          <w:highlight w:val="none"/>
        </w:rPr>
      </w:pPr>
      <w:bookmarkStart w:id="1751" w:name="_Toc28023"/>
      <w:bookmarkStart w:id="1752" w:name="_Toc179632732"/>
      <w:bookmarkStart w:id="1753" w:name="_Toc342296478"/>
      <w:bookmarkStart w:id="1754" w:name="_Toc144974683"/>
      <w:bookmarkStart w:id="1755" w:name="_Toc152045714"/>
      <w:bookmarkStart w:id="1756" w:name="_Toc241459719"/>
      <w:bookmarkStart w:id="1757" w:name="_Toc152042492"/>
      <w:bookmarkStart w:id="1758" w:name="_Toc434331400"/>
      <w:r>
        <w:rPr>
          <w:rFonts w:hint="eastAsia" w:ascii="黑体" w:hAnsi="宋体" w:cs="Arial"/>
          <w:highlight w:val="none"/>
        </w:rPr>
        <w:t>15.8 暂估价</w:t>
      </w:r>
      <w:bookmarkEnd w:id="1751"/>
      <w:bookmarkEnd w:id="1752"/>
      <w:bookmarkEnd w:id="1753"/>
      <w:bookmarkEnd w:id="1754"/>
      <w:bookmarkEnd w:id="1755"/>
      <w:bookmarkEnd w:id="1756"/>
      <w:bookmarkEnd w:id="1757"/>
      <w:bookmarkEnd w:id="1758"/>
    </w:p>
    <w:p>
      <w:pPr>
        <w:spacing w:line="400" w:lineRule="exact"/>
        <w:ind w:firstLine="420" w:firstLineChars="200"/>
        <w:rPr>
          <w:szCs w:val="21"/>
          <w:highlight w:val="none"/>
        </w:rPr>
      </w:pPr>
      <w:r>
        <w:rPr>
          <w:rFonts w:hint="eastAsia"/>
          <w:szCs w:val="21"/>
          <w:highlight w:val="none"/>
        </w:rPr>
        <w:t>15.8.1按合同约定应当由发包人和承包人采用招标方式选择专项供应商或专业分包人的，应当由承包人作为招标人，依法组织招标工作并接受有管辖权的建设工程招标投标行政监督部门的监督。与组织招标工作有关的费用应当被认为已经包括在承包人的签约合同价（投标总报价）中：</w:t>
      </w:r>
    </w:p>
    <w:p>
      <w:pPr>
        <w:spacing w:line="400" w:lineRule="exact"/>
        <w:ind w:firstLine="420" w:firstLineChars="200"/>
        <w:rPr>
          <w:szCs w:val="21"/>
          <w:highlight w:val="none"/>
        </w:rPr>
      </w:pPr>
      <w:r>
        <w:rPr>
          <w:rFonts w:hint="eastAsia"/>
          <w:szCs w:val="21"/>
          <w:highlight w:val="none"/>
        </w:rPr>
        <w:t>（1）在任何招标工作启动前，承包人应当提前至少</w:t>
      </w:r>
      <w:r>
        <w:rPr>
          <w:rFonts w:hint="eastAsia"/>
          <w:szCs w:val="21"/>
          <w:highlight w:val="none"/>
          <w:u w:val="single"/>
        </w:rPr>
        <w:t xml:space="preserve">  30 </w:t>
      </w:r>
      <w:r>
        <w:rPr>
          <w:rFonts w:hint="eastAsia"/>
          <w:szCs w:val="21"/>
          <w:highlight w:val="none"/>
        </w:rPr>
        <w:t>天编制招标工作计划并通过监理人报请发包人审批，招标工作计划应当包括招标工作的时间安排、拟采用的招标方式、拟采用的资格审查方法、主要招标过程文件的编制内容、对投标人的资格条件要求、评标标准和方法、评标委员会组成、是否编制招标控制价和（或）标底以及招标控制价和（或）标底编制原则，发包人应当在监理人收到承包人报送的招标工作计划后 30  天内给予批准或者提出修改意见。承包人应当严格按照经过发包人批准的招标工作计划开展招标工作。</w:t>
      </w:r>
    </w:p>
    <w:p>
      <w:pPr>
        <w:spacing w:line="400" w:lineRule="exact"/>
        <w:ind w:firstLine="420" w:firstLineChars="200"/>
        <w:rPr>
          <w:szCs w:val="21"/>
          <w:highlight w:val="none"/>
        </w:rPr>
      </w:pPr>
      <w:r>
        <w:rPr>
          <w:rFonts w:hint="eastAsia"/>
          <w:szCs w:val="21"/>
          <w:highlight w:val="none"/>
        </w:rPr>
        <w:t>（2）承包人应当在发出招标公告（或者资格预审公告或者投标邀请书）、资格预审文件和招标文件前至少</w:t>
      </w:r>
      <w:r>
        <w:rPr>
          <w:rFonts w:hint="eastAsia"/>
          <w:szCs w:val="21"/>
          <w:highlight w:val="none"/>
          <w:u w:val="single"/>
        </w:rPr>
        <w:t xml:space="preserve">   20    </w:t>
      </w:r>
      <w:r>
        <w:rPr>
          <w:rFonts w:hint="eastAsia"/>
          <w:szCs w:val="21"/>
          <w:highlight w:val="none"/>
        </w:rPr>
        <w:t>天，分别将相关文件通过监理人报请发包人审批，发包人应当在监理人收到承包人报送的相关文件后</w:t>
      </w:r>
      <w:r>
        <w:rPr>
          <w:rFonts w:hint="eastAsia"/>
          <w:szCs w:val="21"/>
          <w:highlight w:val="none"/>
          <w:u w:val="single"/>
        </w:rPr>
        <w:t xml:space="preserve">    15    </w:t>
      </w:r>
      <w:r>
        <w:rPr>
          <w:rFonts w:hint="eastAsia"/>
          <w:szCs w:val="21"/>
          <w:highlight w:val="none"/>
        </w:rPr>
        <w:t>天内给予批准或者提出修改意见，经发包人批准的相关文件，由承包人负责誊清整理并准备出开展实际招标工作所需要的份数，通过监理人报发包人核查并加盖发包人印章，发包人在相关文件上加盖印章只表明相关文件经过发包人审核批准。最终发出的文件应当分别报送一份给发包人和监理人备查。</w:t>
      </w:r>
    </w:p>
    <w:p>
      <w:pPr>
        <w:spacing w:line="400" w:lineRule="exact"/>
        <w:ind w:firstLine="420" w:firstLineChars="200"/>
        <w:rPr>
          <w:szCs w:val="21"/>
          <w:highlight w:val="none"/>
        </w:rPr>
      </w:pPr>
      <w:r>
        <w:rPr>
          <w:rFonts w:hint="eastAsia"/>
          <w:szCs w:val="21"/>
          <w:highlight w:val="none"/>
        </w:rPr>
        <w:t>（3）如果发、承包任何一方委派评标代表，评标委员会应当由七人以上单数构成。除发包人或者承包人自愿放弃委派评标代表的权利外，招标人评标代表应当分别由发包人和承包人等额委派。</w:t>
      </w:r>
    </w:p>
    <w:p>
      <w:pPr>
        <w:spacing w:line="400" w:lineRule="exact"/>
        <w:ind w:firstLine="420" w:firstLineChars="200"/>
        <w:rPr>
          <w:szCs w:val="21"/>
          <w:highlight w:val="none"/>
        </w:rPr>
      </w:pPr>
      <w:r>
        <w:rPr>
          <w:rFonts w:hint="eastAsia"/>
          <w:szCs w:val="21"/>
          <w:highlight w:val="none"/>
        </w:rPr>
        <w:t>（4）设有标底的，承包人应当在开标前提前48小时将标底报发包人审核认可，发包人应当在收到承包人报送的标底后24小时内给予批准或者提出修改意见。承包人和发包人应当共同制定标底保密措施，不得提前泄露标底。标底的最终审核和决定权属于发包人。</w:t>
      </w:r>
    </w:p>
    <w:p>
      <w:pPr>
        <w:spacing w:line="400" w:lineRule="exact"/>
        <w:ind w:firstLine="420" w:firstLineChars="200"/>
        <w:rPr>
          <w:szCs w:val="21"/>
          <w:highlight w:val="none"/>
        </w:rPr>
      </w:pPr>
      <w:r>
        <w:rPr>
          <w:rFonts w:hint="eastAsia"/>
          <w:szCs w:val="21"/>
          <w:highlight w:val="none"/>
        </w:rPr>
        <w:t>（5）设有招标控制价的，承包人应当在招标文件发出前提前</w:t>
      </w:r>
      <w:r>
        <w:rPr>
          <w:rFonts w:hint="eastAsia"/>
          <w:szCs w:val="21"/>
          <w:highlight w:val="none"/>
          <w:u w:val="single"/>
        </w:rPr>
        <w:t>20天</w:t>
      </w:r>
      <w:r>
        <w:rPr>
          <w:rFonts w:hint="eastAsia"/>
          <w:szCs w:val="21"/>
          <w:highlight w:val="none"/>
        </w:rPr>
        <w:t>将招标控制价报发包人审核认可，发包人应当在收到承包人报送的招标控制价后</w:t>
      </w:r>
      <w:r>
        <w:rPr>
          <w:rFonts w:hint="eastAsia"/>
          <w:szCs w:val="21"/>
          <w:highlight w:val="none"/>
          <w:u w:val="single"/>
        </w:rPr>
        <w:t>20天</w:t>
      </w:r>
      <w:r>
        <w:rPr>
          <w:rFonts w:hint="eastAsia"/>
          <w:szCs w:val="21"/>
          <w:highlight w:val="none"/>
        </w:rPr>
        <w:t>内给予认可或者提出修改意见。招标控制价的最终审核和决定权属于发包人，未经发包人认可，承包人不得发出招标文件。</w:t>
      </w:r>
    </w:p>
    <w:p>
      <w:pPr>
        <w:spacing w:line="400" w:lineRule="exact"/>
        <w:ind w:firstLine="420" w:firstLineChars="200"/>
        <w:rPr>
          <w:szCs w:val="21"/>
          <w:highlight w:val="none"/>
        </w:rPr>
      </w:pPr>
      <w:r>
        <w:rPr>
          <w:rFonts w:hint="eastAsia"/>
          <w:szCs w:val="21"/>
          <w:highlight w:val="none"/>
        </w:rPr>
        <w:t>（补充）发包人认为需要清标的，应在开标前7天通知发包人，由发包人和招标人共同组织人员进行清标。</w:t>
      </w:r>
    </w:p>
    <w:p>
      <w:pPr>
        <w:spacing w:line="400" w:lineRule="exact"/>
        <w:ind w:firstLine="420" w:firstLineChars="200"/>
        <w:rPr>
          <w:szCs w:val="21"/>
          <w:highlight w:val="none"/>
        </w:rPr>
      </w:pPr>
      <w:r>
        <w:rPr>
          <w:rFonts w:hint="eastAsia"/>
          <w:szCs w:val="21"/>
          <w:highlight w:val="none"/>
        </w:rPr>
        <w:t>（6）承包人在收到相关招标项目评标委员会提交的评标报告后，应当在24小时内通过监理人转报发包人核查，发包人应当在监理人收到承包人报送的评标报告后48小时内核查完毕，评标报告经过发包人核查认可后，承包人才可以开始后续程序，依法确定中标人并发出中标通知书。</w:t>
      </w:r>
    </w:p>
    <w:p>
      <w:pPr>
        <w:spacing w:line="400" w:lineRule="exact"/>
        <w:ind w:firstLine="420" w:firstLineChars="200"/>
        <w:rPr>
          <w:szCs w:val="21"/>
          <w:highlight w:val="none"/>
        </w:rPr>
      </w:pPr>
      <w:r>
        <w:rPr>
          <w:rFonts w:hint="eastAsia"/>
          <w:szCs w:val="21"/>
          <w:highlight w:val="none"/>
        </w:rPr>
        <w:t>（7）承包人与专业分包人或者专项供应商订立合同前</w:t>
      </w:r>
      <w:r>
        <w:rPr>
          <w:rFonts w:hint="eastAsia"/>
          <w:szCs w:val="21"/>
          <w:highlight w:val="none"/>
          <w:u w:val="single"/>
        </w:rPr>
        <w:t xml:space="preserve">   15  </w:t>
      </w:r>
      <w:r>
        <w:rPr>
          <w:rFonts w:hint="eastAsia"/>
          <w:szCs w:val="21"/>
          <w:highlight w:val="none"/>
        </w:rPr>
        <w:t>天，应当将准备用于正式签订的合同文件通过监理人报发包人审核，发包人应当在监理人收到相关文件后</w:t>
      </w:r>
      <w:r>
        <w:rPr>
          <w:rFonts w:hint="eastAsia"/>
          <w:szCs w:val="21"/>
          <w:highlight w:val="none"/>
          <w:u w:val="single"/>
        </w:rPr>
        <w:t xml:space="preserve">   15  </w:t>
      </w:r>
      <w:r>
        <w:rPr>
          <w:rFonts w:hint="eastAsia"/>
          <w:szCs w:val="21"/>
          <w:highlight w:val="none"/>
        </w:rPr>
        <w:t>天内给予批准或者提出修改意见，承包人应当按照发包人批准的合同文件签订相关合同，合同订立后</w:t>
      </w:r>
      <w:r>
        <w:rPr>
          <w:rFonts w:hint="eastAsia"/>
          <w:szCs w:val="21"/>
          <w:highlight w:val="none"/>
          <w:u w:val="single"/>
        </w:rPr>
        <w:t xml:space="preserve">   7  </w:t>
      </w:r>
      <w:r>
        <w:rPr>
          <w:rFonts w:hint="eastAsia"/>
          <w:szCs w:val="21"/>
          <w:highlight w:val="none"/>
        </w:rPr>
        <w:t>天内，承包人应当将其中的两份副本报送监理人，其中一份由监理人报发包人留存。</w:t>
      </w:r>
    </w:p>
    <w:p>
      <w:pPr>
        <w:spacing w:line="400" w:lineRule="exact"/>
        <w:ind w:firstLine="420" w:firstLineChars="200"/>
        <w:rPr>
          <w:szCs w:val="21"/>
          <w:highlight w:val="none"/>
        </w:rPr>
      </w:pPr>
      <w:r>
        <w:rPr>
          <w:rFonts w:hint="eastAsia"/>
          <w:szCs w:val="21"/>
          <w:highlight w:val="none"/>
        </w:rPr>
        <w:t>（8）发包人对承包人报送文件进行审批或提出的修改意见应当合理，并符合现行有关法律法规的规定。</w:t>
      </w:r>
    </w:p>
    <w:p>
      <w:pPr>
        <w:spacing w:line="400" w:lineRule="exact"/>
        <w:ind w:firstLine="420" w:firstLineChars="200"/>
        <w:rPr>
          <w:szCs w:val="21"/>
          <w:highlight w:val="none"/>
        </w:rPr>
      </w:pPr>
      <w:r>
        <w:rPr>
          <w:rFonts w:hint="eastAsia"/>
          <w:szCs w:val="21"/>
          <w:highlight w:val="none"/>
        </w:rPr>
        <w:t>（9）承包人违背本项上述约定的程序或者未履行本项上述约定的报批手续的，发包人有权拒绝对相关专业工程或者涉及相关专项供应的材料和工程设备的工程进行验收和拨付相应工程款项，所造成的费用增加和（或）工期延误由承包人承担。发包人未按本项上述约定履行审批手续的，所造成的费用增加和（或）工期延误由发包人承担。</w:t>
      </w:r>
    </w:p>
    <w:p>
      <w:pPr>
        <w:spacing w:line="400" w:lineRule="exact"/>
        <w:ind w:firstLine="420" w:firstLineChars="200"/>
        <w:rPr>
          <w:szCs w:val="21"/>
          <w:highlight w:val="none"/>
        </w:rPr>
      </w:pPr>
      <w:r>
        <w:rPr>
          <w:rFonts w:hint="eastAsia"/>
          <w:szCs w:val="21"/>
          <w:highlight w:val="none"/>
        </w:rPr>
        <w:t>15.8.3发包人在工程量清单中给定暂估价的专业工程不属于依法必须招标的范围或者未达到依法必须招标的规模标准的，由承包人作为采购主体，发包人对采购的限价和方式进行审核确定。</w:t>
      </w:r>
    </w:p>
    <w:p>
      <w:pPr>
        <w:pStyle w:val="282"/>
        <w:spacing w:before="0"/>
        <w:outlineLvl w:val="0"/>
        <w:rPr>
          <w:highlight w:val="none"/>
        </w:rPr>
      </w:pPr>
      <w:bookmarkStart w:id="1759" w:name="_Toc152042493"/>
      <w:bookmarkStart w:id="1760" w:name="_Toc434331401"/>
      <w:bookmarkStart w:id="1761" w:name="_Toc21512"/>
      <w:bookmarkStart w:id="1762" w:name="_Toc152045715"/>
      <w:bookmarkStart w:id="1763" w:name="_Toc144974684"/>
      <w:bookmarkStart w:id="1764" w:name="_Toc342296479"/>
      <w:bookmarkStart w:id="1765" w:name="_Toc179632733"/>
      <w:bookmarkStart w:id="1766" w:name="_Toc241459720"/>
      <w:r>
        <w:rPr>
          <w:rFonts w:hint="eastAsia"/>
          <w:highlight w:val="none"/>
        </w:rPr>
        <w:t>16. 价格调整</w:t>
      </w:r>
      <w:bookmarkEnd w:id="1759"/>
      <w:bookmarkEnd w:id="1760"/>
      <w:bookmarkEnd w:id="1761"/>
      <w:bookmarkEnd w:id="1762"/>
      <w:bookmarkEnd w:id="1763"/>
      <w:bookmarkEnd w:id="1764"/>
      <w:bookmarkEnd w:id="1765"/>
      <w:bookmarkEnd w:id="1766"/>
    </w:p>
    <w:p>
      <w:pPr>
        <w:pStyle w:val="199"/>
        <w:outlineLvl w:val="0"/>
        <w:rPr>
          <w:rFonts w:ascii="黑体" w:hAnsi="宋体" w:cs="Arial"/>
          <w:highlight w:val="none"/>
        </w:rPr>
      </w:pPr>
      <w:bookmarkStart w:id="1767" w:name="_Toc179632734"/>
      <w:bookmarkStart w:id="1768" w:name="_Toc144974685"/>
      <w:bookmarkStart w:id="1769" w:name="_Toc342296480"/>
      <w:bookmarkStart w:id="1770" w:name="_Toc152042494"/>
      <w:bookmarkStart w:id="1771" w:name="_Toc241459721"/>
      <w:bookmarkStart w:id="1772" w:name="_Toc10722"/>
      <w:bookmarkStart w:id="1773" w:name="_Toc434331402"/>
      <w:bookmarkStart w:id="1774" w:name="_Toc152045716"/>
      <w:r>
        <w:rPr>
          <w:rFonts w:hint="eastAsia" w:ascii="黑体" w:hAnsi="宋体" w:cs="Arial"/>
          <w:highlight w:val="none"/>
        </w:rPr>
        <w:t>16.1 物价波动引起的价格调整</w:t>
      </w:r>
      <w:bookmarkEnd w:id="1767"/>
      <w:bookmarkEnd w:id="1768"/>
      <w:bookmarkEnd w:id="1769"/>
      <w:bookmarkEnd w:id="1770"/>
      <w:bookmarkEnd w:id="1771"/>
      <w:bookmarkEnd w:id="1772"/>
      <w:bookmarkEnd w:id="1773"/>
      <w:bookmarkEnd w:id="1774"/>
    </w:p>
    <w:p>
      <w:pPr>
        <w:spacing w:line="400" w:lineRule="exact"/>
        <w:ind w:firstLine="420" w:firstLineChars="200"/>
        <w:jc w:val="left"/>
        <w:rPr>
          <w:szCs w:val="21"/>
          <w:highlight w:val="none"/>
          <w:u w:val="single"/>
        </w:rPr>
      </w:pPr>
      <w:r>
        <w:rPr>
          <w:rFonts w:hint="eastAsia"/>
          <w:szCs w:val="21"/>
          <w:highlight w:val="none"/>
          <w:u w:val="single"/>
        </w:rPr>
        <w:t>物价波动引起的价格调整方法： 采用造价信息调整价格差价法。主要材料（钢筋、砼、水泥）进行调整，其它材料不作调整。</w:t>
      </w:r>
    </w:p>
    <w:p>
      <w:pPr>
        <w:spacing w:line="400" w:lineRule="exact"/>
        <w:ind w:firstLine="420" w:firstLineChars="200"/>
        <w:jc w:val="left"/>
        <w:rPr>
          <w:rFonts w:hint="eastAsia" w:eastAsia="宋体"/>
          <w:szCs w:val="21"/>
          <w:highlight w:val="none"/>
          <w:u w:val="single"/>
          <w:lang w:val="en-US" w:eastAsia="zh-CN"/>
        </w:rPr>
      </w:pPr>
      <w:r>
        <w:rPr>
          <w:rFonts w:hint="eastAsia"/>
          <w:szCs w:val="21"/>
          <w:highlight w:val="none"/>
        </w:rPr>
        <w:t>投标人的主要材料价格的风险主要控制在±5%(含5%以内)</w:t>
      </w:r>
      <w:r>
        <w:rPr>
          <w:rFonts w:hint="eastAsia"/>
          <w:b/>
          <w:szCs w:val="21"/>
          <w:highlight w:val="none"/>
        </w:rPr>
        <w:t>，</w:t>
      </w:r>
      <w:r>
        <w:rPr>
          <w:rFonts w:hint="eastAsia"/>
          <w:szCs w:val="21"/>
          <w:highlight w:val="none"/>
        </w:rPr>
        <w:t>超过此范围，招标人将依据施工当期黄石材料信息价（优先采用黄石材料信息价，黄石材料信息价中没有的按当期湖北省</w:t>
      </w:r>
      <w:r>
        <w:rPr>
          <w:rFonts w:hint="eastAsia"/>
          <w:szCs w:val="21"/>
          <w:highlight w:val="none"/>
          <w:lang w:val="en-US" w:eastAsia="zh-CN"/>
        </w:rPr>
        <w:t>武汉市</w:t>
      </w:r>
      <w:r>
        <w:rPr>
          <w:rFonts w:hint="eastAsia"/>
          <w:szCs w:val="21"/>
          <w:highlight w:val="none"/>
        </w:rPr>
        <w:t>材料信息价，两者均没有价格的，由发承包人共同进行市场询价确定）对超出±5%的部分进行调</w:t>
      </w:r>
      <w:r>
        <w:rPr>
          <w:rFonts w:hint="eastAsia"/>
          <w:szCs w:val="21"/>
          <w:highlight w:val="none"/>
          <w:lang w:val="en-US" w:eastAsia="zh-CN"/>
        </w:rPr>
        <w:t>整</w:t>
      </w:r>
    </w:p>
    <w:p>
      <w:pPr>
        <w:spacing w:line="400" w:lineRule="exact"/>
        <w:ind w:firstLine="420" w:firstLineChars="200"/>
        <w:jc w:val="left"/>
        <w:outlineLvl w:val="0"/>
        <w:rPr>
          <w:szCs w:val="21"/>
          <w:highlight w:val="none"/>
          <w:u w:val="single"/>
        </w:rPr>
      </w:pPr>
      <w:bookmarkStart w:id="1775" w:name="_Toc434230713"/>
      <w:bookmarkStart w:id="1776" w:name="_Toc1248"/>
      <w:bookmarkStart w:id="1777" w:name="_Toc434331403"/>
      <w:r>
        <w:rPr>
          <w:rFonts w:hint="eastAsia"/>
          <w:szCs w:val="21"/>
          <w:highlight w:val="none"/>
          <w:u w:val="single"/>
        </w:rPr>
        <w:t>（一）市场价格变化幅度确定的原则及调整方法如下：</w:t>
      </w:r>
      <w:bookmarkEnd w:id="1775"/>
      <w:bookmarkEnd w:id="1776"/>
      <w:bookmarkEnd w:id="1777"/>
    </w:p>
    <w:p>
      <w:pPr>
        <w:spacing w:line="400" w:lineRule="exact"/>
        <w:ind w:firstLine="420" w:firstLineChars="200"/>
        <w:jc w:val="left"/>
        <w:rPr>
          <w:szCs w:val="21"/>
          <w:highlight w:val="none"/>
          <w:u w:val="single"/>
        </w:rPr>
      </w:pPr>
      <w:r>
        <w:rPr>
          <w:rFonts w:hint="eastAsia"/>
          <w:szCs w:val="21"/>
          <w:highlight w:val="none"/>
          <w:u w:val="single"/>
        </w:rPr>
        <w:t>1.基准价：投标报价以2020年12月《黄石建设工程造价信息》为基准（2020年12月无相关信息的，以2020年12月《武汉建设工程造价信息》作为补充），与基准期对应的材料的市场价格为基准价。基准价应以《黄石工程造价信息》（以下简称造价信息）中的信息价格为依据确定。造价信息价格缺项时，应以发包人、承包人共同确认的市场价格为依据确定。</w:t>
      </w:r>
    </w:p>
    <w:p>
      <w:pPr>
        <w:spacing w:line="400" w:lineRule="exact"/>
        <w:ind w:firstLine="420" w:firstLineChars="200"/>
        <w:jc w:val="left"/>
        <w:rPr>
          <w:szCs w:val="21"/>
          <w:highlight w:val="none"/>
          <w:u w:val="single"/>
        </w:rPr>
      </w:pPr>
      <w:r>
        <w:rPr>
          <w:rFonts w:hint="eastAsia"/>
          <w:szCs w:val="21"/>
          <w:highlight w:val="none"/>
          <w:u w:val="single"/>
        </w:rPr>
        <w:t>2.施工期市场价应以发包人、承包人共同确认的价格为准，确认的价格优先参考施工期的造价信息价格，若造价信息没有的按发包人、承包人共同确认的市场价格为依据确定。</w:t>
      </w:r>
    </w:p>
    <w:p>
      <w:pPr>
        <w:spacing w:line="400" w:lineRule="exact"/>
        <w:ind w:firstLine="420" w:firstLineChars="200"/>
        <w:jc w:val="left"/>
        <w:rPr>
          <w:szCs w:val="21"/>
          <w:highlight w:val="none"/>
          <w:u w:val="single"/>
        </w:rPr>
      </w:pPr>
      <w:r>
        <w:rPr>
          <w:rFonts w:hint="eastAsia"/>
          <w:szCs w:val="21"/>
          <w:highlight w:val="none"/>
          <w:u w:val="single"/>
        </w:rPr>
        <w:t>3.风险幅度的计算：</w:t>
      </w:r>
    </w:p>
    <w:p>
      <w:pPr>
        <w:spacing w:line="400" w:lineRule="exact"/>
        <w:ind w:firstLine="420" w:firstLineChars="200"/>
        <w:jc w:val="left"/>
        <w:rPr>
          <w:szCs w:val="21"/>
          <w:highlight w:val="none"/>
          <w:u w:val="single"/>
        </w:rPr>
      </w:pPr>
      <w:r>
        <w:rPr>
          <w:rFonts w:hint="eastAsia"/>
          <w:szCs w:val="21"/>
          <w:highlight w:val="none"/>
          <w:u w:val="single"/>
        </w:rPr>
        <w:t>（1）当承包人投标报价中的材料单价低于基准价时，施工期市场价的涨幅以基准价格为基础确定，跌幅以投标报价为基础确定，涨（跌）幅度超过合同约定的风险幅度值时，其超过部分按第（二）条的规定执行。</w:t>
      </w:r>
    </w:p>
    <w:p>
      <w:pPr>
        <w:spacing w:line="400" w:lineRule="exact"/>
        <w:ind w:firstLine="420" w:firstLineChars="200"/>
        <w:jc w:val="left"/>
        <w:rPr>
          <w:szCs w:val="21"/>
          <w:highlight w:val="none"/>
          <w:u w:val="single"/>
        </w:rPr>
      </w:pPr>
      <w:r>
        <w:rPr>
          <w:rFonts w:hint="eastAsia"/>
          <w:szCs w:val="21"/>
          <w:highlight w:val="none"/>
          <w:u w:val="single"/>
        </w:rPr>
        <w:t>（2）当承包人投标报价中材料单价高于基准价时，施工期市场价跌幅以基准价格为基础确定，涨幅以投标报价为基础确定，涨（跌）幅度超过合同约定的风险幅度值时，其超过部分按第（二）条的规定执行。</w:t>
      </w:r>
    </w:p>
    <w:p>
      <w:pPr>
        <w:spacing w:line="400" w:lineRule="exact"/>
        <w:ind w:firstLine="420" w:firstLineChars="200"/>
        <w:jc w:val="left"/>
        <w:rPr>
          <w:szCs w:val="21"/>
          <w:highlight w:val="none"/>
          <w:u w:val="single"/>
        </w:rPr>
      </w:pPr>
      <w:r>
        <w:rPr>
          <w:rFonts w:hint="eastAsia"/>
          <w:szCs w:val="21"/>
          <w:highlight w:val="none"/>
          <w:u w:val="single"/>
        </w:rPr>
        <w:t>（3）当承包人投标报价中材料单价等于基准价时，施工期市场价涨（跌）幅度以基准价格为基础确定，涨（跌）幅度超过合同约定的风险幅度值时，其超过部分按第（二）条的规定执行。</w:t>
      </w:r>
    </w:p>
    <w:p>
      <w:pPr>
        <w:spacing w:line="400" w:lineRule="exact"/>
        <w:ind w:firstLine="420" w:firstLineChars="200"/>
        <w:jc w:val="left"/>
        <w:outlineLvl w:val="0"/>
        <w:rPr>
          <w:szCs w:val="21"/>
          <w:highlight w:val="none"/>
          <w:u w:val="single"/>
        </w:rPr>
      </w:pPr>
      <w:bookmarkStart w:id="1778" w:name="_Toc434230714"/>
      <w:bookmarkStart w:id="1779" w:name="_Toc12983"/>
      <w:bookmarkStart w:id="1780" w:name="_Toc434331404"/>
      <w:r>
        <w:rPr>
          <w:rFonts w:hint="eastAsia"/>
          <w:szCs w:val="21"/>
          <w:highlight w:val="none"/>
          <w:u w:val="single"/>
        </w:rPr>
        <w:t>（二）超过风险幅度的调整原则</w:t>
      </w:r>
      <w:bookmarkEnd w:id="1778"/>
      <w:bookmarkEnd w:id="1779"/>
      <w:bookmarkEnd w:id="1780"/>
    </w:p>
    <w:p>
      <w:pPr>
        <w:spacing w:line="400" w:lineRule="exact"/>
        <w:ind w:firstLine="420" w:firstLineChars="200"/>
        <w:jc w:val="left"/>
        <w:rPr>
          <w:szCs w:val="21"/>
          <w:highlight w:val="none"/>
          <w:u w:val="single"/>
        </w:rPr>
      </w:pPr>
      <w:r>
        <w:rPr>
          <w:rFonts w:hint="eastAsia"/>
          <w:szCs w:val="21"/>
          <w:highlight w:val="none"/>
          <w:u w:val="single"/>
        </w:rPr>
        <w:t>1.材料市场价格的变化幅度小于或等于合同中约定的价格变化幅度时，不做调整；变化幅度大于合同中约定的价格变化幅度时，应当计算超过部分的价格差额，其价格差额由发包人承担或受益。</w:t>
      </w:r>
    </w:p>
    <w:p>
      <w:pPr>
        <w:spacing w:line="400" w:lineRule="exact"/>
        <w:ind w:firstLine="420" w:firstLineChars="200"/>
        <w:jc w:val="left"/>
        <w:rPr>
          <w:szCs w:val="21"/>
          <w:highlight w:val="none"/>
          <w:u w:val="single"/>
        </w:rPr>
      </w:pPr>
      <w:r>
        <w:rPr>
          <w:rFonts w:hint="eastAsia"/>
          <w:szCs w:val="21"/>
          <w:highlight w:val="none"/>
          <w:u w:val="single"/>
        </w:rPr>
        <w:t xml:space="preserve">2.材料计算后的价格差额只计取税金。      其他约定：      /   。 </w:t>
      </w:r>
    </w:p>
    <w:p>
      <w:pPr>
        <w:spacing w:line="400" w:lineRule="exact"/>
        <w:ind w:firstLine="420" w:firstLineChars="200"/>
        <w:jc w:val="left"/>
        <w:rPr>
          <w:szCs w:val="21"/>
          <w:highlight w:val="none"/>
        </w:rPr>
      </w:pPr>
    </w:p>
    <w:p>
      <w:pPr>
        <w:pStyle w:val="282"/>
        <w:spacing w:before="0"/>
        <w:outlineLvl w:val="0"/>
        <w:rPr>
          <w:highlight w:val="none"/>
        </w:rPr>
      </w:pPr>
      <w:bookmarkStart w:id="1781" w:name="_Toc152042497"/>
      <w:bookmarkStart w:id="1782" w:name="_Toc179632736"/>
      <w:bookmarkStart w:id="1783" w:name="_Toc342296481"/>
      <w:bookmarkStart w:id="1784" w:name="_Toc144974689"/>
      <w:bookmarkStart w:id="1785" w:name="_Toc12142"/>
      <w:bookmarkStart w:id="1786" w:name="_Toc152045718"/>
      <w:bookmarkStart w:id="1787" w:name="_Toc434331405"/>
      <w:bookmarkStart w:id="1788" w:name="_Toc241459722"/>
      <w:r>
        <w:rPr>
          <w:rFonts w:hint="eastAsia"/>
          <w:highlight w:val="none"/>
        </w:rPr>
        <w:t>17. 计量与支付</w:t>
      </w:r>
      <w:bookmarkEnd w:id="1781"/>
      <w:bookmarkEnd w:id="1782"/>
      <w:bookmarkEnd w:id="1783"/>
      <w:bookmarkEnd w:id="1784"/>
      <w:bookmarkEnd w:id="1785"/>
      <w:bookmarkEnd w:id="1786"/>
      <w:bookmarkEnd w:id="1787"/>
      <w:bookmarkEnd w:id="1788"/>
    </w:p>
    <w:p>
      <w:pPr>
        <w:pStyle w:val="199"/>
        <w:outlineLvl w:val="0"/>
        <w:rPr>
          <w:rFonts w:ascii="黑体" w:hAnsi="宋体" w:cs="Arial"/>
          <w:highlight w:val="none"/>
        </w:rPr>
      </w:pPr>
      <w:bookmarkStart w:id="1789" w:name="_Toc241459723"/>
      <w:bookmarkStart w:id="1790" w:name="_Toc144974690"/>
      <w:bookmarkStart w:id="1791" w:name="_Toc152042498"/>
      <w:bookmarkStart w:id="1792" w:name="_Toc179632737"/>
      <w:bookmarkStart w:id="1793" w:name="_Toc434331406"/>
      <w:bookmarkStart w:id="1794" w:name="_Toc7811"/>
      <w:bookmarkStart w:id="1795" w:name="_Toc342296482"/>
      <w:bookmarkStart w:id="1796" w:name="_Toc152045719"/>
      <w:r>
        <w:rPr>
          <w:rFonts w:hint="eastAsia" w:ascii="黑体" w:hAnsi="宋体" w:cs="Arial"/>
          <w:highlight w:val="none"/>
        </w:rPr>
        <w:t>17.1 计量</w:t>
      </w:r>
      <w:bookmarkEnd w:id="1789"/>
      <w:bookmarkEnd w:id="1790"/>
      <w:bookmarkEnd w:id="1791"/>
      <w:bookmarkEnd w:id="1792"/>
      <w:bookmarkEnd w:id="1793"/>
      <w:bookmarkEnd w:id="1794"/>
      <w:bookmarkEnd w:id="1795"/>
      <w:bookmarkEnd w:id="1796"/>
    </w:p>
    <w:p>
      <w:pPr>
        <w:spacing w:line="400" w:lineRule="exact"/>
        <w:ind w:firstLine="420" w:firstLineChars="200"/>
        <w:rPr>
          <w:rFonts w:ascii="黑体" w:eastAsia="黑体" w:cs="Arial"/>
          <w:highlight w:val="none"/>
        </w:rPr>
      </w:pPr>
      <w:r>
        <w:rPr>
          <w:rFonts w:hint="eastAsia" w:ascii="黑体" w:eastAsia="黑体" w:cs="Arial"/>
          <w:highlight w:val="none"/>
        </w:rPr>
        <w:t>17.1.2 计量方法</w:t>
      </w:r>
    </w:p>
    <w:p>
      <w:pPr>
        <w:spacing w:line="400" w:lineRule="exact"/>
        <w:ind w:firstLine="420" w:firstLineChars="200"/>
        <w:rPr>
          <w:szCs w:val="21"/>
          <w:highlight w:val="none"/>
        </w:rPr>
      </w:pPr>
      <w:r>
        <w:rPr>
          <w:szCs w:val="21"/>
          <w:highlight w:val="none"/>
        </w:rPr>
        <w:t>工程量计算规则</w:t>
      </w:r>
      <w:r>
        <w:rPr>
          <w:rFonts w:hint="eastAsia"/>
          <w:szCs w:val="21"/>
          <w:highlight w:val="none"/>
        </w:rPr>
        <w:t>执行国家标准</w:t>
      </w:r>
      <w:r>
        <w:rPr>
          <w:szCs w:val="21"/>
          <w:highlight w:val="none"/>
        </w:rPr>
        <w:t>《建设工程工程量清单计价规范》</w:t>
      </w:r>
      <w:r>
        <w:rPr>
          <w:rFonts w:hint="eastAsia"/>
          <w:szCs w:val="21"/>
          <w:highlight w:val="none"/>
        </w:rPr>
        <w:t>（GB50500-2013）或其适用的修订版本</w:t>
      </w:r>
      <w:r>
        <w:rPr>
          <w:szCs w:val="21"/>
          <w:highlight w:val="none"/>
        </w:rPr>
        <w:t>。</w:t>
      </w:r>
      <w:r>
        <w:rPr>
          <w:rFonts w:hint="eastAsia"/>
          <w:szCs w:val="21"/>
          <w:highlight w:val="none"/>
        </w:rPr>
        <w:t>除合同另有约定外，承包人实际完成的工程量按约定的工程量计算规则和有合同约束力的图纸进行计量。</w:t>
      </w:r>
    </w:p>
    <w:p>
      <w:pPr>
        <w:spacing w:line="400" w:lineRule="exact"/>
        <w:ind w:firstLine="420" w:firstLineChars="200"/>
        <w:rPr>
          <w:rFonts w:ascii="黑体" w:eastAsia="黑体" w:cs="Arial"/>
          <w:highlight w:val="none"/>
        </w:rPr>
      </w:pPr>
      <w:r>
        <w:rPr>
          <w:rFonts w:hint="eastAsia" w:ascii="黑体" w:eastAsia="黑体" w:cs="Arial"/>
          <w:highlight w:val="none"/>
        </w:rPr>
        <w:t>17.1.3 计量周期</w:t>
      </w:r>
    </w:p>
    <w:p>
      <w:pPr>
        <w:spacing w:line="400" w:lineRule="exact"/>
        <w:ind w:firstLine="420" w:firstLineChars="200"/>
        <w:rPr>
          <w:szCs w:val="21"/>
          <w:highlight w:val="none"/>
        </w:rPr>
      </w:pPr>
      <w:r>
        <w:rPr>
          <w:rFonts w:hint="eastAsia" w:cs="Arial"/>
          <w:highlight w:val="none"/>
        </w:rPr>
        <w:t>（1）</w:t>
      </w:r>
      <w:r>
        <w:rPr>
          <w:rFonts w:hint="eastAsia"/>
          <w:szCs w:val="21"/>
          <w:highlight w:val="none"/>
        </w:rPr>
        <w:t>本合同的计量周期为月，每月</w:t>
      </w:r>
      <w:r>
        <w:rPr>
          <w:rFonts w:hint="eastAsia"/>
          <w:szCs w:val="21"/>
          <w:highlight w:val="none"/>
          <w:u w:val="single"/>
        </w:rPr>
        <w:t xml:space="preserve"> 25 </w:t>
      </w:r>
      <w:r>
        <w:rPr>
          <w:rFonts w:hint="eastAsia"/>
          <w:szCs w:val="21"/>
          <w:highlight w:val="none"/>
        </w:rPr>
        <w:t>日为当月计量截止日期（不含当日）和下月计量起始日期（含当日）。</w:t>
      </w:r>
    </w:p>
    <w:p>
      <w:pPr>
        <w:spacing w:line="400" w:lineRule="exact"/>
        <w:ind w:firstLine="420" w:firstLineChars="200"/>
        <w:rPr>
          <w:rFonts w:cs="Arial"/>
          <w:highlight w:val="none"/>
        </w:rPr>
      </w:pPr>
      <w:r>
        <w:rPr>
          <w:rFonts w:hint="eastAsia" w:cs="Arial"/>
          <w:highlight w:val="none"/>
        </w:rPr>
        <w:t>（2）本合同</w:t>
      </w:r>
      <w:r>
        <w:rPr>
          <w:rFonts w:hint="eastAsia" w:cs="Arial"/>
          <w:highlight w:val="none"/>
          <w:u w:val="single"/>
        </w:rPr>
        <w:t xml:space="preserve">  执行  </w:t>
      </w:r>
      <w:r>
        <w:rPr>
          <w:rFonts w:hint="eastAsia" w:cs="Arial"/>
          <w:highlight w:val="none"/>
        </w:rPr>
        <w:t>（执行（采用单价合同形式时）/不执行（采用总价合同形式时））通用合同条款本项约定的单价子目计量。</w:t>
      </w:r>
      <w:r>
        <w:rPr>
          <w:rFonts w:hint="eastAsia"/>
          <w:szCs w:val="21"/>
          <w:highlight w:val="none"/>
        </w:rPr>
        <w:t>总价子目计量方法按专用合同条款第</w:t>
      </w:r>
      <w:r>
        <w:rPr>
          <w:rFonts w:cs="Arial"/>
          <w:highlight w:val="none"/>
        </w:rPr>
        <w:t>17.1.5</w:t>
      </w:r>
      <w:r>
        <w:rPr>
          <w:rFonts w:hint="eastAsia"/>
          <w:szCs w:val="21"/>
          <w:highlight w:val="none"/>
        </w:rPr>
        <w:t>项总价子目的计量--</w:t>
      </w:r>
      <w:r>
        <w:rPr>
          <w:rFonts w:hint="eastAsia" w:cs="Arial"/>
          <w:highlight w:val="none"/>
          <w:u w:val="single"/>
        </w:rPr>
        <w:t xml:space="preserve">  </w:t>
      </w:r>
      <w:r>
        <w:rPr>
          <w:rFonts w:hint="eastAsia" w:cs="Arial"/>
          <w:szCs w:val="21"/>
          <w:highlight w:val="none"/>
          <w:u w:val="single"/>
        </w:rPr>
        <w:t>按实际完成工程量计量</w:t>
      </w:r>
      <w:r>
        <w:rPr>
          <w:rFonts w:hint="eastAsia" w:cs="Arial"/>
          <w:highlight w:val="none"/>
          <w:u w:val="single"/>
        </w:rPr>
        <w:t xml:space="preserve">  </w:t>
      </w:r>
      <w:r>
        <w:rPr>
          <w:rFonts w:hint="eastAsia" w:cs="Arial"/>
          <w:szCs w:val="21"/>
          <w:highlight w:val="none"/>
        </w:rPr>
        <w:t>（支付分解报告/按实际完成工程量计量）</w:t>
      </w:r>
      <w:r>
        <w:rPr>
          <w:rFonts w:hint="eastAsia" w:cs="Arial"/>
          <w:highlight w:val="none"/>
        </w:rPr>
        <w:t>。</w:t>
      </w:r>
    </w:p>
    <w:p>
      <w:pPr>
        <w:spacing w:line="400" w:lineRule="exact"/>
        <w:ind w:firstLine="420" w:firstLineChars="200"/>
        <w:rPr>
          <w:rFonts w:ascii="黑体" w:eastAsia="黑体" w:cs="Arial"/>
          <w:highlight w:val="none"/>
        </w:rPr>
      </w:pPr>
      <w:r>
        <w:rPr>
          <w:rFonts w:hint="eastAsia" w:ascii="黑体" w:eastAsia="黑体" w:cs="Arial"/>
          <w:highlight w:val="none"/>
        </w:rPr>
        <w:t>17.1.5 总价子目的计量—支付分解报告</w:t>
      </w:r>
    </w:p>
    <w:p>
      <w:pPr>
        <w:spacing w:line="400" w:lineRule="exact"/>
        <w:ind w:firstLine="420" w:firstLineChars="200"/>
        <w:rPr>
          <w:szCs w:val="21"/>
          <w:highlight w:val="none"/>
        </w:rPr>
      </w:pPr>
      <w:r>
        <w:rPr>
          <w:rFonts w:hint="eastAsia"/>
          <w:szCs w:val="21"/>
          <w:highlight w:val="none"/>
        </w:rPr>
        <w:t>总价子目按照有合同约束力的支付分解表支付。承包人应根据合同条款第10条约定的合同进度计划和总价子目的总价构成、费用性质、计划发生时间和相应工作量等因素对各个总价子目的总价按月进行分解，形成支付分解报告。承包人应当在收到经过监理人批复的合同进度计划后7天内，将支付分解报告以及形成支付分解报告的分项计量和总价分解等支持性资料报监理人审批，监理人应当在收到承包人报送的支付分解报告后7天内给予批复或提出修改意见，经监理人批准的支付分解报告为有合同约束力的支付分解表。支付</w:t>
      </w:r>
      <w:r>
        <w:rPr>
          <w:szCs w:val="21"/>
          <w:highlight w:val="none"/>
        </w:rPr>
        <w:t>分解</w:t>
      </w:r>
      <w:r>
        <w:rPr>
          <w:rFonts w:hint="eastAsia"/>
          <w:szCs w:val="21"/>
          <w:highlight w:val="none"/>
        </w:rPr>
        <w:t>表应根据合同条款第10.2款约定的修订合同进度计划进行</w:t>
      </w:r>
      <w:r>
        <w:rPr>
          <w:szCs w:val="21"/>
          <w:highlight w:val="none"/>
        </w:rPr>
        <w:t>修正</w:t>
      </w:r>
      <w:r>
        <w:rPr>
          <w:rFonts w:hint="eastAsia"/>
          <w:szCs w:val="21"/>
          <w:highlight w:val="none"/>
        </w:rPr>
        <w:t>，修正的程序和期限应当依照本项上述约定，经修正的支付分解表为有合同约束力的支付分解表</w:t>
      </w:r>
      <w:r>
        <w:rPr>
          <w:szCs w:val="21"/>
          <w:highlight w:val="none"/>
        </w:rPr>
        <w:t>。</w:t>
      </w:r>
    </w:p>
    <w:p>
      <w:pPr>
        <w:spacing w:line="400" w:lineRule="exact"/>
        <w:ind w:firstLine="420" w:firstLineChars="200"/>
        <w:rPr>
          <w:rFonts w:cs="Arial"/>
          <w:highlight w:val="none"/>
        </w:rPr>
      </w:pPr>
      <w:r>
        <w:rPr>
          <w:rFonts w:hint="eastAsia" w:cs="Arial"/>
          <w:highlight w:val="none"/>
        </w:rPr>
        <w:t>（1）总价</w:t>
      </w:r>
      <w:r>
        <w:rPr>
          <w:rFonts w:hint="eastAsia"/>
          <w:szCs w:val="21"/>
          <w:highlight w:val="none"/>
        </w:rPr>
        <w:t>子目</w:t>
      </w:r>
      <w:r>
        <w:rPr>
          <w:rFonts w:hint="eastAsia" w:cs="Arial"/>
          <w:highlight w:val="none"/>
        </w:rPr>
        <w:t>的价格调整方法：</w:t>
      </w:r>
      <w:r>
        <w:rPr>
          <w:rFonts w:hint="eastAsia" w:cs="Arial"/>
          <w:highlight w:val="none"/>
          <w:u w:val="single"/>
        </w:rPr>
        <w:t xml:space="preserve">        /        </w:t>
      </w:r>
      <w:r>
        <w:rPr>
          <w:rFonts w:hint="eastAsia" w:cs="Arial"/>
          <w:highlight w:val="none"/>
        </w:rPr>
        <w:t>。</w:t>
      </w:r>
    </w:p>
    <w:p>
      <w:pPr>
        <w:spacing w:line="400" w:lineRule="exact"/>
        <w:ind w:firstLine="420" w:firstLineChars="200"/>
        <w:rPr>
          <w:rFonts w:cs="Arial"/>
          <w:highlight w:val="none"/>
        </w:rPr>
      </w:pPr>
      <w:r>
        <w:rPr>
          <w:rFonts w:hint="eastAsia" w:cs="Arial"/>
          <w:highlight w:val="none"/>
        </w:rPr>
        <w:t>（2）列入每月进度付款申请单中各总价</w:t>
      </w:r>
      <w:r>
        <w:rPr>
          <w:rFonts w:hint="eastAsia"/>
          <w:szCs w:val="21"/>
          <w:highlight w:val="none"/>
        </w:rPr>
        <w:t>子目</w:t>
      </w:r>
      <w:r>
        <w:rPr>
          <w:rFonts w:hint="eastAsia" w:cs="Arial"/>
          <w:highlight w:val="none"/>
        </w:rPr>
        <w:t>的价值为有合同约束力的支付分解表中对应月份的总价</w:t>
      </w:r>
      <w:r>
        <w:rPr>
          <w:rFonts w:hint="eastAsia"/>
          <w:szCs w:val="21"/>
          <w:highlight w:val="none"/>
        </w:rPr>
        <w:t>子目</w:t>
      </w:r>
      <w:r>
        <w:rPr>
          <w:rFonts w:hint="eastAsia" w:cs="Arial"/>
          <w:highlight w:val="none"/>
        </w:rPr>
        <w:t>总价值。</w:t>
      </w:r>
    </w:p>
    <w:p>
      <w:pPr>
        <w:spacing w:line="400" w:lineRule="exact"/>
        <w:ind w:firstLine="420" w:firstLineChars="200"/>
        <w:rPr>
          <w:rFonts w:cs="Arial"/>
          <w:highlight w:val="none"/>
        </w:rPr>
      </w:pPr>
      <w:r>
        <w:rPr>
          <w:rFonts w:hint="eastAsia" w:cs="Arial"/>
          <w:highlight w:val="none"/>
        </w:rPr>
        <w:t>（3）监理人根据有合同约束力的支付分解表复核列入每月进度付款申请单中的总价</w:t>
      </w:r>
      <w:r>
        <w:rPr>
          <w:rFonts w:hint="eastAsia"/>
          <w:szCs w:val="21"/>
          <w:highlight w:val="none"/>
        </w:rPr>
        <w:t>子目</w:t>
      </w:r>
      <w:r>
        <w:rPr>
          <w:rFonts w:hint="eastAsia" w:cs="Arial"/>
          <w:highlight w:val="none"/>
        </w:rPr>
        <w:t>的总价值。</w:t>
      </w:r>
    </w:p>
    <w:p>
      <w:pPr>
        <w:spacing w:line="400" w:lineRule="exact"/>
        <w:ind w:firstLine="420" w:firstLineChars="200"/>
        <w:rPr>
          <w:rFonts w:cs="Arial"/>
          <w:highlight w:val="none"/>
        </w:rPr>
      </w:pPr>
      <w:r>
        <w:rPr>
          <w:rFonts w:hint="eastAsia" w:cs="Arial"/>
          <w:highlight w:val="none"/>
        </w:rPr>
        <w:t>（4）除按照第15条约定的变更外，在竣工结算时总价</w:t>
      </w:r>
      <w:r>
        <w:rPr>
          <w:rFonts w:hint="eastAsia"/>
          <w:szCs w:val="21"/>
          <w:highlight w:val="none"/>
        </w:rPr>
        <w:t>子目</w:t>
      </w:r>
      <w:r>
        <w:rPr>
          <w:rFonts w:hint="eastAsia" w:cs="Arial"/>
          <w:highlight w:val="none"/>
        </w:rPr>
        <w:t>的工程量不应当重新计量，签约合同价所基于的工程量即是用于竣工结算的最终工程量。</w:t>
      </w:r>
    </w:p>
    <w:p>
      <w:pPr>
        <w:spacing w:line="400" w:lineRule="exact"/>
        <w:ind w:firstLine="420" w:firstLineChars="200"/>
        <w:rPr>
          <w:rFonts w:ascii="黑体" w:eastAsia="黑体" w:cs="Arial"/>
          <w:highlight w:val="none"/>
        </w:rPr>
      </w:pPr>
      <w:bookmarkStart w:id="1797" w:name="_Toc144974691"/>
      <w:bookmarkStart w:id="1798" w:name="_Toc179632738"/>
      <w:bookmarkStart w:id="1799" w:name="_Toc152042499"/>
      <w:bookmarkStart w:id="1800" w:name="_Toc152045720"/>
      <w:r>
        <w:rPr>
          <w:rFonts w:hint="eastAsia" w:ascii="黑体" w:eastAsia="黑体" w:cs="Arial"/>
          <w:highlight w:val="none"/>
        </w:rPr>
        <w:t>17.1.5 总价</w:t>
      </w:r>
      <w:r>
        <w:rPr>
          <w:rFonts w:hint="eastAsia"/>
          <w:szCs w:val="21"/>
          <w:highlight w:val="none"/>
        </w:rPr>
        <w:t>子目</w:t>
      </w:r>
      <w:r>
        <w:rPr>
          <w:rFonts w:hint="eastAsia" w:ascii="黑体" w:eastAsia="黑体" w:cs="Arial"/>
          <w:highlight w:val="none"/>
        </w:rPr>
        <w:t>的计量--按实际完成工程量计量</w:t>
      </w:r>
    </w:p>
    <w:p>
      <w:pPr>
        <w:spacing w:line="400" w:lineRule="exact"/>
        <w:ind w:firstLine="420" w:firstLineChars="200"/>
        <w:rPr>
          <w:rFonts w:cs="Arial"/>
          <w:highlight w:val="none"/>
        </w:rPr>
      </w:pPr>
      <w:r>
        <w:rPr>
          <w:rFonts w:hint="eastAsia" w:cs="Arial"/>
          <w:highlight w:val="none"/>
        </w:rPr>
        <w:t>（1）总价</w:t>
      </w:r>
      <w:r>
        <w:rPr>
          <w:rFonts w:hint="eastAsia"/>
          <w:szCs w:val="21"/>
          <w:highlight w:val="none"/>
        </w:rPr>
        <w:t>子目</w:t>
      </w:r>
      <w:r>
        <w:rPr>
          <w:rFonts w:hint="eastAsia" w:cs="Arial"/>
          <w:highlight w:val="none"/>
        </w:rPr>
        <w:t>的价格调整方法：</w:t>
      </w:r>
      <w:r>
        <w:rPr>
          <w:rFonts w:hint="eastAsia" w:cs="Arial"/>
          <w:highlight w:val="none"/>
          <w:u w:val="single"/>
        </w:rPr>
        <w:t xml:space="preserve">   /   </w:t>
      </w:r>
      <w:r>
        <w:rPr>
          <w:rFonts w:hint="eastAsia" w:cs="Arial"/>
          <w:highlight w:val="none"/>
        </w:rPr>
        <w:t>。总价</w:t>
      </w:r>
      <w:r>
        <w:rPr>
          <w:rFonts w:hint="eastAsia"/>
          <w:szCs w:val="21"/>
          <w:highlight w:val="none"/>
        </w:rPr>
        <w:t>子目</w:t>
      </w:r>
      <w:r>
        <w:rPr>
          <w:rFonts w:hint="eastAsia" w:cs="Arial"/>
          <w:highlight w:val="none"/>
        </w:rPr>
        <w:t>的计量和支付应以总价为基础，对承包人实际完成的工程量进行计量，是进行工程目标管理和控制进度款支付的依据。</w:t>
      </w:r>
    </w:p>
    <w:p>
      <w:pPr>
        <w:spacing w:line="400" w:lineRule="exact"/>
        <w:ind w:firstLine="420" w:firstLineChars="200"/>
        <w:rPr>
          <w:rFonts w:cs="Arial"/>
          <w:highlight w:val="none"/>
        </w:rPr>
      </w:pPr>
      <w:r>
        <w:rPr>
          <w:rFonts w:hint="eastAsia" w:cs="Arial"/>
          <w:highlight w:val="none"/>
        </w:rPr>
        <w:t>（2）承包人在专用合同条款第17.1.3（1）目约定的每月计量截止日期后，对已完成的分部分项工程和单价措施项目的</w:t>
      </w:r>
      <w:r>
        <w:rPr>
          <w:rFonts w:hint="eastAsia"/>
          <w:szCs w:val="21"/>
          <w:highlight w:val="none"/>
        </w:rPr>
        <w:t>子目</w:t>
      </w:r>
      <w:r>
        <w:rPr>
          <w:rFonts w:hint="eastAsia" w:cs="Arial"/>
          <w:highlight w:val="none"/>
        </w:rPr>
        <w:t>，按照专用合同条款第17.1.2项约定的计量方法进行计量，对已完成的总价措施项目的相关</w:t>
      </w:r>
      <w:r>
        <w:rPr>
          <w:rFonts w:hint="eastAsia"/>
          <w:szCs w:val="21"/>
          <w:highlight w:val="none"/>
        </w:rPr>
        <w:t>子目，按其总价构成、费用性质和实际发生比例进行计量，向监理人提交进度付款申请单、已完成工程量报表和有关计量资料</w:t>
      </w:r>
      <w:r>
        <w:rPr>
          <w:rFonts w:hint="eastAsia" w:cs="Arial"/>
          <w:highlight w:val="none"/>
        </w:rPr>
        <w:t>。</w:t>
      </w:r>
    </w:p>
    <w:p>
      <w:pPr>
        <w:spacing w:line="400" w:lineRule="exact"/>
        <w:ind w:firstLine="420" w:firstLineChars="200"/>
        <w:rPr>
          <w:highlight w:val="none"/>
        </w:rPr>
      </w:pPr>
      <w:r>
        <w:rPr>
          <w:rFonts w:hint="eastAsia" w:cs="Arial"/>
          <w:highlight w:val="none"/>
        </w:rPr>
        <w:t>（3）</w:t>
      </w:r>
      <w:r>
        <w:rPr>
          <w:rFonts w:hint="eastAsia"/>
          <w:highlight w:val="none"/>
        </w:rPr>
        <w:t>监理人对承包人提交的工程量报表进行复核，以确定实际完成的工程量。对数量有异议的，可要求承包人进行共同复核。承包人应协助监理人进行复核并按监理人要求提供补充计量资料。承包人未按监理人要求参加复核，监理人复核或修正的工程量视为承包人实际完成的工程量。</w:t>
      </w:r>
    </w:p>
    <w:p>
      <w:pPr>
        <w:spacing w:line="400" w:lineRule="exact"/>
        <w:ind w:firstLine="420" w:firstLineChars="200"/>
        <w:rPr>
          <w:highlight w:val="none"/>
        </w:rPr>
      </w:pPr>
      <w:r>
        <w:rPr>
          <w:rFonts w:hint="eastAsia"/>
          <w:highlight w:val="none"/>
        </w:rPr>
        <w:t>（4）监理人应在收到承包人提交的工程量报表后的7天内进行复核，监理人未在约定时间内复核的，承包人提交的工程量报表中的工程量视为承包人实际完成的工程量，据此计算工程价款。</w:t>
      </w:r>
    </w:p>
    <w:p>
      <w:pPr>
        <w:spacing w:line="400" w:lineRule="exact"/>
        <w:ind w:firstLine="420" w:firstLineChars="200"/>
        <w:rPr>
          <w:rFonts w:cs="Arial"/>
          <w:highlight w:val="none"/>
        </w:rPr>
      </w:pPr>
      <w:r>
        <w:rPr>
          <w:rFonts w:hint="eastAsia" w:cs="Arial"/>
          <w:highlight w:val="none"/>
        </w:rPr>
        <w:t>（5）除按照第15条约定的变更外，在竣工结算时总价</w:t>
      </w:r>
      <w:r>
        <w:rPr>
          <w:rFonts w:hint="eastAsia"/>
          <w:szCs w:val="21"/>
          <w:highlight w:val="none"/>
        </w:rPr>
        <w:t>子目</w:t>
      </w:r>
      <w:r>
        <w:rPr>
          <w:rFonts w:hint="eastAsia" w:cs="Arial"/>
          <w:highlight w:val="none"/>
        </w:rPr>
        <w:t>的工程量不应当重新计量，签约合同价所基于的工程量即是用于竣工结算的最终工程量。</w:t>
      </w:r>
    </w:p>
    <w:p>
      <w:pPr>
        <w:pStyle w:val="199"/>
        <w:outlineLvl w:val="0"/>
        <w:rPr>
          <w:rFonts w:ascii="黑体" w:hAnsi="宋体" w:cs="Arial"/>
          <w:highlight w:val="none"/>
        </w:rPr>
      </w:pPr>
      <w:bookmarkStart w:id="1801" w:name="_Toc434331407"/>
      <w:bookmarkStart w:id="1802" w:name="_Toc342296483"/>
      <w:bookmarkStart w:id="1803" w:name="_Toc31179"/>
      <w:bookmarkStart w:id="1804" w:name="_Toc241459724"/>
      <w:r>
        <w:rPr>
          <w:rFonts w:hint="eastAsia" w:ascii="黑体" w:hAnsi="宋体" w:cs="Arial"/>
          <w:highlight w:val="none"/>
        </w:rPr>
        <w:t>17.2 预付款</w:t>
      </w:r>
      <w:bookmarkEnd w:id="1797"/>
      <w:bookmarkEnd w:id="1798"/>
      <w:bookmarkEnd w:id="1799"/>
      <w:bookmarkEnd w:id="1800"/>
      <w:bookmarkEnd w:id="1801"/>
      <w:bookmarkEnd w:id="1802"/>
      <w:bookmarkEnd w:id="1803"/>
      <w:bookmarkEnd w:id="1804"/>
    </w:p>
    <w:p>
      <w:pPr>
        <w:spacing w:line="400" w:lineRule="exact"/>
        <w:ind w:firstLine="420" w:firstLineChars="200"/>
        <w:rPr>
          <w:rFonts w:ascii="黑体" w:eastAsia="黑体" w:cs="Arial"/>
          <w:highlight w:val="none"/>
        </w:rPr>
      </w:pPr>
      <w:r>
        <w:rPr>
          <w:rFonts w:hint="eastAsia" w:ascii="黑体" w:eastAsia="黑体" w:cs="Arial"/>
          <w:highlight w:val="none"/>
        </w:rPr>
        <w:t>17.2.1 预付款</w:t>
      </w:r>
    </w:p>
    <w:p>
      <w:pPr>
        <w:spacing w:line="400" w:lineRule="exact"/>
        <w:ind w:firstLine="420" w:firstLineChars="200"/>
        <w:rPr>
          <w:rFonts w:ascii="黑体" w:eastAsia="黑体"/>
          <w:szCs w:val="21"/>
          <w:highlight w:val="none"/>
        </w:rPr>
      </w:pPr>
      <w:r>
        <w:rPr>
          <w:rFonts w:hint="eastAsia" w:ascii="黑体" w:eastAsia="黑体"/>
          <w:szCs w:val="21"/>
          <w:highlight w:val="none"/>
        </w:rPr>
        <w:t>（1）预付款额度</w:t>
      </w:r>
    </w:p>
    <w:p>
      <w:pPr>
        <w:spacing w:line="400" w:lineRule="exact"/>
        <w:ind w:firstLine="420" w:firstLineChars="200"/>
        <w:rPr>
          <w:szCs w:val="21"/>
          <w:highlight w:val="none"/>
          <w:u w:val="single"/>
        </w:rPr>
      </w:pPr>
      <w:r>
        <w:rPr>
          <w:rFonts w:hint="eastAsia"/>
          <w:szCs w:val="21"/>
          <w:highlight w:val="none"/>
        </w:rPr>
        <w:t>（1）预付款额度：</w:t>
      </w:r>
      <w:r>
        <w:rPr>
          <w:rFonts w:hint="eastAsia"/>
          <w:szCs w:val="21"/>
          <w:highlight w:val="none"/>
          <w:u w:val="single"/>
        </w:rPr>
        <w:t>按合同金额</w:t>
      </w:r>
      <w:r>
        <w:rPr>
          <w:rFonts w:hint="eastAsia"/>
          <w:szCs w:val="21"/>
          <w:highlight w:val="none"/>
          <w:u w:val="single"/>
          <w:lang w:eastAsia="zh-CN"/>
        </w:rPr>
        <w:t>（</w:t>
      </w:r>
      <w:r>
        <w:rPr>
          <w:rFonts w:hint="eastAsia"/>
          <w:szCs w:val="21"/>
          <w:highlight w:val="none"/>
          <w:u w:val="single"/>
          <w:lang w:val="en-US" w:eastAsia="zh-CN"/>
        </w:rPr>
        <w:t>不含暂列金</w:t>
      </w:r>
      <w:r>
        <w:rPr>
          <w:rFonts w:hint="eastAsia"/>
          <w:szCs w:val="21"/>
          <w:highlight w:val="none"/>
          <w:u w:val="single"/>
          <w:lang w:eastAsia="zh-CN"/>
        </w:rPr>
        <w:t>）</w:t>
      </w:r>
      <w:r>
        <w:rPr>
          <w:rFonts w:hint="eastAsia"/>
          <w:szCs w:val="21"/>
          <w:highlight w:val="none"/>
          <w:u w:val="single"/>
        </w:rPr>
        <w:t>的30%支付预付款。</w:t>
      </w:r>
    </w:p>
    <w:p>
      <w:pPr>
        <w:spacing w:line="400" w:lineRule="exact"/>
        <w:ind w:firstLine="420" w:firstLineChars="200"/>
        <w:rPr>
          <w:rFonts w:ascii="黑体" w:eastAsia="黑体"/>
          <w:szCs w:val="21"/>
          <w:highlight w:val="none"/>
        </w:rPr>
      </w:pPr>
      <w:r>
        <w:rPr>
          <w:rFonts w:hint="eastAsia" w:ascii="黑体" w:eastAsia="黑体"/>
          <w:szCs w:val="21"/>
          <w:highlight w:val="none"/>
        </w:rPr>
        <w:t>（2）预付办法</w:t>
      </w:r>
    </w:p>
    <w:p>
      <w:pPr>
        <w:spacing w:line="400" w:lineRule="exact"/>
        <w:ind w:firstLine="420" w:firstLineChars="200"/>
        <w:rPr>
          <w:szCs w:val="21"/>
          <w:highlight w:val="none"/>
        </w:rPr>
      </w:pPr>
      <w:r>
        <w:rPr>
          <w:rFonts w:hint="eastAsia"/>
          <w:szCs w:val="21"/>
          <w:highlight w:val="none"/>
        </w:rPr>
        <w:t>预付款预付办法：</w:t>
      </w:r>
      <w:r>
        <w:rPr>
          <w:rFonts w:hint="eastAsia"/>
          <w:szCs w:val="21"/>
          <w:highlight w:val="none"/>
          <w:u w:val="single"/>
        </w:rPr>
        <w:t xml:space="preserve"> 在收到承包人提交的预付款保函和正式发票后，发包人一次性向承包人支付预付款</w:t>
      </w:r>
      <w:r>
        <w:rPr>
          <w:rFonts w:hint="eastAsia"/>
          <w:szCs w:val="21"/>
          <w:highlight w:val="none"/>
        </w:rPr>
        <w:t xml:space="preserve">。                                                         </w:t>
      </w:r>
    </w:p>
    <w:p>
      <w:pPr>
        <w:spacing w:line="400" w:lineRule="exact"/>
        <w:ind w:firstLine="420" w:firstLineChars="200"/>
        <w:rPr>
          <w:szCs w:val="21"/>
          <w:highlight w:val="none"/>
        </w:rPr>
      </w:pPr>
      <w:r>
        <w:rPr>
          <w:rFonts w:hint="eastAsia"/>
          <w:szCs w:val="21"/>
          <w:highlight w:val="none"/>
        </w:rPr>
        <w:t>预付款的支付时间：</w:t>
      </w:r>
      <w:r>
        <w:rPr>
          <w:rFonts w:hint="eastAsia"/>
          <w:szCs w:val="21"/>
          <w:highlight w:val="none"/>
          <w:u w:val="single"/>
        </w:rPr>
        <w:t xml:space="preserve"> 合同签订后30天内，不迟于约定的开工日期前7天</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发包人逾期支付合同约定的预付款，除承担通用合同条款第22.2款约定的违约责任外，还应向承包人支付按专用合同条款第17.3.3(2)目约定的标准和方法计算的逾期付款违约金。</w:t>
      </w:r>
    </w:p>
    <w:p>
      <w:pPr>
        <w:spacing w:line="400" w:lineRule="exact"/>
        <w:ind w:firstLine="420" w:firstLineChars="200"/>
        <w:rPr>
          <w:rFonts w:ascii="黑体" w:eastAsia="黑体" w:cs="Arial"/>
          <w:highlight w:val="none"/>
        </w:rPr>
      </w:pPr>
      <w:r>
        <w:rPr>
          <w:rFonts w:hint="eastAsia" w:ascii="黑体" w:eastAsia="黑体" w:cs="Arial"/>
          <w:highlight w:val="none"/>
        </w:rPr>
        <w:t>17.2.2 预付款保函</w:t>
      </w:r>
    </w:p>
    <w:p>
      <w:pPr>
        <w:spacing w:line="400" w:lineRule="exact"/>
        <w:ind w:firstLine="420" w:firstLineChars="200"/>
        <w:rPr>
          <w:szCs w:val="21"/>
          <w:highlight w:val="none"/>
        </w:rPr>
      </w:pPr>
      <w:r>
        <w:rPr>
          <w:rFonts w:hint="eastAsia"/>
          <w:szCs w:val="21"/>
          <w:highlight w:val="none"/>
        </w:rPr>
        <w:t>预付款保函的金额与预付款金额相同。预付款保函的提交时间：</w:t>
      </w:r>
      <w:r>
        <w:rPr>
          <w:rFonts w:hint="eastAsia"/>
          <w:szCs w:val="21"/>
          <w:highlight w:val="none"/>
          <w:u w:val="single"/>
        </w:rPr>
        <w:t>承包人应在收到预付款同时向发包人提交预付款保函</w:t>
      </w:r>
      <w:r>
        <w:rPr>
          <w:rFonts w:hint="eastAsia"/>
          <w:szCs w:val="21"/>
          <w:highlight w:val="none"/>
        </w:rPr>
        <w:t>。</w:t>
      </w:r>
    </w:p>
    <w:p>
      <w:pPr>
        <w:spacing w:line="400" w:lineRule="exact"/>
        <w:ind w:firstLine="420" w:firstLineChars="200"/>
        <w:rPr>
          <w:rFonts w:cs="Arial"/>
          <w:highlight w:val="none"/>
        </w:rPr>
      </w:pPr>
      <w:r>
        <w:rPr>
          <w:rFonts w:hint="eastAsia" w:cs="Arial"/>
          <w:szCs w:val="21"/>
          <w:highlight w:val="none"/>
        </w:rPr>
        <w:t>预付款保函的担保金额应当根据预付款扣回的金额递减，保函条款中可以设立担保金额递减的条款。发包人在签认每一期进度付款证书后14天内，应当以书面方式通知出具预付款保函的担保人并附上一份经其签认的进度付款证书副本，担保人根据发包人的通知和经发包人签认的进度付款证书中累计扣回的预付款金额等额调减预付款保函的担保金额。自担保人收到发包人通知之日起，该经过递减的担保金额为预付款保函担保金额。</w:t>
      </w:r>
    </w:p>
    <w:p>
      <w:pPr>
        <w:spacing w:line="400" w:lineRule="exact"/>
        <w:ind w:firstLine="420" w:firstLineChars="200"/>
        <w:rPr>
          <w:rFonts w:ascii="黑体" w:eastAsia="黑体" w:cs="Arial"/>
          <w:highlight w:val="none"/>
        </w:rPr>
      </w:pPr>
      <w:r>
        <w:rPr>
          <w:rFonts w:hint="eastAsia" w:ascii="黑体" w:eastAsia="黑体" w:cs="Arial"/>
          <w:highlight w:val="none"/>
        </w:rPr>
        <w:t>17.2.3 预付款的扣回与还清</w:t>
      </w:r>
    </w:p>
    <w:p>
      <w:pPr>
        <w:spacing w:line="400" w:lineRule="exact"/>
        <w:ind w:firstLine="420" w:firstLineChars="200"/>
        <w:rPr>
          <w:szCs w:val="21"/>
          <w:highlight w:val="none"/>
        </w:rPr>
      </w:pPr>
      <w:bookmarkStart w:id="1805" w:name="_Toc144974692"/>
      <w:bookmarkStart w:id="1806" w:name="_Toc152045721"/>
      <w:bookmarkStart w:id="1807" w:name="_Toc179632739"/>
      <w:bookmarkStart w:id="1808" w:name="_Toc152042500"/>
      <w:r>
        <w:rPr>
          <w:rFonts w:hint="eastAsia"/>
          <w:szCs w:val="21"/>
          <w:highlight w:val="none"/>
        </w:rPr>
        <w:t>预付款的扣回办法：</w:t>
      </w:r>
      <w:r>
        <w:rPr>
          <w:rFonts w:hint="eastAsia"/>
          <w:szCs w:val="21"/>
          <w:highlight w:val="none"/>
          <w:u w:val="single"/>
          <w:lang w:val="en-US" w:eastAsia="zh-CN"/>
        </w:rPr>
        <w:t>第一次进度款付款时一次性扣回</w:t>
      </w:r>
      <w:r>
        <w:rPr>
          <w:rFonts w:hint="eastAsia"/>
          <w:szCs w:val="21"/>
          <w:highlight w:val="none"/>
          <w:u w:val="single"/>
        </w:rPr>
        <w:t>。</w:t>
      </w:r>
      <w:r>
        <w:rPr>
          <w:rFonts w:hint="eastAsia"/>
          <w:szCs w:val="21"/>
          <w:highlight w:val="none"/>
        </w:rPr>
        <w:t xml:space="preserve">  </w:t>
      </w:r>
    </w:p>
    <w:p>
      <w:pPr>
        <w:spacing w:line="400" w:lineRule="exact"/>
        <w:ind w:firstLine="420" w:firstLineChars="200"/>
        <w:rPr>
          <w:rFonts w:ascii="黑体" w:eastAsia="黑体"/>
          <w:szCs w:val="21"/>
          <w:highlight w:val="none"/>
        </w:rPr>
      </w:pPr>
      <w:r>
        <w:rPr>
          <w:rFonts w:hint="eastAsia" w:ascii="黑体" w:eastAsia="黑体"/>
          <w:szCs w:val="21"/>
          <w:highlight w:val="none"/>
        </w:rPr>
        <w:t>17.2.4 预付款保函的格式</w:t>
      </w:r>
    </w:p>
    <w:p>
      <w:pPr>
        <w:spacing w:line="400" w:lineRule="exact"/>
        <w:ind w:firstLine="420" w:firstLineChars="200"/>
        <w:rPr>
          <w:szCs w:val="21"/>
          <w:highlight w:val="none"/>
        </w:rPr>
      </w:pPr>
      <w:r>
        <w:rPr>
          <w:rFonts w:hint="eastAsia"/>
          <w:szCs w:val="21"/>
          <w:highlight w:val="none"/>
        </w:rPr>
        <w:t>承包人应当按照专用合同条款第17.2.2项约定的金额和时间以及发包人在本工程招标文件中规定的或者其他经过发包人事先认可的格式向发包人递交一份无条件兑付的和不可撤销的预付款保函。</w:t>
      </w:r>
    </w:p>
    <w:p>
      <w:pPr>
        <w:spacing w:line="400" w:lineRule="exact"/>
        <w:ind w:firstLine="420" w:firstLineChars="200"/>
        <w:rPr>
          <w:rFonts w:ascii="黑体" w:eastAsia="黑体"/>
          <w:szCs w:val="21"/>
          <w:highlight w:val="none"/>
        </w:rPr>
      </w:pPr>
      <w:r>
        <w:rPr>
          <w:rFonts w:hint="eastAsia" w:ascii="黑体" w:eastAsia="黑体"/>
          <w:szCs w:val="21"/>
          <w:highlight w:val="none"/>
        </w:rPr>
        <w:t>17.2.5 预付款保函的有效期</w:t>
      </w:r>
    </w:p>
    <w:p>
      <w:pPr>
        <w:spacing w:line="400" w:lineRule="exact"/>
        <w:ind w:firstLine="420" w:firstLineChars="200"/>
        <w:rPr>
          <w:szCs w:val="21"/>
          <w:highlight w:val="none"/>
        </w:rPr>
      </w:pPr>
      <w:r>
        <w:rPr>
          <w:rFonts w:hint="eastAsia"/>
          <w:szCs w:val="21"/>
          <w:highlight w:val="none"/>
        </w:rPr>
        <w:t>预付款保函的有效期应当自预付款支付给承包人之日起至发包人签认的进度付款证书说明</w:t>
      </w:r>
      <w:r>
        <w:rPr>
          <w:rFonts w:hint="eastAsia" w:cs="Arial"/>
          <w:szCs w:val="21"/>
          <w:highlight w:val="none"/>
        </w:rPr>
        <w:t>预付款</w:t>
      </w:r>
      <w:r>
        <w:rPr>
          <w:rFonts w:hint="eastAsia"/>
          <w:szCs w:val="21"/>
          <w:highlight w:val="none"/>
        </w:rPr>
        <w:t>已完全扣清之日止。</w:t>
      </w:r>
    </w:p>
    <w:p>
      <w:pPr>
        <w:spacing w:line="400" w:lineRule="exact"/>
        <w:ind w:firstLine="420" w:firstLineChars="200"/>
        <w:rPr>
          <w:rFonts w:ascii="黑体" w:eastAsia="黑体"/>
          <w:szCs w:val="21"/>
          <w:highlight w:val="none"/>
        </w:rPr>
      </w:pPr>
      <w:r>
        <w:rPr>
          <w:rFonts w:hint="eastAsia" w:ascii="黑体" w:eastAsia="黑体"/>
          <w:szCs w:val="21"/>
          <w:highlight w:val="none"/>
        </w:rPr>
        <w:t>17.2.6 发包人的通知义务</w:t>
      </w:r>
    </w:p>
    <w:p>
      <w:pPr>
        <w:spacing w:line="400" w:lineRule="exact"/>
        <w:ind w:firstLine="420" w:firstLineChars="200"/>
        <w:rPr>
          <w:szCs w:val="21"/>
          <w:highlight w:val="none"/>
        </w:rPr>
      </w:pPr>
      <w:r>
        <w:rPr>
          <w:rFonts w:hint="eastAsia"/>
          <w:szCs w:val="21"/>
          <w:highlight w:val="none"/>
        </w:rPr>
        <w:t>不管保函条款中如何约定，发包人根据担保提出索赔或兑现要求之前，均应通知承包人并说明导致此类索赔或兑现的原因，但此类通知不应理解为是在任何意义上寻求承包人的同意。</w:t>
      </w:r>
    </w:p>
    <w:p>
      <w:pPr>
        <w:spacing w:line="400" w:lineRule="exact"/>
        <w:ind w:firstLine="420" w:firstLineChars="200"/>
        <w:rPr>
          <w:rFonts w:ascii="黑体" w:eastAsia="黑体"/>
          <w:szCs w:val="21"/>
          <w:highlight w:val="none"/>
        </w:rPr>
      </w:pPr>
      <w:r>
        <w:rPr>
          <w:rFonts w:hint="eastAsia" w:ascii="黑体" w:eastAsia="黑体"/>
          <w:szCs w:val="21"/>
          <w:highlight w:val="none"/>
        </w:rPr>
        <w:t>17.2.7 预付款保函的退还</w:t>
      </w:r>
    </w:p>
    <w:p>
      <w:pPr>
        <w:spacing w:line="400" w:lineRule="exact"/>
        <w:ind w:firstLine="420" w:firstLineChars="200"/>
        <w:rPr>
          <w:highlight w:val="none"/>
        </w:rPr>
      </w:pPr>
      <w:r>
        <w:rPr>
          <w:rFonts w:hint="eastAsia"/>
          <w:szCs w:val="21"/>
          <w:highlight w:val="none"/>
        </w:rPr>
        <w:t>预付款保函应在发包人签认的进度付款证书说明</w:t>
      </w:r>
      <w:r>
        <w:rPr>
          <w:rFonts w:hint="eastAsia" w:cs="Arial"/>
          <w:szCs w:val="21"/>
          <w:highlight w:val="none"/>
        </w:rPr>
        <w:t>预付款</w:t>
      </w:r>
      <w:r>
        <w:rPr>
          <w:rFonts w:hint="eastAsia"/>
          <w:szCs w:val="21"/>
          <w:highlight w:val="none"/>
        </w:rPr>
        <w:t>已完全扣清之日后14天内退还给承包人。发包人不承担承包人与预付款保函有关的任何利息或其它类似的费用或者收益。</w:t>
      </w:r>
    </w:p>
    <w:p>
      <w:pPr>
        <w:pStyle w:val="199"/>
        <w:outlineLvl w:val="0"/>
        <w:rPr>
          <w:rFonts w:ascii="黑体" w:hAnsi="宋体" w:cs="Arial"/>
          <w:highlight w:val="none"/>
        </w:rPr>
      </w:pPr>
      <w:bookmarkStart w:id="1809" w:name="_Toc434331408"/>
      <w:bookmarkStart w:id="1810" w:name="_Toc342296484"/>
      <w:bookmarkStart w:id="1811" w:name="_Toc241459725"/>
      <w:bookmarkStart w:id="1812" w:name="_Toc9676"/>
      <w:r>
        <w:rPr>
          <w:rFonts w:hint="eastAsia" w:ascii="黑体" w:hAnsi="宋体" w:cs="Arial"/>
          <w:highlight w:val="none"/>
        </w:rPr>
        <w:t>17.3 工程进度付款</w:t>
      </w:r>
      <w:bookmarkEnd w:id="1805"/>
      <w:bookmarkEnd w:id="1806"/>
      <w:bookmarkEnd w:id="1807"/>
      <w:bookmarkEnd w:id="1808"/>
      <w:bookmarkEnd w:id="1809"/>
      <w:bookmarkEnd w:id="1810"/>
      <w:bookmarkEnd w:id="1811"/>
      <w:bookmarkEnd w:id="1812"/>
    </w:p>
    <w:p>
      <w:pPr>
        <w:spacing w:line="400" w:lineRule="exact"/>
        <w:ind w:firstLine="420" w:firstLineChars="200"/>
        <w:rPr>
          <w:rFonts w:ascii="黑体" w:eastAsia="黑体"/>
          <w:szCs w:val="21"/>
          <w:highlight w:val="none"/>
        </w:rPr>
      </w:pPr>
      <w:r>
        <w:rPr>
          <w:rFonts w:hint="eastAsia" w:ascii="黑体" w:eastAsia="黑体"/>
          <w:szCs w:val="21"/>
          <w:highlight w:val="none"/>
        </w:rPr>
        <w:t>17.3.2进度付款申请单</w:t>
      </w:r>
    </w:p>
    <w:p>
      <w:pPr>
        <w:spacing w:line="400" w:lineRule="exact"/>
        <w:ind w:firstLine="420" w:firstLineChars="200"/>
        <w:rPr>
          <w:szCs w:val="21"/>
          <w:highlight w:val="none"/>
        </w:rPr>
      </w:pPr>
      <w:r>
        <w:rPr>
          <w:rFonts w:hint="eastAsia"/>
          <w:szCs w:val="21"/>
          <w:highlight w:val="none"/>
        </w:rPr>
        <w:t>进度付款申请单的份数：</w:t>
      </w:r>
      <w:r>
        <w:rPr>
          <w:rFonts w:hint="eastAsia"/>
          <w:szCs w:val="21"/>
          <w:highlight w:val="none"/>
          <w:u w:val="single"/>
        </w:rPr>
        <w:t xml:space="preserve">      </w:t>
      </w:r>
      <w:r>
        <w:rPr>
          <w:szCs w:val="21"/>
          <w:highlight w:val="none"/>
          <w:u w:val="single"/>
        </w:rPr>
        <w:t>一式陆份</w:t>
      </w:r>
      <w:r>
        <w:rPr>
          <w:rFonts w:hint="eastAsia"/>
          <w:szCs w:val="21"/>
          <w:highlight w:val="none"/>
          <w:u w:val="single"/>
        </w:rPr>
        <w:t xml:space="preserve">      </w:t>
      </w:r>
      <w:r>
        <w:rPr>
          <w:rFonts w:hint="eastAsia"/>
          <w:szCs w:val="21"/>
          <w:highlight w:val="none"/>
        </w:rPr>
        <w:t>。</w:t>
      </w:r>
    </w:p>
    <w:p>
      <w:pPr>
        <w:spacing w:line="400" w:lineRule="exact"/>
        <w:ind w:firstLine="420" w:firstLineChars="200"/>
        <w:rPr>
          <w:szCs w:val="21"/>
          <w:highlight w:val="none"/>
          <w:u w:val="single"/>
        </w:rPr>
      </w:pPr>
      <w:r>
        <w:rPr>
          <w:rFonts w:hint="eastAsia"/>
          <w:szCs w:val="21"/>
          <w:highlight w:val="none"/>
        </w:rPr>
        <w:t>进度付款申请单的内容：</w:t>
      </w:r>
      <w:r>
        <w:rPr>
          <w:rFonts w:hint="eastAsia"/>
          <w:szCs w:val="21"/>
          <w:highlight w:val="none"/>
          <w:u w:val="single"/>
        </w:rPr>
        <w:t xml:space="preserve"> （1）付款次数或编号；（2）截止本次付款周期末已实施工程的价款；（3）变更金额；（4）索赔金额；（5）本次应支付的预付款和（或）应扣减的返还预付款；(6)本次扣减的质量保修金；（7）根据合同应增加和扣减的其他金额。 </w:t>
      </w:r>
    </w:p>
    <w:p>
      <w:pPr>
        <w:spacing w:line="400" w:lineRule="exact"/>
        <w:ind w:firstLine="420" w:firstLineChars="200"/>
        <w:rPr>
          <w:rFonts w:ascii="黑体" w:eastAsia="黑体"/>
          <w:szCs w:val="21"/>
          <w:highlight w:val="none"/>
        </w:rPr>
      </w:pPr>
      <w:r>
        <w:rPr>
          <w:rFonts w:hint="eastAsia" w:ascii="黑体" w:eastAsia="黑体"/>
          <w:szCs w:val="21"/>
          <w:highlight w:val="none"/>
        </w:rPr>
        <w:t>17.3.3进度付款证书和支付时间</w:t>
      </w:r>
    </w:p>
    <w:p>
      <w:pPr>
        <w:spacing w:line="400" w:lineRule="exact"/>
        <w:ind w:firstLine="420" w:firstLineChars="200"/>
        <w:rPr>
          <w:szCs w:val="21"/>
          <w:highlight w:val="none"/>
        </w:rPr>
      </w:pPr>
      <w:r>
        <w:rPr>
          <w:rFonts w:hint="eastAsia"/>
          <w:szCs w:val="21"/>
          <w:highlight w:val="none"/>
        </w:rPr>
        <w:t>（2）发包人未按专用合同条款第17.2.1(2)目、通用合同条款第17.3.3(2)目、第17.5.2(2)目和第17.6.2(2)目约定的期限支付承包人依合同约定应当得到的款项，应当从应付之日起向承包人支付逾期付款违约金。承包人应当按通用合同条款第23.1（1）目的约定，在最终付款期限到期后28天内，向监理人递交索赔意向通知书,说明有权得到按本款约定的下列标准和方法计算的逾期付款违约金。承包人要求发包人支付逾期付款违约金不影响承包人要求发包人承担通用合同条款第22.2款约定的其他违约责任的权利。</w:t>
      </w:r>
    </w:p>
    <w:p>
      <w:pPr>
        <w:spacing w:line="400" w:lineRule="exact"/>
        <w:ind w:firstLine="420" w:firstLineChars="200"/>
        <w:rPr>
          <w:szCs w:val="21"/>
          <w:highlight w:val="none"/>
        </w:rPr>
      </w:pPr>
      <w:r>
        <w:rPr>
          <w:rFonts w:hint="eastAsia"/>
          <w:szCs w:val="21"/>
          <w:highlight w:val="none"/>
        </w:rPr>
        <w:t>逾期付款违约金的计算标准为：</w:t>
      </w:r>
      <w:r>
        <w:rPr>
          <w:rFonts w:hint="eastAsia"/>
          <w:szCs w:val="21"/>
          <w:highlight w:val="none"/>
          <w:u w:val="single"/>
        </w:rPr>
        <w:t xml:space="preserve"> 按照中国人民银行发布的同期同类贷款利率计算，但因财政拔款未到位而造成的付款延误，发包人不需支付逾期付款违约金，且承包人不得借故停工或延误工期，否则应承担相关违约责任，并不得向发包人提出任何索赔或追究责任</w:t>
      </w:r>
      <w:r>
        <w:rPr>
          <w:rFonts w:hint="eastAsia"/>
          <w:szCs w:val="21"/>
          <w:highlight w:val="none"/>
        </w:rPr>
        <w:t>。</w:t>
      </w:r>
    </w:p>
    <w:p>
      <w:pPr>
        <w:spacing w:line="400" w:lineRule="exact"/>
        <w:ind w:firstLine="420" w:firstLineChars="200"/>
        <w:rPr>
          <w:szCs w:val="21"/>
          <w:highlight w:val="none"/>
          <w:u w:val="single"/>
        </w:rPr>
      </w:pPr>
      <w:r>
        <w:rPr>
          <w:rFonts w:hint="eastAsia"/>
          <w:szCs w:val="21"/>
          <w:highlight w:val="none"/>
        </w:rPr>
        <w:t>逾期付款违约金的计算方法为：</w:t>
      </w:r>
      <w:r>
        <w:rPr>
          <w:rFonts w:hint="eastAsia"/>
          <w:szCs w:val="21"/>
          <w:highlight w:val="none"/>
          <w:u w:val="single"/>
        </w:rPr>
        <w:t xml:space="preserve"> 发包人应付未付承包人款项金额*延期支付时间*延期支付时间的同期银行贷款利率。</w:t>
      </w:r>
    </w:p>
    <w:p>
      <w:pPr>
        <w:spacing w:line="400" w:lineRule="exact"/>
        <w:ind w:firstLine="420" w:firstLineChars="200"/>
        <w:rPr>
          <w:szCs w:val="21"/>
          <w:highlight w:val="none"/>
        </w:rPr>
      </w:pPr>
      <w:r>
        <w:rPr>
          <w:rFonts w:hint="eastAsia"/>
          <w:szCs w:val="21"/>
          <w:highlight w:val="none"/>
        </w:rPr>
        <w:t>（4）进度付款涉及政府性资金的支付方法：</w:t>
      </w:r>
      <w:r>
        <w:rPr>
          <w:rFonts w:hint="eastAsia"/>
          <w:szCs w:val="21"/>
          <w:highlight w:val="none"/>
          <w:u w:val="single"/>
        </w:rPr>
        <w:t xml:space="preserve">          /              </w:t>
      </w:r>
      <w:r>
        <w:rPr>
          <w:rFonts w:hint="eastAsia"/>
          <w:szCs w:val="21"/>
          <w:highlight w:val="none"/>
        </w:rPr>
        <w:t>。</w:t>
      </w:r>
    </w:p>
    <w:p>
      <w:pPr>
        <w:spacing w:line="400" w:lineRule="exact"/>
        <w:ind w:firstLine="420" w:firstLineChars="200"/>
        <w:rPr>
          <w:rFonts w:ascii="黑体" w:eastAsia="黑体"/>
          <w:szCs w:val="21"/>
          <w:highlight w:val="none"/>
        </w:rPr>
      </w:pPr>
      <w:bookmarkStart w:id="1813" w:name="_Toc144974693"/>
      <w:bookmarkStart w:id="1814" w:name="_Toc152045722"/>
      <w:bookmarkStart w:id="1815" w:name="_Toc152042501"/>
      <w:bookmarkStart w:id="1816" w:name="_Toc179632740"/>
      <w:r>
        <w:rPr>
          <w:rFonts w:hint="eastAsia" w:ascii="黑体" w:eastAsia="黑体"/>
          <w:szCs w:val="21"/>
          <w:highlight w:val="none"/>
        </w:rPr>
        <w:t>17.3.5 临时付款证书</w:t>
      </w:r>
    </w:p>
    <w:p>
      <w:pPr>
        <w:spacing w:line="400" w:lineRule="exact"/>
        <w:ind w:firstLine="420" w:firstLineChars="200"/>
        <w:rPr>
          <w:szCs w:val="21"/>
          <w:highlight w:val="none"/>
        </w:rPr>
      </w:pPr>
      <w:r>
        <w:rPr>
          <w:rFonts w:hint="eastAsia"/>
          <w:szCs w:val="21"/>
          <w:highlight w:val="none"/>
        </w:rPr>
        <w:t>在合同约定的期限内，承包人和监理人无法对当期已完工程量和按合同约定应当支付的其他款项达成一致的，监理人应当在收到承包人报送的进度付款申请单等文件后14天内，就承包人没有异议的金额准备一个临时付款证书，报送发包人审查。临时付款证书中应当说明承包人有异议部分的金额及其原因，经发包人签认后，由监理人向承包人出具临时付款证书。发包人应当在监理人收到进度付款申请单后28天内，将临时付款证书中确定的应付金额支付给承包人。发包人和监理人均不得以任何理由延期支付工程进度付款。</w:t>
      </w:r>
    </w:p>
    <w:p>
      <w:pPr>
        <w:spacing w:line="400" w:lineRule="exact"/>
        <w:ind w:firstLine="420" w:firstLineChars="200"/>
        <w:rPr>
          <w:szCs w:val="21"/>
          <w:highlight w:val="none"/>
        </w:rPr>
      </w:pPr>
      <w:r>
        <w:rPr>
          <w:rFonts w:hint="eastAsia"/>
          <w:szCs w:val="21"/>
          <w:highlight w:val="none"/>
        </w:rPr>
        <w:t>对临时付款证书中列明的承包人有异议部分的金额，承包人应当按照监理人要求，提交进一步的支持性文件和（或）与监理人做进一步共同复核工作，经监理人进一步审核并认可的应付金额，应当按通用合同条款第17.3.4项的约定纳入到下一期进度付款证书中。经过进一步努力，承包人仍有异议的，按合同条款第24条的约定办理。</w:t>
      </w:r>
    </w:p>
    <w:p>
      <w:pPr>
        <w:pStyle w:val="199"/>
        <w:outlineLvl w:val="0"/>
        <w:rPr>
          <w:rFonts w:ascii="黑体" w:hAnsi="宋体" w:cs="Arial"/>
          <w:highlight w:val="none"/>
        </w:rPr>
      </w:pPr>
      <w:bookmarkStart w:id="1817" w:name="_Toc241459726"/>
      <w:bookmarkStart w:id="1818" w:name="_Toc489"/>
      <w:bookmarkStart w:id="1819" w:name="_Toc342296485"/>
      <w:bookmarkStart w:id="1820" w:name="_Toc434331409"/>
      <w:r>
        <w:rPr>
          <w:rFonts w:hint="eastAsia" w:ascii="黑体" w:hAnsi="宋体" w:cs="Arial"/>
          <w:highlight w:val="none"/>
        </w:rPr>
        <w:t xml:space="preserve">17.4 </w:t>
      </w:r>
      <w:bookmarkEnd w:id="1813"/>
      <w:bookmarkEnd w:id="1814"/>
      <w:bookmarkEnd w:id="1815"/>
      <w:r>
        <w:rPr>
          <w:rFonts w:hint="eastAsia" w:ascii="黑体" w:hAnsi="宋体" w:cs="Arial"/>
          <w:highlight w:val="none"/>
        </w:rPr>
        <w:t>质量保证金</w:t>
      </w:r>
      <w:bookmarkEnd w:id="1816"/>
      <w:bookmarkEnd w:id="1817"/>
      <w:bookmarkEnd w:id="1818"/>
      <w:bookmarkEnd w:id="1819"/>
      <w:bookmarkEnd w:id="1820"/>
    </w:p>
    <w:p>
      <w:pPr>
        <w:spacing w:line="400" w:lineRule="exact"/>
        <w:ind w:firstLine="420" w:firstLineChars="200"/>
        <w:rPr>
          <w:szCs w:val="21"/>
          <w:highlight w:val="none"/>
        </w:rPr>
      </w:pPr>
      <w:bookmarkStart w:id="1821" w:name="_Toc152045723"/>
      <w:bookmarkStart w:id="1822" w:name="_Toc144974694"/>
      <w:bookmarkStart w:id="1823" w:name="_Toc152042502"/>
      <w:bookmarkStart w:id="1824" w:name="_Toc179632741"/>
      <w:r>
        <w:rPr>
          <w:rFonts w:hint="eastAsia"/>
          <w:szCs w:val="21"/>
          <w:highlight w:val="none"/>
        </w:rPr>
        <w:t>17.4.1质量保证金由监理人从第一个付款周期开始按进度付款证书确认的已实施工程的价款、根据合同条款第15条增加和扣减的变更金额、根据合同条款第23条增加和扣减的索赔金额以及根据合同应增加和扣减的其他金额（不包括预付款的支付、返还、合同条款第16条约定的价格调整金额、此前已经按合同约定支付给承包人的进度款以及已经扣留的质量保证金）的总额的百分之三（3%）扣留，直至质量保证金累计扣留金额达到签约合同价的百分之三（3%）为止。</w:t>
      </w:r>
    </w:p>
    <w:p>
      <w:pPr>
        <w:pStyle w:val="199"/>
        <w:outlineLvl w:val="0"/>
        <w:rPr>
          <w:rFonts w:ascii="黑体" w:hAnsi="宋体" w:cs="Arial"/>
          <w:highlight w:val="none"/>
        </w:rPr>
      </w:pPr>
      <w:bookmarkStart w:id="1825" w:name="_Toc241459727"/>
      <w:bookmarkStart w:id="1826" w:name="_Toc342296486"/>
      <w:bookmarkStart w:id="1827" w:name="_Toc434331410"/>
      <w:bookmarkStart w:id="1828" w:name="_Toc16420"/>
      <w:r>
        <w:rPr>
          <w:rFonts w:hint="eastAsia" w:ascii="黑体" w:hAnsi="宋体" w:cs="Arial"/>
          <w:highlight w:val="none"/>
        </w:rPr>
        <w:t>17.5 竣工结算</w:t>
      </w:r>
      <w:bookmarkEnd w:id="1821"/>
      <w:bookmarkEnd w:id="1822"/>
      <w:bookmarkEnd w:id="1823"/>
      <w:bookmarkEnd w:id="1824"/>
      <w:bookmarkEnd w:id="1825"/>
      <w:bookmarkEnd w:id="1826"/>
      <w:bookmarkEnd w:id="1827"/>
      <w:bookmarkEnd w:id="1828"/>
    </w:p>
    <w:p>
      <w:pPr>
        <w:spacing w:line="400" w:lineRule="exact"/>
        <w:ind w:firstLine="420" w:firstLineChars="200"/>
        <w:rPr>
          <w:rFonts w:ascii="黑体" w:eastAsia="黑体"/>
          <w:szCs w:val="21"/>
          <w:highlight w:val="none"/>
        </w:rPr>
      </w:pPr>
      <w:bookmarkStart w:id="1829" w:name="_Toc152042503"/>
      <w:bookmarkStart w:id="1830" w:name="_Toc144974695"/>
      <w:bookmarkStart w:id="1831" w:name="_Toc152045724"/>
      <w:bookmarkStart w:id="1832" w:name="_Toc179632742"/>
      <w:r>
        <w:rPr>
          <w:rFonts w:hint="eastAsia" w:ascii="黑体" w:eastAsia="黑体"/>
          <w:szCs w:val="21"/>
          <w:highlight w:val="none"/>
        </w:rPr>
        <w:t>17.5.1竣工付款申请单</w:t>
      </w:r>
    </w:p>
    <w:p>
      <w:pPr>
        <w:spacing w:line="400" w:lineRule="exact"/>
        <w:ind w:firstLine="420" w:firstLineChars="200"/>
        <w:rPr>
          <w:szCs w:val="21"/>
          <w:highlight w:val="none"/>
          <w:u w:val="single"/>
        </w:rPr>
      </w:pPr>
      <w:r>
        <w:rPr>
          <w:rFonts w:hint="eastAsia"/>
          <w:szCs w:val="21"/>
          <w:highlight w:val="none"/>
        </w:rPr>
        <w:t>承包人提交竣工付款申请单的份数：</w:t>
      </w:r>
      <w:r>
        <w:rPr>
          <w:rFonts w:hint="eastAsia"/>
          <w:szCs w:val="21"/>
          <w:highlight w:val="none"/>
          <w:u w:val="single"/>
        </w:rPr>
        <w:t xml:space="preserve">  提交6份竣工付款申请单     </w:t>
      </w:r>
      <w:r>
        <w:rPr>
          <w:rFonts w:hint="eastAsia"/>
          <w:szCs w:val="21"/>
          <w:highlight w:val="none"/>
        </w:rPr>
        <w:t>。</w:t>
      </w:r>
    </w:p>
    <w:p>
      <w:pPr>
        <w:spacing w:line="400" w:lineRule="exact"/>
        <w:ind w:firstLine="420" w:firstLineChars="200"/>
        <w:rPr>
          <w:szCs w:val="21"/>
          <w:highlight w:val="none"/>
          <w:u w:val="single"/>
        </w:rPr>
      </w:pPr>
      <w:r>
        <w:rPr>
          <w:rFonts w:hint="eastAsia"/>
          <w:szCs w:val="21"/>
          <w:highlight w:val="none"/>
        </w:rPr>
        <w:t>承包人提交竣工付款申请单的期限：</w:t>
      </w:r>
      <w:r>
        <w:rPr>
          <w:rFonts w:hint="eastAsia"/>
          <w:szCs w:val="21"/>
          <w:highlight w:val="none"/>
          <w:u w:val="single"/>
        </w:rPr>
        <w:t xml:space="preserve">在工程接受证书颁发后14天内  </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竣工付款申请单的内容：</w:t>
      </w:r>
      <w:r>
        <w:rPr>
          <w:rFonts w:hint="eastAsia"/>
          <w:szCs w:val="21"/>
          <w:highlight w:val="none"/>
          <w:u w:val="single"/>
        </w:rPr>
        <w:t>竣工结算合同总价、已支付的工程价款、应扣回的预付款、应扣留的质量保修金、应支付的竣工付款金额等</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结算审核期限按财政部、建设部关于印发《建设工程价款结算暂行办法》的通知（财建[2004]369号）执行。</w:t>
      </w:r>
    </w:p>
    <w:p>
      <w:pPr>
        <w:spacing w:line="400" w:lineRule="exact"/>
        <w:ind w:firstLine="420" w:firstLineChars="200"/>
        <w:rPr>
          <w:szCs w:val="21"/>
          <w:highlight w:val="none"/>
        </w:rPr>
      </w:pPr>
      <w:r>
        <w:rPr>
          <w:rFonts w:hint="eastAsia" w:cs="Arial"/>
          <w:szCs w:val="21"/>
          <w:highlight w:val="none"/>
        </w:rPr>
        <w:t>承包人未按本项约定的期限和内容提交竣工付款申请单或者未按通用合同条款第17.5.1（2)目约定提交修正后的竣工付款申请单，经监理人催促后14天内仍未提交或者没有明确答复的，监理人和发包人有权根据已有资料进行审查，审查确定的竣工结算</w:t>
      </w:r>
      <w:r>
        <w:rPr>
          <w:rFonts w:hint="eastAsia"/>
          <w:szCs w:val="21"/>
          <w:highlight w:val="none"/>
        </w:rPr>
        <w:t xml:space="preserve">合同总价和竣工付款金额视同是经承包人认可的工程竣工结算合同总价和竣工付款金额。   </w:t>
      </w:r>
    </w:p>
    <w:p>
      <w:pPr>
        <w:spacing w:line="400" w:lineRule="exact"/>
        <w:ind w:firstLine="420" w:firstLineChars="200"/>
        <w:rPr>
          <w:szCs w:val="21"/>
          <w:highlight w:val="none"/>
        </w:rPr>
      </w:pPr>
      <w:r>
        <w:rPr>
          <w:rFonts w:hint="eastAsia"/>
          <w:szCs w:val="21"/>
          <w:highlight w:val="none"/>
        </w:rPr>
        <w:t>不管通用合同条款17.5.2项如何约定，发包人和承包人应当在监理人颁发（出具）工程接收证书后56天内办清竣工结算和竣工付款。但是，政府投资或者以政府投资为主的建设项目纳入审计项目计划的，发包人和承包人均负有配合、接受审计机关审计的义务，竣工结算应当依据审计结论，办清竣工结算和竣工付款的时间按照相关规定和财政拔款进度执行。</w:t>
      </w:r>
    </w:p>
    <w:p>
      <w:pPr>
        <w:pStyle w:val="199"/>
        <w:outlineLvl w:val="0"/>
        <w:rPr>
          <w:rFonts w:ascii="黑体" w:hAnsi="宋体" w:cs="Arial"/>
          <w:highlight w:val="none"/>
        </w:rPr>
      </w:pPr>
      <w:bookmarkStart w:id="1833" w:name="_Toc29939"/>
      <w:bookmarkStart w:id="1834" w:name="_Toc241459728"/>
      <w:bookmarkStart w:id="1835" w:name="_Toc434331411"/>
      <w:bookmarkStart w:id="1836" w:name="_Toc342296487"/>
      <w:r>
        <w:rPr>
          <w:rFonts w:hint="eastAsia" w:ascii="黑体" w:hAnsi="宋体" w:cs="Arial"/>
          <w:highlight w:val="none"/>
        </w:rPr>
        <w:t>17.6 最终结清</w:t>
      </w:r>
      <w:bookmarkEnd w:id="1829"/>
      <w:bookmarkEnd w:id="1830"/>
      <w:bookmarkEnd w:id="1831"/>
      <w:bookmarkEnd w:id="1832"/>
      <w:bookmarkEnd w:id="1833"/>
      <w:bookmarkEnd w:id="1834"/>
      <w:bookmarkEnd w:id="1835"/>
      <w:bookmarkEnd w:id="1836"/>
    </w:p>
    <w:p>
      <w:pPr>
        <w:spacing w:line="400" w:lineRule="exact"/>
        <w:ind w:firstLine="420" w:firstLineChars="200"/>
        <w:rPr>
          <w:rFonts w:ascii="黑体" w:eastAsia="黑体"/>
          <w:szCs w:val="21"/>
          <w:highlight w:val="none"/>
        </w:rPr>
      </w:pPr>
      <w:r>
        <w:rPr>
          <w:rFonts w:hint="eastAsia" w:ascii="黑体" w:eastAsia="黑体"/>
          <w:szCs w:val="21"/>
          <w:highlight w:val="none"/>
        </w:rPr>
        <w:t>17.6.1最终结清申请单</w:t>
      </w:r>
    </w:p>
    <w:p>
      <w:pPr>
        <w:spacing w:line="400" w:lineRule="exact"/>
        <w:ind w:firstLine="420" w:firstLineChars="200"/>
        <w:rPr>
          <w:szCs w:val="21"/>
          <w:highlight w:val="none"/>
        </w:rPr>
      </w:pPr>
      <w:bookmarkStart w:id="1837" w:name="_Toc342296488"/>
      <w:bookmarkStart w:id="1838" w:name="_Toc241459729"/>
      <w:bookmarkStart w:id="1839" w:name="_Toc179632743"/>
      <w:bookmarkStart w:id="1840" w:name="_Toc152045725"/>
      <w:bookmarkStart w:id="1841" w:name="_Toc144974696"/>
      <w:bookmarkStart w:id="1842" w:name="_Toc152042504"/>
      <w:r>
        <w:rPr>
          <w:rFonts w:hint="eastAsia"/>
          <w:szCs w:val="21"/>
          <w:highlight w:val="none"/>
        </w:rPr>
        <w:t>承包人提交最终结清申请单的份数：</w:t>
      </w:r>
      <w:r>
        <w:rPr>
          <w:rFonts w:hint="eastAsia"/>
          <w:szCs w:val="21"/>
          <w:highlight w:val="none"/>
          <w:u w:val="single"/>
        </w:rPr>
        <w:t>提交6份最终结算申请书。</w:t>
      </w:r>
    </w:p>
    <w:p>
      <w:pPr>
        <w:spacing w:line="400" w:lineRule="exact"/>
        <w:ind w:firstLine="420" w:firstLineChars="200"/>
        <w:rPr>
          <w:szCs w:val="21"/>
          <w:highlight w:val="none"/>
        </w:rPr>
      </w:pPr>
      <w:r>
        <w:rPr>
          <w:rFonts w:hint="eastAsia"/>
          <w:szCs w:val="21"/>
          <w:highlight w:val="none"/>
        </w:rPr>
        <w:t>承包人提交最终结清申请单的期限：</w:t>
      </w:r>
      <w:r>
        <w:rPr>
          <w:rFonts w:hint="eastAsia"/>
          <w:szCs w:val="21"/>
          <w:highlight w:val="none"/>
          <w:u w:val="single"/>
        </w:rPr>
        <w:t>在缺陷责任期中止证书颁发后28天内。</w:t>
      </w:r>
    </w:p>
    <w:p>
      <w:pPr>
        <w:pStyle w:val="282"/>
        <w:spacing w:before="0"/>
        <w:outlineLvl w:val="0"/>
        <w:rPr>
          <w:highlight w:val="none"/>
        </w:rPr>
      </w:pPr>
      <w:bookmarkStart w:id="1843" w:name="_Toc434331412"/>
      <w:bookmarkStart w:id="1844" w:name="_Toc4725"/>
      <w:r>
        <w:rPr>
          <w:rFonts w:hint="eastAsia"/>
          <w:highlight w:val="none"/>
        </w:rPr>
        <w:t>18. 竣工验收</w:t>
      </w:r>
      <w:bookmarkEnd w:id="1837"/>
      <w:bookmarkEnd w:id="1838"/>
      <w:bookmarkEnd w:id="1839"/>
      <w:bookmarkEnd w:id="1840"/>
      <w:bookmarkEnd w:id="1841"/>
      <w:bookmarkEnd w:id="1842"/>
      <w:bookmarkEnd w:id="1843"/>
      <w:bookmarkEnd w:id="1844"/>
    </w:p>
    <w:p>
      <w:pPr>
        <w:pStyle w:val="199"/>
        <w:outlineLvl w:val="0"/>
        <w:rPr>
          <w:rFonts w:ascii="黑体" w:hAnsi="宋体" w:cs="Arial"/>
          <w:highlight w:val="none"/>
        </w:rPr>
      </w:pPr>
      <w:bookmarkStart w:id="1845" w:name="_Toc342296489"/>
      <w:bookmarkStart w:id="1846" w:name="_Toc9934"/>
      <w:bookmarkStart w:id="1847" w:name="_Toc179632745"/>
      <w:bookmarkStart w:id="1848" w:name="_Toc434331413"/>
      <w:bookmarkStart w:id="1849" w:name="_Toc144974698"/>
      <w:bookmarkStart w:id="1850" w:name="_Toc152045727"/>
      <w:bookmarkStart w:id="1851" w:name="_Toc241459730"/>
      <w:bookmarkStart w:id="1852" w:name="_Toc152042506"/>
      <w:r>
        <w:rPr>
          <w:rFonts w:hint="eastAsia" w:ascii="黑体" w:hAnsi="宋体" w:cs="Arial"/>
          <w:highlight w:val="none"/>
        </w:rPr>
        <w:t>18.2 竣工验收申请报告</w:t>
      </w:r>
      <w:bookmarkEnd w:id="1845"/>
      <w:bookmarkEnd w:id="1846"/>
      <w:bookmarkEnd w:id="1847"/>
      <w:bookmarkEnd w:id="1848"/>
      <w:bookmarkEnd w:id="1849"/>
      <w:bookmarkEnd w:id="1850"/>
      <w:bookmarkEnd w:id="1851"/>
      <w:bookmarkEnd w:id="1852"/>
    </w:p>
    <w:p>
      <w:pPr>
        <w:spacing w:line="400" w:lineRule="exact"/>
        <w:ind w:firstLine="420" w:firstLineChars="200"/>
        <w:rPr>
          <w:szCs w:val="21"/>
          <w:highlight w:val="none"/>
        </w:rPr>
      </w:pPr>
      <w:bookmarkStart w:id="1853" w:name="_Toc179632746"/>
      <w:bookmarkStart w:id="1854" w:name="_Toc342296490"/>
      <w:bookmarkStart w:id="1855" w:name="_Toc152042507"/>
      <w:bookmarkStart w:id="1856" w:name="_Toc152045728"/>
      <w:bookmarkStart w:id="1857" w:name="_Toc144974699"/>
      <w:bookmarkStart w:id="1858" w:name="_Toc241459731"/>
      <w:r>
        <w:rPr>
          <w:rFonts w:hint="eastAsia"/>
          <w:szCs w:val="21"/>
          <w:highlight w:val="none"/>
        </w:rPr>
        <w:t>（2）承包人负责整理和提交的竣工验收资料应当符合工程所在地建设行政主管部门和（或）城市建设档案管理机构有关施工资料的要求，具体内容包括：</w:t>
      </w:r>
      <w:r>
        <w:rPr>
          <w:rFonts w:hint="eastAsia"/>
          <w:szCs w:val="21"/>
          <w:highlight w:val="none"/>
          <w:u w:val="single"/>
        </w:rPr>
        <w:t>按市建设档案管理机构有关施工资料的要求，包括但不限于</w:t>
      </w:r>
      <w:r>
        <w:rPr>
          <w:szCs w:val="21"/>
          <w:highlight w:val="none"/>
          <w:u w:val="single"/>
        </w:rPr>
        <w:t>1</w:t>
      </w:r>
      <w:r>
        <w:rPr>
          <w:rFonts w:hint="eastAsia"/>
          <w:szCs w:val="21"/>
          <w:highlight w:val="none"/>
          <w:u w:val="single"/>
        </w:rPr>
        <w:t>、施工管理资料；</w:t>
      </w:r>
      <w:r>
        <w:rPr>
          <w:szCs w:val="21"/>
          <w:highlight w:val="none"/>
          <w:u w:val="single"/>
        </w:rPr>
        <w:t>2</w:t>
      </w:r>
      <w:r>
        <w:rPr>
          <w:rFonts w:hint="eastAsia"/>
          <w:szCs w:val="21"/>
          <w:highlight w:val="none"/>
          <w:u w:val="single"/>
        </w:rPr>
        <w:t>、施工技术资料；</w:t>
      </w:r>
      <w:r>
        <w:rPr>
          <w:szCs w:val="21"/>
          <w:highlight w:val="none"/>
          <w:u w:val="single"/>
        </w:rPr>
        <w:t>3</w:t>
      </w:r>
      <w:r>
        <w:rPr>
          <w:rFonts w:hint="eastAsia"/>
          <w:szCs w:val="21"/>
          <w:highlight w:val="none"/>
          <w:u w:val="single"/>
        </w:rPr>
        <w:t>、工程物资资料；</w:t>
      </w:r>
      <w:r>
        <w:rPr>
          <w:szCs w:val="21"/>
          <w:highlight w:val="none"/>
          <w:u w:val="single"/>
        </w:rPr>
        <w:t>4</w:t>
      </w:r>
      <w:r>
        <w:rPr>
          <w:rFonts w:hint="eastAsia"/>
          <w:szCs w:val="21"/>
          <w:highlight w:val="none"/>
          <w:u w:val="single"/>
        </w:rPr>
        <w:t>、施工测量检测资料；</w:t>
      </w:r>
      <w:r>
        <w:rPr>
          <w:szCs w:val="21"/>
          <w:highlight w:val="none"/>
          <w:u w:val="single"/>
        </w:rPr>
        <w:t>5</w:t>
      </w:r>
      <w:r>
        <w:rPr>
          <w:rFonts w:hint="eastAsia"/>
          <w:szCs w:val="21"/>
          <w:highlight w:val="none"/>
          <w:u w:val="single"/>
        </w:rPr>
        <w:t>、施工记录；</w:t>
      </w:r>
      <w:r>
        <w:rPr>
          <w:szCs w:val="21"/>
          <w:highlight w:val="none"/>
          <w:u w:val="single"/>
        </w:rPr>
        <w:t>6</w:t>
      </w:r>
      <w:r>
        <w:rPr>
          <w:rFonts w:hint="eastAsia"/>
          <w:szCs w:val="21"/>
          <w:highlight w:val="none"/>
          <w:u w:val="single"/>
        </w:rPr>
        <w:t>、施工试验记录及检测报告；</w:t>
      </w:r>
      <w:r>
        <w:rPr>
          <w:szCs w:val="21"/>
          <w:highlight w:val="none"/>
          <w:u w:val="single"/>
        </w:rPr>
        <w:t>7</w:t>
      </w:r>
      <w:r>
        <w:rPr>
          <w:rFonts w:hint="eastAsia"/>
          <w:szCs w:val="21"/>
          <w:highlight w:val="none"/>
          <w:u w:val="single"/>
        </w:rPr>
        <w:t>、施工验收资料和工程竣工验收资料。所有分包工程的竣工资料和竣工图由相应的分包人准备和编制但由承包人负责审查、汇总和装订</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竣工验收资料的份数：</w:t>
      </w:r>
      <w:r>
        <w:rPr>
          <w:rFonts w:hint="eastAsia"/>
          <w:szCs w:val="21"/>
          <w:highlight w:val="none"/>
          <w:u w:val="single"/>
        </w:rPr>
        <w:t xml:space="preserve">  全部竣工资料（含工程档案资料及竣工图、含所有分包工程的竣工资料和竣工图）</w:t>
      </w:r>
      <w:r>
        <w:rPr>
          <w:szCs w:val="21"/>
          <w:highlight w:val="none"/>
          <w:u w:val="single"/>
        </w:rPr>
        <w:t>6</w:t>
      </w:r>
      <w:r>
        <w:rPr>
          <w:rFonts w:hint="eastAsia"/>
          <w:szCs w:val="21"/>
          <w:highlight w:val="none"/>
          <w:u w:val="single"/>
        </w:rPr>
        <w:t>套及电子版</w:t>
      </w:r>
      <w:r>
        <w:rPr>
          <w:szCs w:val="21"/>
          <w:highlight w:val="none"/>
          <w:u w:val="single"/>
        </w:rPr>
        <w:t>3</w:t>
      </w:r>
      <w:r>
        <w:rPr>
          <w:rFonts w:hint="eastAsia"/>
          <w:szCs w:val="21"/>
          <w:highlight w:val="none"/>
          <w:u w:val="single"/>
        </w:rPr>
        <w:t>套。</w:t>
      </w:r>
    </w:p>
    <w:p>
      <w:pPr>
        <w:spacing w:line="400" w:lineRule="exact"/>
        <w:ind w:firstLine="420" w:firstLineChars="200"/>
        <w:rPr>
          <w:szCs w:val="21"/>
          <w:highlight w:val="none"/>
        </w:rPr>
      </w:pPr>
      <w:r>
        <w:rPr>
          <w:rFonts w:hint="eastAsia"/>
          <w:szCs w:val="21"/>
          <w:highlight w:val="none"/>
        </w:rPr>
        <w:t>竣工验收资料的费用支付方式：</w:t>
      </w:r>
      <w:r>
        <w:rPr>
          <w:szCs w:val="21"/>
          <w:highlight w:val="none"/>
          <w:u w:val="single"/>
        </w:rPr>
        <w:t>所发生费用由承包人承担，并已含在承包人的合同价中</w:t>
      </w:r>
      <w:r>
        <w:rPr>
          <w:rFonts w:hint="eastAsia"/>
          <w:szCs w:val="21"/>
          <w:highlight w:val="none"/>
        </w:rPr>
        <w:t>。</w:t>
      </w:r>
    </w:p>
    <w:p>
      <w:pPr>
        <w:pStyle w:val="199"/>
        <w:outlineLvl w:val="0"/>
        <w:rPr>
          <w:rFonts w:ascii="黑体" w:hAnsi="宋体" w:cs="Arial"/>
          <w:highlight w:val="none"/>
        </w:rPr>
      </w:pPr>
      <w:bookmarkStart w:id="1859" w:name="_Toc278"/>
      <w:bookmarkStart w:id="1860" w:name="_Toc434331414"/>
      <w:r>
        <w:rPr>
          <w:rFonts w:hint="eastAsia" w:ascii="黑体" w:hAnsi="宋体" w:cs="Arial"/>
          <w:highlight w:val="none"/>
        </w:rPr>
        <w:t>18.3 验 收</w:t>
      </w:r>
      <w:bookmarkEnd w:id="1853"/>
      <w:bookmarkEnd w:id="1854"/>
      <w:bookmarkEnd w:id="1855"/>
      <w:bookmarkEnd w:id="1856"/>
      <w:bookmarkEnd w:id="1857"/>
      <w:bookmarkEnd w:id="1858"/>
      <w:bookmarkEnd w:id="1859"/>
      <w:bookmarkEnd w:id="1860"/>
    </w:p>
    <w:p>
      <w:pPr>
        <w:spacing w:line="400" w:lineRule="exact"/>
        <w:ind w:firstLine="420" w:firstLineChars="200"/>
        <w:rPr>
          <w:rFonts w:cs="Arial"/>
          <w:highlight w:val="none"/>
        </w:rPr>
      </w:pPr>
      <w:r>
        <w:rPr>
          <w:rFonts w:hint="eastAsia"/>
          <w:szCs w:val="21"/>
          <w:highlight w:val="none"/>
        </w:rPr>
        <w:t>18.3.5经验收合格的工程, 实际竣工日期为承包人按照第18.2款提交竣工验收申请报告或按照本款重新提交竣工验收申请报告的日期（以两者中时间在后者为准）。</w:t>
      </w:r>
    </w:p>
    <w:p>
      <w:pPr>
        <w:pStyle w:val="199"/>
        <w:outlineLvl w:val="0"/>
        <w:rPr>
          <w:rFonts w:ascii="黑体" w:hAnsi="宋体" w:cs="Arial"/>
          <w:highlight w:val="none"/>
        </w:rPr>
      </w:pPr>
      <w:bookmarkStart w:id="1861" w:name="_Toc179632748"/>
      <w:bookmarkStart w:id="1862" w:name="_Toc241459732"/>
      <w:bookmarkStart w:id="1863" w:name="_Toc21107"/>
      <w:bookmarkStart w:id="1864" w:name="_Toc152045730"/>
      <w:bookmarkStart w:id="1865" w:name="_Toc342296491"/>
      <w:bookmarkStart w:id="1866" w:name="_Toc152042509"/>
      <w:bookmarkStart w:id="1867" w:name="_Toc144974701"/>
      <w:bookmarkStart w:id="1868" w:name="_Toc434331415"/>
      <w:r>
        <w:rPr>
          <w:rFonts w:hint="eastAsia" w:ascii="黑体" w:hAnsi="宋体" w:cs="Arial"/>
          <w:highlight w:val="none"/>
        </w:rPr>
        <w:t>18.5 施工期运行</w:t>
      </w:r>
      <w:bookmarkEnd w:id="1861"/>
      <w:bookmarkEnd w:id="1862"/>
      <w:bookmarkEnd w:id="1863"/>
      <w:bookmarkEnd w:id="1864"/>
      <w:bookmarkEnd w:id="1865"/>
      <w:bookmarkEnd w:id="1866"/>
      <w:bookmarkEnd w:id="1867"/>
      <w:bookmarkEnd w:id="1868"/>
    </w:p>
    <w:p>
      <w:pPr>
        <w:spacing w:line="400" w:lineRule="exact"/>
        <w:ind w:firstLine="420" w:firstLineChars="200"/>
        <w:rPr>
          <w:szCs w:val="21"/>
          <w:highlight w:val="none"/>
          <w:u w:val="single"/>
        </w:rPr>
      </w:pPr>
      <w:bookmarkStart w:id="1869" w:name="_Toc179632749"/>
      <w:bookmarkStart w:id="1870" w:name="_Toc144974702"/>
      <w:bookmarkStart w:id="1871" w:name="_Toc152045731"/>
      <w:bookmarkStart w:id="1872" w:name="_Toc152042510"/>
      <w:r>
        <w:rPr>
          <w:rFonts w:hint="eastAsia"/>
          <w:szCs w:val="21"/>
          <w:highlight w:val="none"/>
        </w:rPr>
        <w:t>18.5.1需要施工期运行的单位工程或设备安装工程：</w:t>
      </w:r>
      <w:r>
        <w:rPr>
          <w:rFonts w:hint="eastAsia"/>
          <w:szCs w:val="21"/>
          <w:highlight w:val="none"/>
          <w:u w:val="single"/>
        </w:rPr>
        <w:t xml:space="preserve">                           </w:t>
      </w:r>
      <w:r>
        <w:rPr>
          <w:rFonts w:hint="eastAsia"/>
          <w:szCs w:val="21"/>
          <w:highlight w:val="none"/>
        </w:rPr>
        <w:t>。</w:t>
      </w:r>
    </w:p>
    <w:p>
      <w:pPr>
        <w:pStyle w:val="199"/>
        <w:outlineLvl w:val="0"/>
        <w:rPr>
          <w:rFonts w:ascii="黑体" w:hAnsi="宋体" w:cs="Arial"/>
          <w:highlight w:val="none"/>
        </w:rPr>
      </w:pPr>
      <w:bookmarkStart w:id="1873" w:name="_Toc2863"/>
      <w:bookmarkStart w:id="1874" w:name="_Toc434331416"/>
      <w:bookmarkStart w:id="1875" w:name="_Toc342296492"/>
      <w:bookmarkStart w:id="1876" w:name="_Toc241459733"/>
      <w:r>
        <w:rPr>
          <w:rFonts w:hint="eastAsia" w:ascii="黑体" w:hAnsi="宋体" w:cs="Arial"/>
          <w:highlight w:val="none"/>
        </w:rPr>
        <w:t>18.6 试运行</w:t>
      </w:r>
      <w:bookmarkEnd w:id="1869"/>
      <w:bookmarkEnd w:id="1870"/>
      <w:bookmarkEnd w:id="1871"/>
      <w:bookmarkEnd w:id="1872"/>
      <w:bookmarkEnd w:id="1873"/>
      <w:bookmarkEnd w:id="1874"/>
      <w:bookmarkEnd w:id="1875"/>
      <w:bookmarkEnd w:id="1876"/>
    </w:p>
    <w:p>
      <w:pPr>
        <w:spacing w:line="400" w:lineRule="exact"/>
        <w:ind w:firstLine="420" w:firstLineChars="200"/>
        <w:rPr>
          <w:szCs w:val="21"/>
          <w:highlight w:val="none"/>
        </w:rPr>
      </w:pPr>
      <w:bookmarkStart w:id="1877" w:name="_Toc144974703"/>
      <w:bookmarkStart w:id="1878" w:name="_Toc152045732"/>
      <w:bookmarkStart w:id="1879" w:name="_Toc152042511"/>
      <w:bookmarkStart w:id="1880" w:name="_Toc179632750"/>
      <w:r>
        <w:rPr>
          <w:rFonts w:hint="eastAsia"/>
          <w:szCs w:val="21"/>
          <w:highlight w:val="none"/>
        </w:rPr>
        <w:t>18.6.1工程及工程设备试运行的组织与费用承担</w:t>
      </w:r>
    </w:p>
    <w:p>
      <w:pPr>
        <w:spacing w:line="400" w:lineRule="exact"/>
        <w:ind w:firstLine="420" w:firstLineChars="200"/>
        <w:rPr>
          <w:szCs w:val="21"/>
          <w:highlight w:val="none"/>
        </w:rPr>
      </w:pPr>
      <w:r>
        <w:rPr>
          <w:rFonts w:hint="eastAsia"/>
          <w:szCs w:val="21"/>
          <w:highlight w:val="none"/>
        </w:rPr>
        <w:t>（1）工程设备安装具备单机无负荷试运行条件，由承包人组织试运行，费用由承包人承担。</w:t>
      </w:r>
    </w:p>
    <w:p>
      <w:pPr>
        <w:spacing w:line="400" w:lineRule="exact"/>
        <w:ind w:firstLine="420" w:firstLineChars="200"/>
        <w:rPr>
          <w:szCs w:val="21"/>
          <w:highlight w:val="none"/>
        </w:rPr>
      </w:pPr>
      <w:r>
        <w:rPr>
          <w:rFonts w:hint="eastAsia"/>
          <w:szCs w:val="21"/>
          <w:highlight w:val="none"/>
        </w:rPr>
        <w:t>（2）</w:t>
      </w:r>
      <w:r>
        <w:rPr>
          <w:szCs w:val="21"/>
          <w:highlight w:val="none"/>
        </w:rPr>
        <w:t xml:space="preserve"> </w:t>
      </w:r>
      <w:r>
        <w:rPr>
          <w:rFonts w:hint="eastAsia"/>
          <w:szCs w:val="21"/>
          <w:highlight w:val="none"/>
        </w:rPr>
        <w:t>工程设备安装具备无负荷联动试运行条件，由发包人组织试运行，费用由发包人承担</w:t>
      </w:r>
      <w:r>
        <w:rPr>
          <w:szCs w:val="21"/>
          <w:highlight w:val="none"/>
        </w:rPr>
        <w:t>。</w:t>
      </w:r>
    </w:p>
    <w:p>
      <w:pPr>
        <w:spacing w:line="400" w:lineRule="exact"/>
        <w:ind w:firstLine="420" w:firstLineChars="200"/>
        <w:rPr>
          <w:rFonts w:cs="Arial"/>
          <w:highlight w:val="none"/>
        </w:rPr>
      </w:pPr>
      <w:r>
        <w:rPr>
          <w:rFonts w:hint="eastAsia" w:cs="Arial"/>
          <w:highlight w:val="none"/>
        </w:rPr>
        <w:t>（3）</w:t>
      </w:r>
      <w:r>
        <w:rPr>
          <w:rFonts w:hint="eastAsia"/>
          <w:szCs w:val="21"/>
          <w:highlight w:val="none"/>
        </w:rPr>
        <w:t>投料试运行应在工程竣工验收后由发包人负责，如发包人要求在工程竣工验收前进行或需要承包人配合时，应征得承包人同意，另行签订补充协议。</w:t>
      </w:r>
    </w:p>
    <w:p>
      <w:pPr>
        <w:pStyle w:val="199"/>
        <w:outlineLvl w:val="0"/>
        <w:rPr>
          <w:rFonts w:ascii="黑体" w:hAnsi="宋体" w:cs="Arial"/>
          <w:highlight w:val="none"/>
        </w:rPr>
      </w:pPr>
      <w:bookmarkStart w:id="1881" w:name="_Toc434331417"/>
      <w:bookmarkStart w:id="1882" w:name="_Toc241459734"/>
      <w:bookmarkStart w:id="1883" w:name="_Toc342296493"/>
      <w:bookmarkStart w:id="1884" w:name="_Toc12853"/>
      <w:r>
        <w:rPr>
          <w:rFonts w:hint="eastAsia" w:ascii="黑体" w:hAnsi="宋体" w:cs="Arial"/>
          <w:highlight w:val="none"/>
        </w:rPr>
        <w:t>18.7 竣工清场</w:t>
      </w:r>
      <w:bookmarkEnd w:id="1877"/>
      <w:bookmarkEnd w:id="1878"/>
      <w:bookmarkEnd w:id="1879"/>
      <w:bookmarkEnd w:id="1880"/>
      <w:bookmarkEnd w:id="1881"/>
      <w:bookmarkEnd w:id="1882"/>
      <w:bookmarkEnd w:id="1883"/>
      <w:bookmarkEnd w:id="1884"/>
    </w:p>
    <w:p>
      <w:pPr>
        <w:spacing w:line="400" w:lineRule="exact"/>
        <w:ind w:firstLine="420" w:firstLineChars="200"/>
        <w:rPr>
          <w:szCs w:val="21"/>
          <w:highlight w:val="none"/>
        </w:rPr>
      </w:pPr>
      <w:r>
        <w:rPr>
          <w:rFonts w:hint="eastAsia"/>
          <w:szCs w:val="21"/>
          <w:highlight w:val="none"/>
        </w:rPr>
        <w:t>18.7.1监理人颁发（出具）工程接收证书后，承包人负责按照通用合同条款本项约定的要求对施工场地进行清理并承担相关费用，直至监理人检验合格为止。</w:t>
      </w:r>
    </w:p>
    <w:p>
      <w:pPr>
        <w:pStyle w:val="199"/>
        <w:outlineLvl w:val="0"/>
        <w:rPr>
          <w:rFonts w:ascii="黑体" w:hAnsi="宋体" w:cs="Arial"/>
          <w:highlight w:val="none"/>
        </w:rPr>
      </w:pPr>
      <w:bookmarkStart w:id="1885" w:name="_Toc241459735"/>
      <w:bookmarkStart w:id="1886" w:name="_Toc342296494"/>
      <w:bookmarkStart w:id="1887" w:name="_Toc179632751"/>
      <w:bookmarkStart w:id="1888" w:name="_Toc434331418"/>
      <w:bookmarkStart w:id="1889" w:name="_Toc144974704"/>
      <w:bookmarkStart w:id="1890" w:name="_Toc152042512"/>
      <w:bookmarkStart w:id="1891" w:name="_Toc152045733"/>
      <w:bookmarkStart w:id="1892" w:name="_Toc613"/>
      <w:r>
        <w:rPr>
          <w:rFonts w:hint="eastAsia" w:ascii="黑体" w:hAnsi="宋体" w:cs="Arial"/>
          <w:highlight w:val="none"/>
        </w:rPr>
        <w:t>18.8 施工队伍的撤离</w:t>
      </w:r>
      <w:bookmarkEnd w:id="1885"/>
      <w:bookmarkEnd w:id="1886"/>
      <w:bookmarkEnd w:id="1887"/>
      <w:bookmarkEnd w:id="1888"/>
      <w:bookmarkEnd w:id="1889"/>
      <w:bookmarkEnd w:id="1890"/>
      <w:bookmarkEnd w:id="1891"/>
      <w:bookmarkEnd w:id="1892"/>
    </w:p>
    <w:p>
      <w:pPr>
        <w:spacing w:line="400" w:lineRule="exact"/>
        <w:ind w:firstLine="420" w:firstLineChars="200"/>
        <w:rPr>
          <w:szCs w:val="21"/>
          <w:highlight w:val="none"/>
        </w:rPr>
      </w:pPr>
      <w:bookmarkStart w:id="1893" w:name="_Toc152042513"/>
      <w:bookmarkStart w:id="1894" w:name="_Toc152045734"/>
      <w:bookmarkStart w:id="1895" w:name="_Toc179632752"/>
      <w:bookmarkStart w:id="1896" w:name="_Toc144974705"/>
      <w:r>
        <w:rPr>
          <w:rFonts w:hint="eastAsia" w:cs="Arial"/>
          <w:szCs w:val="21"/>
          <w:highlight w:val="none"/>
        </w:rPr>
        <w:t>承包人按照通用合同条款第18.8款约定撤离施工场地（现场）时，监理人和承包人应当办理永久工程和施工场地移交手续，移交手续以书面方式出具，并分别经过发包人、监理人和承包人的签认。但是，监理人和发包人未按专用合同条款17.5.1项约定的期限办清竣工结算和竣工付款的，本工程不得交付使用，发包人和监理人也无权要求承包人按合同约定的期限撤离施工场地（现场）和办理工程移交手续。</w:t>
      </w:r>
    </w:p>
    <w:p>
      <w:pPr>
        <w:spacing w:line="400" w:lineRule="exact"/>
        <w:ind w:firstLine="420" w:firstLineChars="200"/>
        <w:rPr>
          <w:szCs w:val="21"/>
          <w:highlight w:val="none"/>
        </w:rPr>
      </w:pPr>
      <w:r>
        <w:rPr>
          <w:rFonts w:hint="eastAsia"/>
          <w:szCs w:val="21"/>
          <w:highlight w:val="none"/>
        </w:rPr>
        <w:t>缺陷责任期满时，承包人可以继续在施工场地保留的人员和施工设备以及最终撤离的期限：</w:t>
      </w:r>
      <w:r>
        <w:rPr>
          <w:rFonts w:hint="eastAsia"/>
          <w:szCs w:val="21"/>
          <w:highlight w:val="none"/>
          <w:u w:val="single"/>
        </w:rPr>
        <w:t xml:space="preserve">  7日内，承包人应提交其留场人员和设备的明细表及最后撤离时间。延期撤离造成发包人增加的费用，应由承包人承担 </w:t>
      </w:r>
      <w:r>
        <w:rPr>
          <w:rFonts w:hint="eastAsia"/>
          <w:szCs w:val="21"/>
          <w:highlight w:val="none"/>
        </w:rPr>
        <w:t xml:space="preserve">。  </w:t>
      </w:r>
    </w:p>
    <w:p>
      <w:pPr>
        <w:pStyle w:val="199"/>
        <w:outlineLvl w:val="0"/>
        <w:rPr>
          <w:rFonts w:ascii="黑体" w:hAnsi="宋体" w:cs="Arial"/>
          <w:highlight w:val="none"/>
        </w:rPr>
      </w:pPr>
      <w:bookmarkStart w:id="1897" w:name="_Toc22330"/>
      <w:bookmarkStart w:id="1898" w:name="_Toc342296495"/>
      <w:bookmarkStart w:id="1899" w:name="_Toc241459736"/>
      <w:bookmarkStart w:id="1900" w:name="_Toc434331419"/>
      <w:r>
        <w:rPr>
          <w:rFonts w:hint="eastAsia" w:ascii="黑体" w:hAnsi="宋体" w:cs="Arial"/>
          <w:highlight w:val="none"/>
        </w:rPr>
        <w:t>18.9 中间验收</w:t>
      </w:r>
      <w:bookmarkEnd w:id="1897"/>
      <w:bookmarkEnd w:id="1898"/>
      <w:bookmarkEnd w:id="1899"/>
      <w:bookmarkEnd w:id="1900"/>
    </w:p>
    <w:p>
      <w:pPr>
        <w:spacing w:line="400" w:lineRule="exact"/>
        <w:ind w:firstLine="525" w:firstLineChars="250"/>
        <w:rPr>
          <w:szCs w:val="21"/>
          <w:highlight w:val="none"/>
        </w:rPr>
      </w:pPr>
      <w:r>
        <w:rPr>
          <w:rFonts w:hint="eastAsia"/>
          <w:szCs w:val="21"/>
          <w:highlight w:val="none"/>
        </w:rPr>
        <w:t>本工程需要进行中间验收的部位如下：</w:t>
      </w:r>
    </w:p>
    <w:p>
      <w:pPr>
        <w:spacing w:line="400" w:lineRule="exact"/>
        <w:rPr>
          <w:szCs w:val="21"/>
          <w:highlight w:val="none"/>
        </w:rPr>
      </w:pPr>
      <w:r>
        <w:rPr>
          <w:rFonts w:hint="eastAsia"/>
          <w:szCs w:val="21"/>
          <w:highlight w:val="none"/>
          <w:u w:val="single"/>
        </w:rPr>
        <w:t xml:space="preserve">  </w:t>
      </w:r>
      <w:r>
        <w:rPr>
          <w:szCs w:val="21"/>
          <w:highlight w:val="none"/>
          <w:u w:val="single"/>
        </w:rPr>
        <w:t>在项目实施过程中，可能会有部分工程作为中间验收，验收合格后交付使用，发包人和监理人应提前28天以书面形式通知承包人，承包人应按照发包人和监理人的指示执行</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当工程进度达到本款约定的中间验收部位时，承包人应当进行自检，并在中间验收前48小时以书面形式通知监理人验收。书面通知应包括中间验收的内容、验收时间和地点。承包人应当准备验收记录。只有监理人验收合格并在验收记录上签字后，承包人方可继续施工。验收不合格的，承包人在</w:t>
      </w:r>
      <w:r>
        <w:rPr>
          <w:rFonts w:hint="eastAsia"/>
          <w:szCs w:val="21"/>
          <w:highlight w:val="none"/>
          <w:u w:val="single"/>
        </w:rPr>
        <w:t xml:space="preserve">     监理人要求的     </w:t>
      </w:r>
      <w:r>
        <w:rPr>
          <w:rFonts w:hint="eastAsia"/>
          <w:szCs w:val="21"/>
          <w:highlight w:val="none"/>
        </w:rPr>
        <w:t>期限内进行修改后重新验收。</w:t>
      </w:r>
    </w:p>
    <w:p>
      <w:pPr>
        <w:spacing w:line="400" w:lineRule="exact"/>
        <w:ind w:firstLine="420" w:firstLineChars="200"/>
        <w:rPr>
          <w:szCs w:val="21"/>
          <w:highlight w:val="none"/>
        </w:rPr>
      </w:pPr>
      <w:r>
        <w:rPr>
          <w:rFonts w:hint="eastAsia"/>
          <w:szCs w:val="21"/>
          <w:highlight w:val="none"/>
        </w:rPr>
        <w:t>监理人不能按时进行验收的，应在验收前24小时以书面形式向承包人提出延期要求，延期不能超过48小时。监理人未能按本款约定的时限提出延期要求，又未按期进行验收的，承包人可自行组织验收，监理人必须认同验收记录。</w:t>
      </w:r>
    </w:p>
    <w:p>
      <w:pPr>
        <w:spacing w:line="400" w:lineRule="exact"/>
        <w:ind w:firstLine="420" w:firstLineChars="200"/>
        <w:rPr>
          <w:szCs w:val="21"/>
          <w:highlight w:val="none"/>
        </w:rPr>
      </w:pPr>
      <w:r>
        <w:rPr>
          <w:rFonts w:hint="eastAsia"/>
          <w:szCs w:val="21"/>
          <w:highlight w:val="none"/>
        </w:rPr>
        <w:t>经监理人验收后工程质量符合约定的验收标准，但验收24小时后监理人仍不在验收记录上签字的，视为监理人已经认可验收记录，承包人可继续施工。</w:t>
      </w:r>
    </w:p>
    <w:p>
      <w:pPr>
        <w:pStyle w:val="282"/>
        <w:spacing w:before="0"/>
        <w:outlineLvl w:val="0"/>
        <w:rPr>
          <w:highlight w:val="none"/>
        </w:rPr>
      </w:pPr>
      <w:bookmarkStart w:id="1901" w:name="_Toc342296496"/>
      <w:bookmarkStart w:id="1902" w:name="_Toc434331420"/>
      <w:bookmarkStart w:id="1903" w:name="_Toc2298"/>
      <w:bookmarkStart w:id="1904" w:name="_Toc241459737"/>
      <w:r>
        <w:rPr>
          <w:rFonts w:hint="eastAsia"/>
          <w:highlight w:val="none"/>
        </w:rPr>
        <w:t>19. 缺陷责任与保修责任</w:t>
      </w:r>
      <w:bookmarkEnd w:id="1893"/>
      <w:bookmarkEnd w:id="1894"/>
      <w:bookmarkEnd w:id="1895"/>
      <w:bookmarkEnd w:id="1896"/>
      <w:bookmarkEnd w:id="1901"/>
      <w:bookmarkEnd w:id="1902"/>
      <w:bookmarkEnd w:id="1903"/>
      <w:bookmarkEnd w:id="1904"/>
    </w:p>
    <w:p>
      <w:pPr>
        <w:pStyle w:val="199"/>
        <w:outlineLvl w:val="0"/>
        <w:rPr>
          <w:rFonts w:ascii="黑体" w:hAnsi="宋体" w:cs="Arial"/>
          <w:highlight w:val="none"/>
        </w:rPr>
      </w:pPr>
      <w:bookmarkStart w:id="1905" w:name="_Toc434331421"/>
      <w:bookmarkStart w:id="1906" w:name="_Toc152042520"/>
      <w:bookmarkStart w:id="1907" w:name="_Toc144974712"/>
      <w:bookmarkStart w:id="1908" w:name="_Toc342296497"/>
      <w:bookmarkStart w:id="1909" w:name="_Toc152045741"/>
      <w:bookmarkStart w:id="1910" w:name="_Toc241459738"/>
      <w:bookmarkStart w:id="1911" w:name="_Toc8619"/>
      <w:bookmarkStart w:id="1912" w:name="_Toc179632759"/>
      <w:r>
        <w:rPr>
          <w:rFonts w:hint="eastAsia" w:ascii="黑体" w:hAnsi="宋体" w:cs="Arial"/>
          <w:highlight w:val="none"/>
        </w:rPr>
        <w:t>19.7 保修责任</w:t>
      </w:r>
      <w:bookmarkEnd w:id="1905"/>
      <w:bookmarkEnd w:id="1906"/>
      <w:bookmarkEnd w:id="1907"/>
      <w:bookmarkEnd w:id="1908"/>
      <w:bookmarkEnd w:id="1909"/>
      <w:bookmarkEnd w:id="1910"/>
      <w:bookmarkEnd w:id="1911"/>
      <w:bookmarkEnd w:id="1912"/>
    </w:p>
    <w:p>
      <w:pPr>
        <w:spacing w:line="400" w:lineRule="exact"/>
        <w:ind w:firstLine="420" w:firstLineChars="200"/>
        <w:rPr>
          <w:szCs w:val="21"/>
          <w:highlight w:val="none"/>
        </w:rPr>
      </w:pPr>
      <w:r>
        <w:rPr>
          <w:rFonts w:hint="eastAsia"/>
          <w:szCs w:val="21"/>
          <w:highlight w:val="none"/>
        </w:rPr>
        <w:t>（1）工程质量保修范围：</w:t>
      </w:r>
      <w:r>
        <w:rPr>
          <w:rFonts w:hint="eastAsia"/>
          <w:szCs w:val="21"/>
          <w:highlight w:val="none"/>
          <w:u w:val="single"/>
        </w:rPr>
        <w:t xml:space="preserve">  见附件建筑工程质量保修书</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（2）工程质量保修期限：</w:t>
      </w:r>
      <w:r>
        <w:rPr>
          <w:rFonts w:hint="eastAsia"/>
          <w:szCs w:val="21"/>
          <w:highlight w:val="none"/>
          <w:u w:val="single"/>
        </w:rPr>
        <w:t xml:space="preserve">  见附件建筑工程质量保修书</w:t>
      </w:r>
      <w:r>
        <w:rPr>
          <w:rFonts w:hint="eastAsia"/>
          <w:szCs w:val="21"/>
          <w:highlight w:val="none"/>
        </w:rPr>
        <w:t>。</w:t>
      </w:r>
    </w:p>
    <w:p>
      <w:pPr>
        <w:spacing w:line="360" w:lineRule="auto"/>
        <w:ind w:firstLine="420" w:firstLineChars="200"/>
        <w:rPr>
          <w:szCs w:val="21"/>
          <w:highlight w:val="none"/>
          <w:u w:val="single"/>
        </w:rPr>
      </w:pPr>
      <w:r>
        <w:rPr>
          <w:rFonts w:hint="eastAsia"/>
          <w:szCs w:val="21"/>
          <w:highlight w:val="none"/>
        </w:rPr>
        <w:t>（3）工程质量保修责任：</w:t>
      </w:r>
      <w:r>
        <w:rPr>
          <w:rFonts w:hint="eastAsia"/>
          <w:szCs w:val="21"/>
          <w:highlight w:val="none"/>
          <w:u w:val="single"/>
        </w:rPr>
        <w:t xml:space="preserve">  见附件建筑工程质量保修书。</w:t>
      </w:r>
    </w:p>
    <w:p>
      <w:pPr>
        <w:spacing w:line="400" w:lineRule="exact"/>
        <w:ind w:firstLine="420" w:firstLineChars="200"/>
        <w:rPr>
          <w:szCs w:val="21"/>
          <w:highlight w:val="none"/>
          <w:u w:val="single"/>
        </w:rPr>
      </w:pPr>
      <w:r>
        <w:rPr>
          <w:rFonts w:hint="eastAsia"/>
          <w:szCs w:val="21"/>
          <w:highlight w:val="none"/>
          <w:u w:val="single"/>
        </w:rPr>
        <w:t>在发包人以适当的方式通知承包人以后，如果承包人未能在约定的时间内履行其保修义务，发包人可以委托他人按照合同约定的要求进行缺陷修复。在不限制发包人采取其他方式获得补偿的情况下，所发生的费用可以从保证金中扣除，同时发包人应以书面形式将这种情况通知承包人。</w:t>
      </w:r>
    </w:p>
    <w:p>
      <w:pPr>
        <w:spacing w:line="400" w:lineRule="exact"/>
        <w:ind w:firstLine="420" w:firstLineChars="200"/>
        <w:rPr>
          <w:szCs w:val="21"/>
          <w:highlight w:val="none"/>
        </w:rPr>
      </w:pPr>
      <w:r>
        <w:rPr>
          <w:rFonts w:hint="eastAsia"/>
          <w:szCs w:val="21"/>
          <w:highlight w:val="none"/>
          <w:u w:val="single"/>
        </w:rPr>
        <w:t>在保修期满之前的任何时间，对于工程出现的任何缺陷或不合格之处，发包人可指使承包人调查上述情况的原因。如果调查的结果表明缺陷的原因属于承包人责任，则承包人应承担上述调查所发生的费用，反之，此类费用应由发包人承担。</w:t>
      </w:r>
    </w:p>
    <w:p>
      <w:pPr>
        <w:spacing w:line="400" w:lineRule="exact"/>
        <w:ind w:firstLine="420" w:firstLineChars="200"/>
        <w:rPr>
          <w:szCs w:val="21"/>
          <w:highlight w:val="none"/>
        </w:rPr>
      </w:pPr>
      <w:r>
        <w:rPr>
          <w:rFonts w:hint="eastAsia" w:cs="Arial"/>
          <w:szCs w:val="21"/>
          <w:highlight w:val="none"/>
        </w:rPr>
        <w:t>质量保修书是竣工验收申请报告的组成内容。</w:t>
      </w:r>
      <w:r>
        <w:rPr>
          <w:rFonts w:hint="eastAsia"/>
          <w:szCs w:val="21"/>
          <w:highlight w:val="none"/>
        </w:rPr>
        <w:t>承包人</w:t>
      </w:r>
      <w:r>
        <w:rPr>
          <w:rFonts w:hint="eastAsia" w:cs="Arial"/>
          <w:szCs w:val="21"/>
          <w:highlight w:val="none"/>
        </w:rPr>
        <w:t>应当</w:t>
      </w:r>
      <w:r>
        <w:rPr>
          <w:rFonts w:hint="eastAsia"/>
          <w:szCs w:val="21"/>
          <w:highlight w:val="none"/>
        </w:rPr>
        <w:t>按照有关法律法规规定和</w:t>
      </w:r>
      <w:r>
        <w:rPr>
          <w:rFonts w:hint="eastAsia" w:cs="Arial"/>
          <w:szCs w:val="21"/>
          <w:highlight w:val="none"/>
        </w:rPr>
        <w:t>合同所附的格式</w:t>
      </w:r>
      <w:r>
        <w:rPr>
          <w:rFonts w:hint="eastAsia"/>
          <w:szCs w:val="21"/>
          <w:highlight w:val="none"/>
        </w:rPr>
        <w:t>出具质量保修书，质量保修书的主要内容应当与本款上述约定内容一致。承包人</w:t>
      </w:r>
      <w:r>
        <w:rPr>
          <w:rFonts w:hint="eastAsia" w:cs="Arial"/>
          <w:szCs w:val="21"/>
          <w:highlight w:val="none"/>
        </w:rPr>
        <w:t>在递交</w:t>
      </w:r>
      <w:r>
        <w:rPr>
          <w:rFonts w:hint="eastAsia"/>
          <w:szCs w:val="21"/>
          <w:highlight w:val="none"/>
        </w:rPr>
        <w:t>合同条款第18.2款约定的</w:t>
      </w:r>
      <w:r>
        <w:rPr>
          <w:rFonts w:hint="eastAsia" w:cs="Arial"/>
          <w:szCs w:val="21"/>
          <w:highlight w:val="none"/>
        </w:rPr>
        <w:t>竣工验收报告的同时，将质量保修书</w:t>
      </w:r>
      <w:r>
        <w:rPr>
          <w:rFonts w:hint="eastAsia"/>
          <w:szCs w:val="21"/>
          <w:highlight w:val="none"/>
        </w:rPr>
        <w:t>一并报送监理人。</w:t>
      </w:r>
    </w:p>
    <w:p>
      <w:pPr>
        <w:pStyle w:val="282"/>
        <w:spacing w:before="0"/>
        <w:outlineLvl w:val="0"/>
        <w:rPr>
          <w:highlight w:val="none"/>
        </w:rPr>
      </w:pPr>
      <w:bookmarkStart w:id="1913" w:name="_Toc152042521"/>
      <w:bookmarkStart w:id="1914" w:name="_Toc434331422"/>
      <w:bookmarkStart w:id="1915" w:name="_Toc152045742"/>
      <w:bookmarkStart w:id="1916" w:name="_Toc144974713"/>
      <w:bookmarkStart w:id="1917" w:name="_Toc342296498"/>
      <w:bookmarkStart w:id="1918" w:name="_Toc179632760"/>
      <w:bookmarkStart w:id="1919" w:name="_Toc241459739"/>
      <w:bookmarkStart w:id="1920" w:name="_Toc20921"/>
      <w:r>
        <w:rPr>
          <w:rFonts w:hint="eastAsia"/>
          <w:highlight w:val="none"/>
        </w:rPr>
        <w:t>20. 保险</w:t>
      </w:r>
      <w:bookmarkEnd w:id="1913"/>
      <w:bookmarkEnd w:id="1914"/>
      <w:bookmarkEnd w:id="1915"/>
      <w:bookmarkEnd w:id="1916"/>
      <w:bookmarkEnd w:id="1917"/>
      <w:bookmarkEnd w:id="1918"/>
      <w:bookmarkEnd w:id="1919"/>
      <w:bookmarkEnd w:id="1920"/>
    </w:p>
    <w:p>
      <w:pPr>
        <w:pStyle w:val="199"/>
        <w:outlineLvl w:val="0"/>
        <w:rPr>
          <w:rFonts w:ascii="黑体" w:hAnsi="宋体" w:cs="Arial"/>
          <w:highlight w:val="none"/>
        </w:rPr>
      </w:pPr>
      <w:bookmarkStart w:id="1921" w:name="_Toc152045743"/>
      <w:bookmarkStart w:id="1922" w:name="_Toc342296499"/>
      <w:bookmarkStart w:id="1923" w:name="_Toc434331423"/>
      <w:bookmarkStart w:id="1924" w:name="_Toc144974714"/>
      <w:bookmarkStart w:id="1925" w:name="_Toc152042522"/>
      <w:bookmarkStart w:id="1926" w:name="_Toc179632761"/>
      <w:bookmarkStart w:id="1927" w:name="_Toc1890"/>
      <w:bookmarkStart w:id="1928" w:name="_Toc241459740"/>
      <w:r>
        <w:rPr>
          <w:rFonts w:hint="eastAsia" w:ascii="黑体" w:hAnsi="宋体" w:cs="Arial"/>
          <w:highlight w:val="none"/>
        </w:rPr>
        <w:t>20.1 工程保险</w:t>
      </w:r>
      <w:bookmarkEnd w:id="1921"/>
      <w:bookmarkEnd w:id="1922"/>
      <w:bookmarkEnd w:id="1923"/>
      <w:bookmarkEnd w:id="1924"/>
      <w:bookmarkEnd w:id="1925"/>
      <w:bookmarkEnd w:id="1926"/>
      <w:bookmarkEnd w:id="1927"/>
      <w:bookmarkEnd w:id="1928"/>
    </w:p>
    <w:p>
      <w:pPr>
        <w:spacing w:line="400" w:lineRule="exact"/>
        <w:ind w:firstLine="420" w:firstLineChars="200"/>
        <w:rPr>
          <w:szCs w:val="21"/>
          <w:highlight w:val="none"/>
        </w:rPr>
      </w:pPr>
      <w:bookmarkStart w:id="1929" w:name="_Toc179632762"/>
      <w:bookmarkStart w:id="1930" w:name="_Toc152042523"/>
      <w:bookmarkStart w:id="1931" w:name="_Toc152045744"/>
      <w:bookmarkStart w:id="1932" w:name="_Toc144974715"/>
      <w:r>
        <w:rPr>
          <w:rFonts w:hint="eastAsia"/>
          <w:szCs w:val="21"/>
          <w:highlight w:val="none"/>
        </w:rPr>
        <w:t>本工程</w:t>
      </w:r>
      <w:r>
        <w:rPr>
          <w:rFonts w:hint="eastAsia"/>
          <w:szCs w:val="21"/>
          <w:highlight w:val="none"/>
          <w:u w:val="single"/>
        </w:rPr>
        <w:t xml:space="preserve">  投保  </w:t>
      </w:r>
      <w:r>
        <w:rPr>
          <w:rFonts w:hint="eastAsia"/>
          <w:szCs w:val="21"/>
          <w:highlight w:val="none"/>
        </w:rPr>
        <w:t>(投保/不投保)工程保险。投保工程保险时，险种为：</w:t>
      </w:r>
      <w:r>
        <w:rPr>
          <w:rFonts w:hint="eastAsia"/>
          <w:szCs w:val="21"/>
          <w:highlight w:val="none"/>
          <w:u w:val="single"/>
        </w:rPr>
        <w:t xml:space="preserve">建筑工程一切险和安装工程一切险   </w:t>
      </w:r>
      <w:r>
        <w:rPr>
          <w:rFonts w:hint="eastAsia"/>
          <w:szCs w:val="21"/>
          <w:highlight w:val="none"/>
        </w:rPr>
        <w:t>，并符合以下约定。</w:t>
      </w:r>
    </w:p>
    <w:p>
      <w:pPr>
        <w:spacing w:line="400" w:lineRule="exact"/>
        <w:ind w:firstLine="420" w:firstLineChars="200"/>
        <w:rPr>
          <w:szCs w:val="21"/>
          <w:highlight w:val="none"/>
        </w:rPr>
      </w:pPr>
      <w:r>
        <w:rPr>
          <w:rFonts w:hint="eastAsia"/>
          <w:szCs w:val="21"/>
          <w:highlight w:val="none"/>
        </w:rPr>
        <w:t>（1）投保人：</w:t>
      </w:r>
      <w:r>
        <w:rPr>
          <w:rFonts w:hint="eastAsia"/>
          <w:szCs w:val="21"/>
          <w:highlight w:val="none"/>
          <w:u w:val="single"/>
        </w:rPr>
        <w:t>承包人</w:t>
      </w:r>
      <w:r>
        <w:rPr>
          <w:rFonts w:hint="eastAsia"/>
          <w:szCs w:val="21"/>
          <w:highlight w:val="none"/>
        </w:rPr>
        <w:t>。</w:t>
      </w:r>
    </w:p>
    <w:p>
      <w:pPr>
        <w:spacing w:line="400" w:lineRule="exact"/>
        <w:ind w:firstLine="420" w:firstLineChars="200"/>
        <w:rPr>
          <w:szCs w:val="21"/>
          <w:highlight w:val="none"/>
        </w:rPr>
      </w:pPr>
      <w:r>
        <w:rPr>
          <w:rFonts w:hint="eastAsia"/>
          <w:szCs w:val="21"/>
          <w:highlight w:val="none"/>
        </w:rPr>
        <w:t>（2）投保内容：</w:t>
      </w:r>
      <w:r>
        <w:rPr>
          <w:rFonts w:hint="eastAsia"/>
          <w:highlight w:val="none"/>
          <w:u w:val="single"/>
        </w:rPr>
        <w:t xml:space="preserve">  </w:t>
      </w:r>
      <w:r>
        <w:rPr>
          <w:rFonts w:hint="eastAsia"/>
          <w:szCs w:val="21"/>
          <w:highlight w:val="none"/>
          <w:u w:val="single"/>
        </w:rPr>
        <w:t>投保标的为本工程范围内的建筑工程；保险责任为</w:t>
      </w:r>
      <w:r>
        <w:rPr>
          <w:szCs w:val="21"/>
          <w:highlight w:val="none"/>
          <w:u w:val="single"/>
        </w:rPr>
        <w:t>在建造过程中，因</w:t>
      </w:r>
      <w:r>
        <w:rPr>
          <w:highlight w:val="none"/>
        </w:rPr>
        <w:fldChar w:fldCharType="begin"/>
      </w:r>
      <w:r>
        <w:rPr>
          <w:highlight w:val="none"/>
        </w:rPr>
        <w:instrText xml:space="preserve"> HYPERLINK "http://www.baidu.com/s?wd=%E8%87%AA%E7%84%B6%E7%81%BE%E5%AE%B3&amp;hl_tag=textlink&amp;tn=SE_hldp01350_v6v6zkg6" \t "_blank" </w:instrText>
      </w:r>
      <w:r>
        <w:rPr>
          <w:highlight w:val="none"/>
        </w:rPr>
        <w:fldChar w:fldCharType="separate"/>
      </w:r>
      <w:r>
        <w:rPr>
          <w:szCs w:val="21"/>
          <w:highlight w:val="none"/>
          <w:u w:val="single"/>
        </w:rPr>
        <w:t>自然灾害</w:t>
      </w:r>
      <w:r>
        <w:rPr>
          <w:szCs w:val="21"/>
          <w:highlight w:val="none"/>
          <w:u w:val="single"/>
        </w:rPr>
        <w:fldChar w:fldCharType="end"/>
      </w:r>
      <w:r>
        <w:rPr>
          <w:szCs w:val="21"/>
          <w:highlight w:val="none"/>
          <w:u w:val="single"/>
        </w:rPr>
        <w:t>或</w:t>
      </w:r>
      <w:r>
        <w:rPr>
          <w:highlight w:val="none"/>
        </w:rPr>
        <w:fldChar w:fldCharType="begin"/>
      </w:r>
      <w:r>
        <w:rPr>
          <w:highlight w:val="none"/>
        </w:rPr>
        <w:instrText xml:space="preserve"> HYPERLINK "http://www.baidu.com/s?wd=%E6%84%8F%E5%A4%96%E4%BA%8B%E6%95%85&amp;hl_tag=textlink&amp;tn=SE_hldp01350_v6v6zkg6" \t "_blank" </w:instrText>
      </w:r>
      <w:r>
        <w:rPr>
          <w:highlight w:val="none"/>
        </w:rPr>
        <w:fldChar w:fldCharType="separate"/>
      </w:r>
      <w:r>
        <w:rPr>
          <w:szCs w:val="21"/>
          <w:highlight w:val="none"/>
          <w:u w:val="single"/>
        </w:rPr>
        <w:t>意外事故</w:t>
      </w:r>
      <w:r>
        <w:rPr>
          <w:szCs w:val="21"/>
          <w:highlight w:val="none"/>
          <w:u w:val="single"/>
        </w:rPr>
        <w:fldChar w:fldCharType="end"/>
      </w:r>
      <w:r>
        <w:rPr>
          <w:szCs w:val="21"/>
          <w:highlight w:val="none"/>
          <w:u w:val="single"/>
        </w:rPr>
        <w:t>而引起一切损失（不包括</w:t>
      </w:r>
      <w:r>
        <w:rPr>
          <w:highlight w:val="none"/>
        </w:rPr>
        <w:fldChar w:fldCharType="begin"/>
      </w:r>
      <w:r>
        <w:rPr>
          <w:highlight w:val="none"/>
        </w:rPr>
        <w:instrText xml:space="preserve"> HYPERLINK "http://www.baidu.com/s?wd=%E4%BF%9D%E9%99%A9%E6%9D%A1%E6%AC%BE&amp;hl_tag=textlink&amp;tn=SE_hldp01350_v6v6zkg6" \t "_blank" </w:instrText>
      </w:r>
      <w:r>
        <w:rPr>
          <w:highlight w:val="none"/>
        </w:rPr>
        <w:fldChar w:fldCharType="separate"/>
      </w:r>
      <w:r>
        <w:rPr>
          <w:szCs w:val="21"/>
          <w:highlight w:val="none"/>
          <w:u w:val="single"/>
        </w:rPr>
        <w:t>保险条款</w:t>
      </w:r>
      <w:r>
        <w:rPr>
          <w:szCs w:val="21"/>
          <w:highlight w:val="none"/>
          <w:u w:val="single"/>
        </w:rPr>
        <w:fldChar w:fldCharType="end"/>
      </w:r>
      <w:r>
        <w:rPr>
          <w:szCs w:val="21"/>
          <w:highlight w:val="none"/>
          <w:u w:val="single"/>
        </w:rPr>
        <w:t>中规定的</w:t>
      </w:r>
      <w:r>
        <w:rPr>
          <w:highlight w:val="none"/>
        </w:rPr>
        <w:fldChar w:fldCharType="begin"/>
      </w:r>
      <w:r>
        <w:rPr>
          <w:highlight w:val="none"/>
        </w:rPr>
        <w:instrText xml:space="preserve"> HYPERLINK "http://www.baidu.com/s?wd=%E9%99%A4%E5%A4%96%E8%B4%A3%E4%BB%BB&amp;hl_tag=textlink&amp;tn=SE_hldp01350_v6v6zkg6" \t "_blank" </w:instrText>
      </w:r>
      <w:r>
        <w:rPr>
          <w:highlight w:val="none"/>
        </w:rPr>
        <w:fldChar w:fldCharType="separate"/>
      </w:r>
      <w:r>
        <w:rPr>
          <w:szCs w:val="21"/>
          <w:highlight w:val="none"/>
          <w:u w:val="single"/>
        </w:rPr>
        <w:t>除外责任</w:t>
      </w:r>
      <w:r>
        <w:rPr>
          <w:szCs w:val="21"/>
          <w:highlight w:val="none"/>
          <w:u w:val="single"/>
        </w:rPr>
        <w:fldChar w:fldCharType="end"/>
      </w:r>
      <w:r>
        <w:rPr>
          <w:szCs w:val="21"/>
          <w:highlight w:val="none"/>
          <w:u w:val="single"/>
        </w:rPr>
        <w:t>）</w:t>
      </w:r>
      <w:r>
        <w:rPr>
          <w:rFonts w:hint="eastAsia"/>
          <w:szCs w:val="21"/>
          <w:highlight w:val="none"/>
          <w:u w:val="single"/>
        </w:rPr>
        <w:t xml:space="preserve">。 </w:t>
      </w:r>
    </w:p>
    <w:p>
      <w:pPr>
        <w:spacing w:line="400" w:lineRule="exact"/>
        <w:ind w:firstLine="420" w:firstLineChars="200"/>
        <w:rPr>
          <w:rFonts w:cs="Arial"/>
          <w:highlight w:val="none"/>
        </w:rPr>
      </w:pPr>
      <w:r>
        <w:rPr>
          <w:rFonts w:hint="eastAsia"/>
          <w:szCs w:val="21"/>
          <w:highlight w:val="none"/>
        </w:rPr>
        <w:t>（3）保险费率：由投保人与合同双方同意的保险人商定</w:t>
      </w:r>
      <w:r>
        <w:rPr>
          <w:rFonts w:hint="eastAsia" w:cs="Arial"/>
          <w:highlight w:val="none"/>
        </w:rPr>
        <w:t>。</w:t>
      </w:r>
    </w:p>
    <w:p>
      <w:pPr>
        <w:spacing w:line="400" w:lineRule="exact"/>
        <w:ind w:firstLine="420" w:firstLineChars="200"/>
        <w:rPr>
          <w:szCs w:val="21"/>
          <w:highlight w:val="none"/>
        </w:rPr>
      </w:pPr>
      <w:r>
        <w:rPr>
          <w:rFonts w:hint="eastAsia"/>
          <w:szCs w:val="21"/>
          <w:highlight w:val="none"/>
        </w:rPr>
        <w:t>（4）保险金额：</w:t>
      </w:r>
      <w:r>
        <w:rPr>
          <w:rFonts w:hint="eastAsia"/>
          <w:szCs w:val="21"/>
          <w:highlight w:val="none"/>
          <w:u w:val="single"/>
        </w:rPr>
        <w:t xml:space="preserve"> 基数为中标金额上浮10% </w:t>
      </w:r>
      <w:r>
        <w:rPr>
          <w:rFonts w:hint="eastAsia" w:cs="Arial"/>
          <w:highlight w:val="none"/>
          <w:u w:val="single"/>
        </w:rPr>
        <w:t xml:space="preserve"> </w:t>
      </w:r>
      <w:r>
        <w:rPr>
          <w:rFonts w:hint="eastAsia" w:cs="Arial"/>
          <w:highlight w:val="none"/>
        </w:rPr>
        <w:t>。</w:t>
      </w:r>
    </w:p>
    <w:p>
      <w:pPr>
        <w:spacing w:line="400" w:lineRule="exact"/>
        <w:ind w:firstLine="420" w:firstLineChars="200"/>
        <w:rPr>
          <w:szCs w:val="21"/>
          <w:highlight w:val="none"/>
          <w:u w:val="single"/>
        </w:rPr>
      </w:pPr>
      <w:r>
        <w:rPr>
          <w:rFonts w:hint="eastAsia"/>
          <w:szCs w:val="21"/>
          <w:highlight w:val="none"/>
        </w:rPr>
        <w:t>（5）保险期限：</w:t>
      </w:r>
      <w:r>
        <w:rPr>
          <w:rFonts w:hint="eastAsia"/>
          <w:szCs w:val="21"/>
          <w:highlight w:val="none"/>
          <w:u w:val="single"/>
        </w:rPr>
        <w:t>与合同的施工期相同</w:t>
      </w:r>
      <w:r>
        <w:rPr>
          <w:rFonts w:hint="eastAsia" w:cs="Arial"/>
          <w:highlight w:val="none"/>
          <w:u w:val="single"/>
        </w:rPr>
        <w:t xml:space="preserve">  </w:t>
      </w:r>
      <w:r>
        <w:rPr>
          <w:rFonts w:hint="eastAsia" w:cs="Arial"/>
          <w:highlight w:val="none"/>
        </w:rPr>
        <w:t>。</w:t>
      </w:r>
    </w:p>
    <w:bookmarkEnd w:id="1929"/>
    <w:bookmarkEnd w:id="1930"/>
    <w:bookmarkEnd w:id="1931"/>
    <w:bookmarkEnd w:id="1932"/>
    <w:p>
      <w:pPr>
        <w:pStyle w:val="199"/>
        <w:outlineLvl w:val="0"/>
        <w:rPr>
          <w:rFonts w:ascii="黑体" w:hAnsi="宋体" w:cs="Arial"/>
          <w:highlight w:val="none"/>
        </w:rPr>
      </w:pPr>
      <w:bookmarkStart w:id="1933" w:name="_Toc152042525"/>
      <w:bookmarkStart w:id="1934" w:name="_Toc144974717"/>
      <w:bookmarkStart w:id="1935" w:name="_Toc241459741"/>
      <w:bookmarkStart w:id="1936" w:name="_Toc14432"/>
      <w:bookmarkStart w:id="1937" w:name="_Toc179632764"/>
      <w:bookmarkStart w:id="1938" w:name="_Toc434331424"/>
      <w:bookmarkStart w:id="1939" w:name="_Toc152045746"/>
      <w:bookmarkStart w:id="1940" w:name="_Toc342296500"/>
      <w:r>
        <w:rPr>
          <w:rFonts w:hint="eastAsia" w:ascii="黑体" w:hAnsi="宋体" w:cs="Arial"/>
          <w:highlight w:val="none"/>
        </w:rPr>
        <w:t>20.4 第三者责任险</w:t>
      </w:r>
      <w:bookmarkEnd w:id="1933"/>
      <w:bookmarkEnd w:id="1934"/>
      <w:bookmarkEnd w:id="1935"/>
      <w:bookmarkEnd w:id="1936"/>
      <w:bookmarkEnd w:id="1937"/>
      <w:bookmarkEnd w:id="1938"/>
      <w:bookmarkEnd w:id="1939"/>
      <w:bookmarkEnd w:id="1940"/>
    </w:p>
    <w:p>
      <w:pPr>
        <w:spacing w:line="400" w:lineRule="exact"/>
        <w:ind w:firstLine="420" w:firstLineChars="200"/>
        <w:rPr>
          <w:rFonts w:cs="Arial"/>
          <w:highlight w:val="none"/>
        </w:rPr>
      </w:pPr>
      <w:r>
        <w:rPr>
          <w:rFonts w:hint="eastAsia"/>
          <w:szCs w:val="21"/>
          <w:highlight w:val="none"/>
        </w:rPr>
        <w:t>20.4.2保险金额：</w:t>
      </w:r>
      <w:r>
        <w:rPr>
          <w:rFonts w:hint="eastAsia"/>
          <w:szCs w:val="21"/>
          <w:highlight w:val="none"/>
          <w:u w:val="single"/>
        </w:rPr>
        <w:t xml:space="preserve">  同建筑工程一切险和安装工程一切险中所含的保险金额</w:t>
      </w:r>
      <w:r>
        <w:rPr>
          <w:rFonts w:hint="eastAsia" w:cs="Arial"/>
          <w:highlight w:val="none"/>
          <w:u w:val="single"/>
        </w:rPr>
        <w:t xml:space="preserve"> </w:t>
      </w:r>
      <w:r>
        <w:rPr>
          <w:rFonts w:hint="eastAsia" w:cs="Arial"/>
          <w:highlight w:val="none"/>
        </w:rPr>
        <w:t xml:space="preserve"> ，</w:t>
      </w:r>
      <w:r>
        <w:rPr>
          <w:rFonts w:hint="eastAsia"/>
          <w:szCs w:val="21"/>
          <w:highlight w:val="none"/>
        </w:rPr>
        <w:t>保险费率由承包人与发包人同意的保险人商定，相关保险费由</w:t>
      </w:r>
      <w:r>
        <w:rPr>
          <w:rFonts w:hint="eastAsia"/>
          <w:szCs w:val="21"/>
          <w:highlight w:val="none"/>
          <w:u w:val="single"/>
        </w:rPr>
        <w:t>承包人</w:t>
      </w:r>
      <w:r>
        <w:rPr>
          <w:rFonts w:hint="eastAsia"/>
          <w:szCs w:val="21"/>
          <w:highlight w:val="none"/>
        </w:rPr>
        <w:t>承担</w:t>
      </w:r>
      <w:r>
        <w:rPr>
          <w:rFonts w:hint="eastAsia" w:cs="Arial"/>
          <w:highlight w:val="none"/>
        </w:rPr>
        <w:t xml:space="preserve">。                               </w:t>
      </w:r>
    </w:p>
    <w:p>
      <w:pPr>
        <w:pStyle w:val="199"/>
        <w:outlineLvl w:val="0"/>
        <w:rPr>
          <w:rFonts w:ascii="黑体" w:hAnsi="宋体" w:cs="Arial"/>
          <w:highlight w:val="none"/>
        </w:rPr>
      </w:pPr>
      <w:bookmarkStart w:id="1941" w:name="_Toc152045747"/>
      <w:bookmarkStart w:id="1942" w:name="_Toc1319"/>
      <w:bookmarkStart w:id="1943" w:name="_Toc152042526"/>
      <w:bookmarkStart w:id="1944" w:name="_Toc144974718"/>
      <w:bookmarkStart w:id="1945" w:name="_Toc179632765"/>
      <w:bookmarkStart w:id="1946" w:name="_Toc342296501"/>
      <w:bookmarkStart w:id="1947" w:name="_Toc434331425"/>
      <w:bookmarkStart w:id="1948" w:name="_Toc241459742"/>
      <w:r>
        <w:rPr>
          <w:rFonts w:hint="eastAsia" w:ascii="黑体" w:hAnsi="宋体" w:cs="Arial"/>
          <w:highlight w:val="none"/>
        </w:rPr>
        <w:t>20.5 其他保险</w:t>
      </w:r>
      <w:bookmarkEnd w:id="1941"/>
      <w:bookmarkEnd w:id="1942"/>
      <w:bookmarkEnd w:id="1943"/>
      <w:bookmarkEnd w:id="1944"/>
      <w:bookmarkEnd w:id="1945"/>
      <w:bookmarkEnd w:id="1946"/>
      <w:bookmarkEnd w:id="1947"/>
      <w:bookmarkEnd w:id="1948"/>
    </w:p>
    <w:p>
      <w:pPr>
        <w:spacing w:line="400" w:lineRule="exact"/>
        <w:ind w:firstLine="420" w:firstLineChars="200"/>
        <w:rPr>
          <w:rFonts w:cs="Arial"/>
          <w:highlight w:val="none"/>
        </w:rPr>
      </w:pPr>
      <w:bookmarkStart w:id="1949" w:name="_Toc144974719"/>
      <w:bookmarkStart w:id="1950" w:name="_Toc152045748"/>
      <w:bookmarkStart w:id="1951" w:name="_Toc342296502"/>
      <w:bookmarkStart w:id="1952" w:name="_Toc241459743"/>
      <w:bookmarkStart w:id="1953" w:name="_Toc152042527"/>
      <w:bookmarkStart w:id="1954" w:name="_Toc179632766"/>
      <w:r>
        <w:rPr>
          <w:rFonts w:hint="eastAsia"/>
          <w:szCs w:val="21"/>
          <w:highlight w:val="none"/>
        </w:rPr>
        <w:t>承包人应为其施工设备、进场材料和工程设备等办理的保险：</w:t>
      </w:r>
      <w:r>
        <w:rPr>
          <w:rFonts w:hint="eastAsia"/>
          <w:szCs w:val="21"/>
          <w:highlight w:val="none"/>
          <w:u w:val="single"/>
        </w:rPr>
        <w:t>承包人自行决定，但由此引起的一切损失由承包人承担</w:t>
      </w:r>
      <w:r>
        <w:rPr>
          <w:rFonts w:hint="eastAsia" w:cs="Arial"/>
          <w:highlight w:val="none"/>
          <w:u w:val="single"/>
        </w:rPr>
        <w:t>。承包人应严格遵守有关规定，办理农民工工伤保险，相关保险费用已含在签约合同价（投标总报价）内。</w:t>
      </w:r>
    </w:p>
    <w:p>
      <w:pPr>
        <w:pStyle w:val="199"/>
        <w:outlineLvl w:val="0"/>
        <w:rPr>
          <w:rFonts w:ascii="黑体" w:hAnsi="宋体" w:cs="Arial"/>
          <w:highlight w:val="none"/>
        </w:rPr>
      </w:pPr>
      <w:bookmarkStart w:id="1955" w:name="_Toc15994"/>
      <w:bookmarkStart w:id="1956" w:name="_Toc434331426"/>
      <w:r>
        <w:rPr>
          <w:rFonts w:hint="eastAsia" w:ascii="黑体" w:hAnsi="宋体" w:cs="Arial"/>
          <w:highlight w:val="none"/>
        </w:rPr>
        <w:t>20.6 对各项保险的一般要求</w:t>
      </w:r>
      <w:bookmarkEnd w:id="1949"/>
      <w:bookmarkEnd w:id="1950"/>
      <w:bookmarkEnd w:id="1951"/>
      <w:bookmarkEnd w:id="1952"/>
      <w:bookmarkEnd w:id="1953"/>
      <w:bookmarkEnd w:id="1954"/>
      <w:bookmarkEnd w:id="1955"/>
      <w:bookmarkEnd w:id="1956"/>
    </w:p>
    <w:p>
      <w:pPr>
        <w:spacing w:line="400" w:lineRule="exact"/>
        <w:rPr>
          <w:rFonts w:ascii="黑体" w:eastAsia="黑体"/>
          <w:szCs w:val="21"/>
          <w:highlight w:val="none"/>
        </w:rPr>
      </w:pPr>
      <w:r>
        <w:rPr>
          <w:rFonts w:hint="eastAsia" w:ascii="黑体" w:eastAsia="黑体"/>
          <w:szCs w:val="21"/>
          <w:highlight w:val="none"/>
        </w:rPr>
        <w:t>20.6.1保险凭证</w:t>
      </w:r>
    </w:p>
    <w:p>
      <w:pPr>
        <w:spacing w:line="400" w:lineRule="exact"/>
        <w:rPr>
          <w:szCs w:val="21"/>
          <w:highlight w:val="none"/>
          <w:u w:val="single"/>
        </w:rPr>
      </w:pPr>
      <w:r>
        <w:rPr>
          <w:rFonts w:hint="eastAsia"/>
          <w:szCs w:val="21"/>
          <w:highlight w:val="none"/>
        </w:rPr>
        <w:t>承包人向发包人提交各项保险生效的证据和保险单副本的期限：</w:t>
      </w:r>
      <w:r>
        <w:rPr>
          <w:rFonts w:hint="eastAsia"/>
          <w:szCs w:val="21"/>
          <w:highlight w:val="none"/>
          <w:u w:val="single"/>
        </w:rPr>
        <w:t>在各项保险生效后3日内</w:t>
      </w:r>
      <w:r>
        <w:rPr>
          <w:rFonts w:hint="eastAsia" w:cs="Arial"/>
          <w:highlight w:val="none"/>
        </w:rPr>
        <w:t>。</w:t>
      </w:r>
    </w:p>
    <w:p>
      <w:pPr>
        <w:spacing w:line="400" w:lineRule="exact"/>
        <w:outlineLvl w:val="0"/>
        <w:rPr>
          <w:rFonts w:ascii="黑体" w:eastAsia="黑体"/>
          <w:szCs w:val="21"/>
          <w:highlight w:val="none"/>
        </w:rPr>
      </w:pPr>
      <w:bookmarkStart w:id="1957" w:name="_Toc434230737"/>
      <w:bookmarkStart w:id="1958" w:name="_Toc14013"/>
      <w:bookmarkStart w:id="1959" w:name="_Toc434331427"/>
      <w:r>
        <w:rPr>
          <w:rFonts w:hint="eastAsia" w:ascii="黑体" w:eastAsia="黑体"/>
          <w:szCs w:val="21"/>
          <w:highlight w:val="none"/>
        </w:rPr>
        <w:t>20.6.4保险金不足的补偿</w:t>
      </w:r>
      <w:bookmarkEnd w:id="1957"/>
      <w:bookmarkEnd w:id="1958"/>
      <w:bookmarkEnd w:id="1959"/>
    </w:p>
    <w:p>
      <w:pPr>
        <w:spacing w:line="400" w:lineRule="exact"/>
        <w:rPr>
          <w:rFonts w:cs="Arial"/>
          <w:highlight w:val="none"/>
        </w:rPr>
      </w:pPr>
      <w:r>
        <w:rPr>
          <w:rFonts w:hint="eastAsia"/>
          <w:szCs w:val="21"/>
          <w:highlight w:val="none"/>
        </w:rPr>
        <w:t>保险金不足以补偿损失时，</w:t>
      </w:r>
      <w:r>
        <w:rPr>
          <w:rFonts w:hint="eastAsia"/>
          <w:szCs w:val="21"/>
          <w:highlight w:val="none"/>
          <w:u w:val="single"/>
        </w:rPr>
        <w:t>由承包人负责补偿。</w:t>
      </w:r>
    </w:p>
    <w:p>
      <w:pPr>
        <w:pStyle w:val="282"/>
        <w:spacing w:before="0"/>
        <w:outlineLvl w:val="0"/>
        <w:rPr>
          <w:highlight w:val="none"/>
        </w:rPr>
      </w:pPr>
      <w:bookmarkStart w:id="1960" w:name="_Toc6068"/>
      <w:bookmarkStart w:id="1961" w:name="_Toc241459744"/>
      <w:bookmarkStart w:id="1962" w:name="_Toc144974720"/>
      <w:bookmarkStart w:id="1963" w:name="_Toc152045749"/>
      <w:bookmarkStart w:id="1964" w:name="_Toc152042528"/>
      <w:bookmarkStart w:id="1965" w:name="_Toc342296503"/>
      <w:bookmarkStart w:id="1966" w:name="_Toc179632767"/>
      <w:bookmarkStart w:id="1967" w:name="_Toc434331428"/>
      <w:r>
        <w:rPr>
          <w:rFonts w:hint="eastAsia"/>
          <w:highlight w:val="none"/>
        </w:rPr>
        <w:t>21. 不可抗力</w:t>
      </w:r>
      <w:bookmarkEnd w:id="1960"/>
      <w:bookmarkEnd w:id="1961"/>
      <w:bookmarkEnd w:id="1962"/>
      <w:bookmarkEnd w:id="1963"/>
      <w:bookmarkEnd w:id="1964"/>
      <w:bookmarkEnd w:id="1965"/>
      <w:bookmarkEnd w:id="1966"/>
      <w:bookmarkEnd w:id="1967"/>
    </w:p>
    <w:p>
      <w:pPr>
        <w:pStyle w:val="199"/>
        <w:outlineLvl w:val="0"/>
        <w:rPr>
          <w:rFonts w:ascii="黑体" w:hAnsi="宋体" w:cs="Arial"/>
          <w:highlight w:val="none"/>
        </w:rPr>
      </w:pPr>
      <w:bookmarkStart w:id="1968" w:name="_Toc13376"/>
      <w:bookmarkStart w:id="1969" w:name="_Toc342296504"/>
      <w:bookmarkStart w:id="1970" w:name="_Toc434331429"/>
      <w:bookmarkStart w:id="1971" w:name="_Toc179632768"/>
      <w:bookmarkStart w:id="1972" w:name="_Toc152045750"/>
      <w:bookmarkStart w:id="1973" w:name="_Toc241459745"/>
      <w:bookmarkStart w:id="1974" w:name="_Toc144974721"/>
      <w:bookmarkStart w:id="1975" w:name="_Toc152042529"/>
      <w:r>
        <w:rPr>
          <w:rFonts w:hint="eastAsia" w:ascii="黑体" w:hAnsi="宋体" w:cs="Arial"/>
          <w:highlight w:val="none"/>
        </w:rPr>
        <w:t>21.1 不可抗力的确认</w:t>
      </w:r>
      <w:bookmarkEnd w:id="1968"/>
      <w:bookmarkEnd w:id="1969"/>
      <w:bookmarkEnd w:id="1970"/>
      <w:bookmarkEnd w:id="1971"/>
      <w:bookmarkEnd w:id="1972"/>
      <w:bookmarkEnd w:id="1973"/>
      <w:bookmarkEnd w:id="1974"/>
      <w:bookmarkEnd w:id="1975"/>
    </w:p>
    <w:p>
      <w:pPr>
        <w:spacing w:line="400" w:lineRule="exact"/>
        <w:ind w:firstLine="525"/>
        <w:rPr>
          <w:szCs w:val="21"/>
          <w:highlight w:val="none"/>
        </w:rPr>
      </w:pPr>
      <w:r>
        <w:rPr>
          <w:rFonts w:hint="eastAsia"/>
          <w:szCs w:val="21"/>
          <w:highlight w:val="none"/>
        </w:rPr>
        <w:t>21.1.1通用合同条款第21.1.1项约定的不可抗力以外的其他情形：</w:t>
      </w:r>
      <w:r>
        <w:rPr>
          <w:rFonts w:hint="eastAsia"/>
          <w:szCs w:val="21"/>
          <w:highlight w:val="none"/>
          <w:u w:val="single"/>
        </w:rPr>
        <w:t xml:space="preserve">    </w:t>
      </w:r>
      <w:r>
        <w:rPr>
          <w:rFonts w:hint="eastAsia" w:cs="Arial"/>
          <w:highlight w:val="none"/>
          <w:u w:val="single"/>
        </w:rPr>
        <w:t xml:space="preserve">/ </w:t>
      </w:r>
      <w:r>
        <w:rPr>
          <w:rFonts w:hint="eastAsia"/>
          <w:szCs w:val="21"/>
          <w:highlight w:val="none"/>
          <w:u w:val="single"/>
        </w:rPr>
        <w:t xml:space="preserve">    </w:t>
      </w:r>
      <w:r>
        <w:rPr>
          <w:rFonts w:hint="eastAsia" w:cs="Arial"/>
          <w:highlight w:val="none"/>
        </w:rPr>
        <w:t>。</w:t>
      </w:r>
    </w:p>
    <w:p>
      <w:pPr>
        <w:spacing w:line="400" w:lineRule="exact"/>
        <w:ind w:firstLine="420" w:firstLineChars="200"/>
        <w:rPr>
          <w:rFonts w:cs="Arial"/>
          <w:highlight w:val="none"/>
        </w:rPr>
      </w:pPr>
      <w:r>
        <w:rPr>
          <w:rFonts w:hint="eastAsia"/>
          <w:szCs w:val="21"/>
          <w:highlight w:val="none"/>
        </w:rPr>
        <w:t>不可抗力的等级范围约定：</w:t>
      </w:r>
      <w:r>
        <w:rPr>
          <w:szCs w:val="21"/>
          <w:highlight w:val="none"/>
          <w:u w:val="single"/>
        </w:rPr>
        <w:t>（1）风力10级（含10级）以上台风持续24小时（以气象台发布的公告为准）。</w:t>
      </w:r>
      <w:r>
        <w:rPr>
          <w:szCs w:val="21"/>
          <w:highlight w:val="none"/>
          <w:u w:val="single"/>
        </w:rPr>
        <w:br w:type="textWrapping"/>
      </w:r>
      <w:r>
        <w:rPr>
          <w:szCs w:val="21"/>
          <w:highlight w:val="none"/>
          <w:u w:val="single"/>
        </w:rPr>
        <w:t xml:space="preserve"> </w:t>
      </w:r>
      <w:r>
        <w:rPr>
          <w:rFonts w:hint="eastAsia"/>
          <w:szCs w:val="21"/>
          <w:highlight w:val="none"/>
          <w:u w:val="single"/>
        </w:rPr>
        <w:t>（</w:t>
      </w:r>
      <w:r>
        <w:rPr>
          <w:szCs w:val="21"/>
          <w:highlight w:val="none"/>
          <w:u w:val="single"/>
        </w:rPr>
        <w:t>2）24小时连续雨量达</w:t>
      </w:r>
      <w:r>
        <w:rPr>
          <w:rFonts w:hint="eastAsia"/>
          <w:szCs w:val="21"/>
          <w:highlight w:val="none"/>
          <w:u w:val="single"/>
        </w:rPr>
        <w:t>4</w:t>
      </w:r>
      <w:r>
        <w:rPr>
          <w:szCs w:val="21"/>
          <w:highlight w:val="none"/>
          <w:u w:val="single"/>
        </w:rPr>
        <w:t>00mm以上的暴雨（以气象台发布的公告为准）。</w:t>
      </w:r>
      <w:r>
        <w:rPr>
          <w:szCs w:val="21"/>
          <w:highlight w:val="none"/>
          <w:u w:val="single"/>
        </w:rPr>
        <w:br w:type="textWrapping"/>
      </w:r>
      <w:r>
        <w:rPr>
          <w:szCs w:val="21"/>
          <w:highlight w:val="none"/>
          <w:u w:val="single"/>
        </w:rPr>
        <w:t xml:space="preserve"> （3）战争、动乱、洪水、空中飞行物坠落或其它非发包人、承包人责任造成的爆炸火灾。</w:t>
      </w:r>
      <w:r>
        <w:rPr>
          <w:szCs w:val="21"/>
          <w:highlight w:val="none"/>
          <w:u w:val="single"/>
        </w:rPr>
        <w:br w:type="textWrapping"/>
      </w:r>
      <w:r>
        <w:rPr>
          <w:szCs w:val="21"/>
          <w:highlight w:val="none"/>
          <w:u w:val="single"/>
        </w:rPr>
        <w:t xml:space="preserve"> （4）</w:t>
      </w:r>
      <w:r>
        <w:rPr>
          <w:rFonts w:hint="eastAsia"/>
          <w:szCs w:val="21"/>
          <w:highlight w:val="none"/>
          <w:u w:val="single"/>
        </w:rPr>
        <w:t>黄石市</w:t>
      </w:r>
      <w:r>
        <w:rPr>
          <w:szCs w:val="21"/>
          <w:highlight w:val="none"/>
          <w:u w:val="single"/>
        </w:rPr>
        <w:t>行政区域内发生8级以上（含8级）地震</w:t>
      </w:r>
      <w:r>
        <w:rPr>
          <w:rFonts w:hint="eastAsia" w:cs="Arial"/>
          <w:highlight w:val="none"/>
          <w:u w:val="single"/>
        </w:rPr>
        <w:t xml:space="preserve">   </w:t>
      </w:r>
      <w:r>
        <w:rPr>
          <w:rFonts w:hint="eastAsia" w:cs="Arial"/>
          <w:highlight w:val="none"/>
        </w:rPr>
        <w:t>。</w:t>
      </w:r>
    </w:p>
    <w:p>
      <w:pPr>
        <w:pStyle w:val="199"/>
        <w:outlineLvl w:val="0"/>
        <w:rPr>
          <w:rFonts w:ascii="黑体" w:hAnsi="宋体" w:cs="Arial"/>
          <w:highlight w:val="none"/>
        </w:rPr>
      </w:pPr>
      <w:bookmarkStart w:id="1976" w:name="_Toc152042531"/>
      <w:bookmarkStart w:id="1977" w:name="_Toc144974723"/>
      <w:bookmarkStart w:id="1978" w:name="_Toc342296505"/>
      <w:bookmarkStart w:id="1979" w:name="_Toc2615"/>
      <w:bookmarkStart w:id="1980" w:name="_Toc179632770"/>
      <w:bookmarkStart w:id="1981" w:name="_Toc152045752"/>
      <w:bookmarkStart w:id="1982" w:name="_Toc434331430"/>
      <w:bookmarkStart w:id="1983" w:name="_Toc241459746"/>
      <w:r>
        <w:rPr>
          <w:rFonts w:hint="eastAsia" w:ascii="黑体" w:hAnsi="宋体" w:cs="Arial"/>
          <w:highlight w:val="none"/>
        </w:rPr>
        <w:t>21.3 不可抗力后果及其处理</w:t>
      </w:r>
      <w:bookmarkEnd w:id="1976"/>
      <w:bookmarkEnd w:id="1977"/>
      <w:bookmarkEnd w:id="1978"/>
      <w:bookmarkEnd w:id="1979"/>
      <w:bookmarkEnd w:id="1980"/>
      <w:bookmarkEnd w:id="1981"/>
      <w:bookmarkEnd w:id="1982"/>
      <w:bookmarkEnd w:id="1983"/>
    </w:p>
    <w:p>
      <w:pPr>
        <w:spacing w:line="400" w:lineRule="exact"/>
        <w:ind w:firstLine="420" w:firstLineChars="200"/>
        <w:rPr>
          <w:rFonts w:ascii="黑体" w:eastAsia="黑体"/>
          <w:szCs w:val="21"/>
          <w:highlight w:val="none"/>
        </w:rPr>
      </w:pPr>
      <w:r>
        <w:rPr>
          <w:rFonts w:hint="eastAsia" w:ascii="黑体" w:eastAsia="黑体"/>
          <w:szCs w:val="21"/>
          <w:highlight w:val="none"/>
        </w:rPr>
        <w:t>21.3.1不可抗力造成损害的责任</w:t>
      </w:r>
    </w:p>
    <w:p>
      <w:pPr>
        <w:spacing w:line="400" w:lineRule="exact"/>
        <w:ind w:firstLine="420" w:firstLineChars="200"/>
        <w:rPr>
          <w:rFonts w:cs="Arial"/>
          <w:highlight w:val="none"/>
        </w:rPr>
      </w:pPr>
      <w:r>
        <w:rPr>
          <w:rFonts w:hint="eastAsia"/>
          <w:szCs w:val="21"/>
          <w:highlight w:val="none"/>
        </w:rPr>
        <w:t xml:space="preserve">不可抗力导致的人员伤亡、财产损失、费用增加和（或）工期延误等后果，由合同双方按通用合同条款第21.3.1项约定的原则承担。                                                                      </w:t>
      </w:r>
    </w:p>
    <w:p>
      <w:pPr>
        <w:pStyle w:val="282"/>
        <w:spacing w:before="0"/>
        <w:outlineLvl w:val="0"/>
        <w:rPr>
          <w:highlight w:val="none"/>
        </w:rPr>
      </w:pPr>
      <w:bookmarkStart w:id="1984" w:name="_Toc342296506"/>
      <w:bookmarkStart w:id="1985" w:name="_Toc152042541"/>
      <w:bookmarkStart w:id="1986" w:name="_Toc144974732"/>
      <w:bookmarkStart w:id="1987" w:name="_Toc152045762"/>
      <w:bookmarkStart w:id="1988" w:name="_Toc1968"/>
      <w:bookmarkStart w:id="1989" w:name="_Toc241459747"/>
      <w:bookmarkStart w:id="1990" w:name="_Toc434331431"/>
      <w:bookmarkStart w:id="1991" w:name="_Toc179632780"/>
      <w:r>
        <w:rPr>
          <w:rFonts w:hint="eastAsia"/>
          <w:highlight w:val="none"/>
        </w:rPr>
        <w:t>24. 争议的解决</w:t>
      </w:r>
      <w:bookmarkEnd w:id="1984"/>
      <w:bookmarkEnd w:id="1985"/>
      <w:bookmarkEnd w:id="1986"/>
      <w:bookmarkEnd w:id="1987"/>
      <w:bookmarkEnd w:id="1988"/>
      <w:bookmarkEnd w:id="1989"/>
      <w:bookmarkEnd w:id="1990"/>
      <w:bookmarkEnd w:id="1991"/>
    </w:p>
    <w:p>
      <w:pPr>
        <w:pStyle w:val="199"/>
        <w:outlineLvl w:val="0"/>
        <w:rPr>
          <w:rFonts w:ascii="黑体" w:hAnsi="宋体" w:cs="Arial"/>
          <w:highlight w:val="none"/>
        </w:rPr>
      </w:pPr>
      <w:bookmarkStart w:id="1992" w:name="_Toc241459748"/>
      <w:bookmarkStart w:id="1993" w:name="_Toc19096"/>
      <w:bookmarkStart w:id="1994" w:name="_Toc179632781"/>
      <w:bookmarkStart w:id="1995" w:name="_Toc434331432"/>
      <w:bookmarkStart w:id="1996" w:name="_Toc144974733"/>
      <w:bookmarkStart w:id="1997" w:name="_Toc152045763"/>
      <w:bookmarkStart w:id="1998" w:name="_Toc342296507"/>
      <w:bookmarkStart w:id="1999" w:name="_Toc152042542"/>
      <w:r>
        <w:rPr>
          <w:rFonts w:hint="eastAsia" w:ascii="黑体" w:hAnsi="宋体" w:cs="Arial"/>
          <w:highlight w:val="none"/>
        </w:rPr>
        <w:t>24.1 争议的解决方式</w:t>
      </w:r>
      <w:bookmarkEnd w:id="1992"/>
      <w:bookmarkEnd w:id="1993"/>
      <w:bookmarkEnd w:id="1994"/>
      <w:bookmarkEnd w:id="1995"/>
      <w:bookmarkEnd w:id="1996"/>
      <w:bookmarkEnd w:id="1997"/>
      <w:bookmarkEnd w:id="1998"/>
      <w:bookmarkEnd w:id="1999"/>
    </w:p>
    <w:p>
      <w:pPr>
        <w:spacing w:line="400" w:lineRule="exact"/>
        <w:ind w:firstLine="525"/>
        <w:rPr>
          <w:szCs w:val="21"/>
          <w:highlight w:val="none"/>
        </w:rPr>
      </w:pPr>
      <w:bookmarkStart w:id="2000" w:name="_Toc179632782"/>
      <w:bookmarkStart w:id="2001" w:name="_Toc152042543"/>
      <w:bookmarkStart w:id="2002" w:name="_Toc152045764"/>
      <w:bookmarkStart w:id="2003" w:name="_Toc144974734"/>
      <w:r>
        <w:rPr>
          <w:rFonts w:hint="eastAsia"/>
          <w:szCs w:val="21"/>
          <w:highlight w:val="none"/>
        </w:rPr>
        <w:t>因本合同引起的或与本合同有关的任何争议，合同双方友好协商不成、不愿提请争议组评审或者不愿接受争议评审组意见的，选择下列第</w:t>
      </w:r>
      <w:r>
        <w:rPr>
          <w:rFonts w:hint="eastAsia"/>
          <w:szCs w:val="21"/>
          <w:highlight w:val="none"/>
          <w:u w:val="single"/>
        </w:rPr>
        <w:t xml:space="preserve">  贰     </w:t>
      </w:r>
      <w:r>
        <w:rPr>
          <w:rFonts w:hint="eastAsia"/>
          <w:szCs w:val="21"/>
          <w:highlight w:val="none"/>
        </w:rPr>
        <w:t>种方式解决：</w:t>
      </w:r>
    </w:p>
    <w:p>
      <w:pPr>
        <w:spacing w:line="400" w:lineRule="exact"/>
        <w:ind w:firstLine="525"/>
        <w:rPr>
          <w:highlight w:val="none"/>
        </w:rPr>
      </w:pPr>
      <w:r>
        <w:rPr>
          <w:rFonts w:hint="eastAsia"/>
          <w:highlight w:val="none"/>
          <w:u w:val="single"/>
        </w:rPr>
        <w:t>（壹）</w:t>
      </w:r>
      <w:r>
        <w:rPr>
          <w:rFonts w:hint="eastAsia"/>
          <w:highlight w:val="none"/>
        </w:rPr>
        <w:t>提请</w:t>
      </w:r>
      <w:r>
        <w:rPr>
          <w:rFonts w:hint="eastAsia"/>
          <w:highlight w:val="none"/>
          <w:u w:val="single"/>
        </w:rPr>
        <w:t xml:space="preserve">          </w:t>
      </w:r>
      <w:r>
        <w:rPr>
          <w:rFonts w:hint="eastAsia"/>
          <w:highlight w:val="none"/>
        </w:rPr>
        <w:t>仲裁委员会按照该会仲裁规则进行仲裁，仲裁裁决是终局的，对合同双方均有约束力。</w:t>
      </w:r>
    </w:p>
    <w:p>
      <w:pPr>
        <w:spacing w:line="400" w:lineRule="exact"/>
        <w:ind w:firstLine="525"/>
        <w:rPr>
          <w:szCs w:val="21"/>
          <w:highlight w:val="none"/>
        </w:rPr>
      </w:pPr>
      <w:r>
        <w:rPr>
          <w:rFonts w:hint="eastAsia"/>
          <w:szCs w:val="21"/>
          <w:highlight w:val="none"/>
          <w:u w:val="single"/>
        </w:rPr>
        <w:t>（贰）</w:t>
      </w:r>
      <w:r>
        <w:rPr>
          <w:rFonts w:hint="eastAsia"/>
          <w:szCs w:val="21"/>
          <w:highlight w:val="none"/>
        </w:rPr>
        <w:t>向有管辖权的人民法院提起诉讼。</w:t>
      </w:r>
    </w:p>
    <w:bookmarkEnd w:id="2000"/>
    <w:bookmarkEnd w:id="2001"/>
    <w:bookmarkEnd w:id="2002"/>
    <w:bookmarkEnd w:id="2003"/>
    <w:p>
      <w:pPr>
        <w:pStyle w:val="199"/>
        <w:outlineLvl w:val="0"/>
        <w:rPr>
          <w:rFonts w:ascii="黑体" w:hAnsi="宋体" w:cs="Arial"/>
          <w:highlight w:val="none"/>
        </w:rPr>
      </w:pPr>
      <w:bookmarkStart w:id="2004" w:name="_Toc179632783"/>
      <w:bookmarkStart w:id="2005" w:name="_Toc152042544"/>
      <w:bookmarkStart w:id="2006" w:name="_Toc434331433"/>
      <w:bookmarkStart w:id="2007" w:name="_Toc152045765"/>
      <w:bookmarkStart w:id="2008" w:name="_Toc25500"/>
      <w:bookmarkStart w:id="2009" w:name="_Toc144974735"/>
      <w:bookmarkStart w:id="2010" w:name="_Toc241459749"/>
      <w:bookmarkStart w:id="2011" w:name="_Toc342296508"/>
      <w:r>
        <w:rPr>
          <w:rFonts w:hint="eastAsia" w:ascii="黑体" w:hAnsi="宋体" w:cs="Arial"/>
          <w:highlight w:val="none"/>
        </w:rPr>
        <w:t>24.3 争议评审</w:t>
      </w:r>
      <w:bookmarkEnd w:id="2004"/>
      <w:bookmarkEnd w:id="2005"/>
      <w:bookmarkEnd w:id="2006"/>
      <w:bookmarkEnd w:id="2007"/>
      <w:bookmarkEnd w:id="2008"/>
      <w:bookmarkEnd w:id="2009"/>
      <w:bookmarkEnd w:id="2010"/>
      <w:bookmarkEnd w:id="2011"/>
    </w:p>
    <w:p>
      <w:pPr>
        <w:spacing w:line="400" w:lineRule="exact"/>
        <w:ind w:firstLine="525"/>
        <w:rPr>
          <w:szCs w:val="21"/>
          <w:highlight w:val="none"/>
        </w:rPr>
      </w:pPr>
      <w:r>
        <w:rPr>
          <w:rFonts w:hint="eastAsia"/>
          <w:szCs w:val="21"/>
          <w:highlight w:val="none"/>
        </w:rPr>
        <w:t>24.3.4争议评审组邀请合同双方代表人和有关人员举行调查会的期限：</w:t>
      </w:r>
      <w:r>
        <w:rPr>
          <w:rFonts w:hint="eastAsia"/>
          <w:szCs w:val="21"/>
          <w:highlight w:val="none"/>
          <w:u w:val="single"/>
        </w:rPr>
        <w:t xml:space="preserve">    /  </w:t>
      </w:r>
      <w:r>
        <w:rPr>
          <w:rFonts w:hint="eastAsia"/>
          <w:szCs w:val="21"/>
          <w:highlight w:val="none"/>
        </w:rPr>
        <w:t>。</w:t>
      </w:r>
    </w:p>
    <w:p>
      <w:pPr>
        <w:spacing w:line="400" w:lineRule="exact"/>
        <w:ind w:firstLine="525"/>
        <w:rPr>
          <w:szCs w:val="21"/>
          <w:highlight w:val="none"/>
        </w:rPr>
      </w:pPr>
      <w:r>
        <w:rPr>
          <w:rFonts w:hint="eastAsia"/>
          <w:szCs w:val="21"/>
          <w:highlight w:val="none"/>
        </w:rPr>
        <w:t>24.3.5争议评审组在调查会后作出争议评审意见的期限：</w:t>
      </w:r>
      <w:r>
        <w:rPr>
          <w:rFonts w:hint="eastAsia"/>
          <w:szCs w:val="21"/>
          <w:highlight w:val="none"/>
          <w:u w:val="single"/>
        </w:rPr>
        <w:t xml:space="preserve">        /          </w:t>
      </w:r>
      <w:r>
        <w:rPr>
          <w:rFonts w:hint="eastAsia"/>
          <w:szCs w:val="21"/>
          <w:highlight w:val="none"/>
        </w:rPr>
        <w:t>。</w:t>
      </w:r>
    </w:p>
    <w:p>
      <w:pPr>
        <w:pStyle w:val="282"/>
        <w:spacing w:before="0" w:after="120" w:afterLines="50" w:line="300" w:lineRule="auto"/>
        <w:rPr>
          <w:rFonts w:ascii="黑体" w:hAnsi="宋体" w:cs="Arial"/>
          <w:highlight w:val="none"/>
        </w:rPr>
      </w:pPr>
      <w:bookmarkStart w:id="2012" w:name="_Toc30793"/>
      <w:bookmarkStart w:id="2013" w:name="_Toc434331434"/>
      <w:bookmarkStart w:id="2014" w:name="_Toc394568337"/>
      <w:bookmarkStart w:id="2015" w:name="_Toc144974826"/>
      <w:bookmarkStart w:id="2016" w:name="_Toc179632785"/>
      <w:bookmarkStart w:id="2017" w:name="_Toc152045767"/>
      <w:bookmarkStart w:id="2018" w:name="_Toc152042546"/>
      <w:r>
        <w:rPr>
          <w:rFonts w:hint="eastAsia" w:ascii="黑体" w:hAnsi="宋体" w:cs="Arial"/>
          <w:highlight w:val="none"/>
        </w:rPr>
        <w:t>25.补充条款</w:t>
      </w:r>
      <w:bookmarkEnd w:id="2012"/>
      <w:bookmarkEnd w:id="2013"/>
      <w:bookmarkEnd w:id="2014"/>
    </w:p>
    <w:p>
      <w:pPr>
        <w:spacing w:line="400" w:lineRule="exact"/>
        <w:ind w:firstLine="525"/>
        <w:rPr>
          <w:szCs w:val="21"/>
          <w:highlight w:val="none"/>
        </w:rPr>
      </w:pPr>
      <w:r>
        <w:rPr>
          <w:rFonts w:hint="eastAsia"/>
          <w:szCs w:val="21"/>
          <w:highlight w:val="none"/>
        </w:rPr>
        <w:t>2.承包人怠于履行缺陷责任期及质量保修期义务的，发包人有权委托他人代为履行，由此发生的费用均由承包人承担。</w:t>
      </w:r>
    </w:p>
    <w:p>
      <w:pPr>
        <w:spacing w:line="400" w:lineRule="exact"/>
        <w:ind w:firstLine="525"/>
        <w:rPr>
          <w:szCs w:val="21"/>
          <w:highlight w:val="none"/>
        </w:rPr>
      </w:pPr>
      <w:r>
        <w:rPr>
          <w:rFonts w:hint="eastAsia"/>
          <w:szCs w:val="21"/>
          <w:highlight w:val="none"/>
        </w:rPr>
        <w:t>3.质量保证金为结算金额由发包人于工程竣工结算时一次性扣留，于质量保修期满后15日内无息返还。返还保证金时，应由发包人组织验收，确保无质量问题或因发生质量问题给业主造成的损失和纠纷得到圆满解决后，方可支付。</w:t>
      </w:r>
    </w:p>
    <w:p>
      <w:pPr>
        <w:spacing w:line="400" w:lineRule="exact"/>
        <w:ind w:firstLine="525"/>
        <w:rPr>
          <w:highlight w:val="none"/>
        </w:rPr>
      </w:pPr>
      <w:r>
        <w:rPr>
          <w:rFonts w:hint="eastAsia"/>
          <w:szCs w:val="21"/>
          <w:highlight w:val="none"/>
        </w:rPr>
        <w:t>4.合同文件附件包括：承包人提供的材料和工程设备一览表、</w:t>
      </w:r>
      <w:r>
        <w:rPr>
          <w:rFonts w:hint="eastAsia"/>
          <w:highlight w:val="none"/>
        </w:rPr>
        <w:t>发包人提供的材料和工程设备一览表、预付款担保、承包人履约保函、工程质量保修书、建设工程廉政责任书、安全施工、环保及扬尘污染控制责任书等。</w:t>
      </w:r>
    </w:p>
    <w:p>
      <w:pPr>
        <w:pStyle w:val="282"/>
        <w:spacing w:before="0" w:after="120" w:afterLines="50" w:line="300" w:lineRule="auto"/>
        <w:outlineLvl w:val="0"/>
        <w:rPr>
          <w:rFonts w:ascii="黑体" w:hAnsi="宋体" w:cs="Arial"/>
          <w:sz w:val="24"/>
          <w:highlight w:val="none"/>
        </w:rPr>
      </w:pPr>
      <w:bookmarkStart w:id="2019" w:name="_Toc394568338"/>
      <w:bookmarkStart w:id="2020" w:name="_Toc19524"/>
      <w:bookmarkStart w:id="2021" w:name="_Toc434331435"/>
      <w:r>
        <w:rPr>
          <w:rFonts w:hint="eastAsia" w:ascii="黑体" w:hAnsi="宋体" w:cs="Arial"/>
          <w:sz w:val="24"/>
          <w:highlight w:val="none"/>
        </w:rPr>
        <w:t>25.1 现场条件</w:t>
      </w:r>
      <w:bookmarkEnd w:id="2019"/>
      <w:bookmarkEnd w:id="2020"/>
      <w:bookmarkEnd w:id="2021"/>
    </w:p>
    <w:p>
      <w:pPr>
        <w:tabs>
          <w:tab w:val="left" w:pos="1920"/>
        </w:tabs>
        <w:spacing w:line="360" w:lineRule="auto"/>
        <w:ind w:left="140" w:leftChars="20" w:hanging="98" w:hangingChars="47"/>
        <w:rPr>
          <w:szCs w:val="21"/>
          <w:highlight w:val="none"/>
        </w:rPr>
      </w:pPr>
      <w:r>
        <w:rPr>
          <w:rFonts w:hint="eastAsia"/>
          <w:szCs w:val="21"/>
          <w:highlight w:val="none"/>
        </w:rPr>
        <w:t>（1）</w:t>
      </w:r>
      <w:r>
        <w:rPr>
          <w:szCs w:val="21"/>
          <w:highlight w:val="none"/>
        </w:rPr>
        <w:t>如承包人认为发包人按合同约定提供的工程临时用水、用电不能满足本工程施工，由承包人在投标时考虑补足方案并自行负责解决。</w:t>
      </w:r>
      <w:r>
        <w:rPr>
          <w:rFonts w:hint="eastAsia"/>
          <w:szCs w:val="21"/>
          <w:highlight w:val="none"/>
        </w:rPr>
        <w:t>承包人不得因上述原因要求调整合同价款或延长工期。</w:t>
      </w:r>
    </w:p>
    <w:p>
      <w:pPr>
        <w:tabs>
          <w:tab w:val="left" w:pos="1920"/>
        </w:tabs>
        <w:spacing w:line="360" w:lineRule="auto"/>
        <w:ind w:left="140" w:leftChars="20" w:hanging="98" w:hangingChars="47"/>
        <w:rPr>
          <w:szCs w:val="21"/>
          <w:highlight w:val="none"/>
        </w:rPr>
      </w:pPr>
      <w:r>
        <w:rPr>
          <w:rFonts w:hint="eastAsia"/>
          <w:szCs w:val="21"/>
          <w:highlight w:val="none"/>
        </w:rPr>
        <w:t>（2）</w:t>
      </w:r>
      <w:r>
        <w:rPr>
          <w:szCs w:val="21"/>
          <w:highlight w:val="none"/>
        </w:rPr>
        <w:t>承包人负责从发包人提供的工程临时用水、电位置接驳工程用水、用电并装表计量，</w:t>
      </w:r>
      <w:r>
        <w:rPr>
          <w:rFonts w:hint="eastAsia"/>
          <w:szCs w:val="21"/>
          <w:highlight w:val="none"/>
        </w:rPr>
        <w:t>由承包人</w:t>
      </w:r>
      <w:r>
        <w:rPr>
          <w:szCs w:val="21"/>
          <w:highlight w:val="none"/>
        </w:rPr>
        <w:t>承担水、电费用（含分包水电费）</w:t>
      </w:r>
      <w:r>
        <w:rPr>
          <w:rFonts w:hint="eastAsia"/>
          <w:szCs w:val="21"/>
          <w:highlight w:val="none"/>
        </w:rPr>
        <w:t>，并自行</w:t>
      </w:r>
      <w:r>
        <w:rPr>
          <w:szCs w:val="21"/>
          <w:highlight w:val="none"/>
        </w:rPr>
        <w:t>交纳。</w:t>
      </w:r>
      <w:r>
        <w:rPr>
          <w:rFonts w:hint="eastAsia"/>
          <w:szCs w:val="21"/>
          <w:highlight w:val="none"/>
        </w:rPr>
        <w:t>若承包人未及时缴纳费用，所产生的一切后果由承包人自行承担。上述</w:t>
      </w:r>
      <w:r>
        <w:rPr>
          <w:szCs w:val="21"/>
          <w:highlight w:val="none"/>
        </w:rPr>
        <w:t>有关费用</w:t>
      </w:r>
      <w:r>
        <w:rPr>
          <w:rFonts w:hint="eastAsia"/>
          <w:szCs w:val="21"/>
          <w:highlight w:val="none"/>
        </w:rPr>
        <w:t>承包人应充分</w:t>
      </w:r>
      <w:r>
        <w:rPr>
          <w:szCs w:val="21"/>
          <w:highlight w:val="none"/>
        </w:rPr>
        <w:t>考虑</w:t>
      </w:r>
      <w:r>
        <w:rPr>
          <w:rFonts w:hint="eastAsia"/>
          <w:szCs w:val="21"/>
          <w:highlight w:val="none"/>
        </w:rPr>
        <w:t>，</w:t>
      </w:r>
      <w:r>
        <w:rPr>
          <w:szCs w:val="21"/>
          <w:highlight w:val="none"/>
        </w:rPr>
        <w:t>并包含在合同总价内</w:t>
      </w:r>
      <w:r>
        <w:rPr>
          <w:rFonts w:hint="eastAsia"/>
          <w:szCs w:val="21"/>
          <w:highlight w:val="none"/>
        </w:rPr>
        <w:t>，费用固定，结算时不予调整。在未正式办理竣工验收前，所发生的水电费均由承包人支付。</w:t>
      </w:r>
    </w:p>
    <w:p>
      <w:pPr>
        <w:tabs>
          <w:tab w:val="left" w:pos="1920"/>
        </w:tabs>
        <w:spacing w:line="360" w:lineRule="auto"/>
        <w:ind w:left="140" w:leftChars="20" w:hanging="98" w:hangingChars="47"/>
        <w:rPr>
          <w:szCs w:val="21"/>
          <w:highlight w:val="none"/>
        </w:rPr>
      </w:pPr>
      <w:r>
        <w:rPr>
          <w:rFonts w:hint="eastAsia"/>
          <w:szCs w:val="21"/>
          <w:highlight w:val="none"/>
        </w:rPr>
        <w:t>（3）本工程</w:t>
      </w:r>
      <w:r>
        <w:rPr>
          <w:szCs w:val="21"/>
          <w:highlight w:val="none"/>
        </w:rPr>
        <w:t>排水的接驳</w:t>
      </w:r>
      <w:r>
        <w:rPr>
          <w:rFonts w:hint="eastAsia"/>
          <w:szCs w:val="21"/>
          <w:highlight w:val="none"/>
        </w:rPr>
        <w:t>、</w:t>
      </w:r>
      <w:r>
        <w:rPr>
          <w:szCs w:val="21"/>
          <w:highlight w:val="none"/>
        </w:rPr>
        <w:t>排水管线</w:t>
      </w:r>
      <w:r>
        <w:rPr>
          <w:rFonts w:hint="eastAsia"/>
          <w:szCs w:val="21"/>
          <w:highlight w:val="none"/>
        </w:rPr>
        <w:t>、电话和通讯线路及接口、连接现场与市政公共道路的交通通道（但不包括现场内的临时道路和设计图纸上标明的所有永久市政道路）由承包人自行解决，相关费用包含在投标报价中。</w:t>
      </w:r>
    </w:p>
    <w:p>
      <w:pPr>
        <w:pStyle w:val="282"/>
        <w:spacing w:before="0" w:after="120" w:afterLines="50" w:line="300" w:lineRule="auto"/>
        <w:ind w:left="154" w:leftChars="20" w:hanging="112" w:hangingChars="47"/>
        <w:rPr>
          <w:rFonts w:ascii="黑体" w:hAnsi="宋体" w:cs="Arial"/>
          <w:sz w:val="24"/>
          <w:highlight w:val="none"/>
        </w:rPr>
      </w:pPr>
      <w:bookmarkStart w:id="2022" w:name="_Toc394568339"/>
      <w:bookmarkStart w:id="2023" w:name="_Toc18113"/>
      <w:bookmarkStart w:id="2024" w:name="_Toc434331436"/>
      <w:r>
        <w:rPr>
          <w:rFonts w:hint="eastAsia" w:ascii="黑体" w:hAnsi="宋体" w:cs="Arial"/>
          <w:sz w:val="24"/>
          <w:highlight w:val="none"/>
        </w:rPr>
        <w:t>25.2承包人项目经理</w:t>
      </w:r>
      <w:bookmarkEnd w:id="2022"/>
      <w:r>
        <w:rPr>
          <w:rFonts w:hint="eastAsia" w:ascii="黑体" w:hAnsi="宋体" w:cs="Arial"/>
          <w:sz w:val="24"/>
          <w:highlight w:val="none"/>
        </w:rPr>
        <w:t>（包括执行经理、技术负责人等，下同）</w:t>
      </w:r>
      <w:bookmarkEnd w:id="2023"/>
      <w:bookmarkEnd w:id="2024"/>
    </w:p>
    <w:p>
      <w:pPr>
        <w:tabs>
          <w:tab w:val="left" w:pos="1920"/>
        </w:tabs>
        <w:spacing w:line="360" w:lineRule="auto"/>
        <w:ind w:firstLine="420" w:firstLineChars="200"/>
        <w:rPr>
          <w:rFonts w:hint="eastAsia"/>
          <w:highlight w:val="none"/>
        </w:rPr>
      </w:pPr>
      <w:r>
        <w:rPr>
          <w:rFonts w:hint="eastAsia"/>
          <w:highlight w:val="none"/>
        </w:rPr>
        <w:t>未经发包人事先书面同意，承包人均不得更换和撤销项目经理、项目执行经理及技术负责人，否则视同承包人违约，发包人有权中止合同，承包人将承担给发包人造成的任何损失并支付违约金（合同额的2%）。发包人同意更换的，承包人需支付违约金，具体为：项目经理每更换一人次处违约金 50 万元人民币，执行经理及技术负责人每违约更换一人次处违约金 30 万元人民币，其它人员每违约更换一人次处违约金 10 万元人民币。</w:t>
      </w:r>
    </w:p>
    <w:p>
      <w:pPr>
        <w:tabs>
          <w:tab w:val="left" w:pos="1920"/>
        </w:tabs>
        <w:spacing w:line="360" w:lineRule="auto"/>
        <w:ind w:firstLine="420" w:firstLineChars="200"/>
        <w:rPr>
          <w:highlight w:val="none"/>
        </w:rPr>
      </w:pPr>
      <w:r>
        <w:rPr>
          <w:rFonts w:hint="eastAsia"/>
          <w:highlight w:val="none"/>
        </w:rPr>
        <w:t>承包人项目经理及项目执行经理、技术负责人在整个合同期内的工作应是全职而不应是兼职的</w:t>
      </w:r>
      <w:r>
        <w:rPr>
          <w:rFonts w:hint="eastAsia"/>
          <w:highlight w:val="none"/>
          <w:lang w:eastAsia="zh-CN"/>
        </w:rPr>
        <w:t>，</w:t>
      </w:r>
      <w:r>
        <w:rPr>
          <w:rFonts w:hint="eastAsia"/>
          <w:highlight w:val="none"/>
          <w:lang w:val="en-US" w:eastAsia="zh-CN"/>
        </w:rPr>
        <w:t>同时对专业分包的项目有一定经验，能够管理好专业分包单位</w:t>
      </w:r>
      <w:r>
        <w:rPr>
          <w:rFonts w:hint="eastAsia"/>
          <w:highlight w:val="none"/>
        </w:rPr>
        <w:t>。除非监理人及发包人同意，承包人项目经理及项目执行经理和技术负责人须保证在现场的工作时间每周不少于五天（每天不少于8小时），否则视同承包人违约。如承包人项目经理或项目执行经理、技术负责人在现场的工作时间不足五天/周或每天不足8小时，发包人将从任何承包人应得的款项中处以 壹 万元/天的违约金，最高不超过合同价款的1%，并从月付款中扣除相应违约金。</w:t>
      </w:r>
    </w:p>
    <w:p>
      <w:pPr>
        <w:tabs>
          <w:tab w:val="left" w:pos="1920"/>
        </w:tabs>
        <w:spacing w:line="360" w:lineRule="auto"/>
        <w:ind w:firstLine="420" w:firstLineChars="200"/>
        <w:rPr>
          <w:highlight w:val="none"/>
        </w:rPr>
      </w:pPr>
      <w:r>
        <w:rPr>
          <w:rFonts w:hint="eastAsia"/>
          <w:highlight w:val="none"/>
        </w:rPr>
        <w:t>承包人确认，其明确知晓前述违约行为将对发包人造成严重经济损失，故承包人承诺对于前述违约金数额无任何异议。</w:t>
      </w:r>
    </w:p>
    <w:p>
      <w:pPr>
        <w:pStyle w:val="282"/>
        <w:spacing w:before="0" w:after="120" w:afterLines="50" w:line="300" w:lineRule="auto"/>
        <w:ind w:left="154" w:leftChars="20" w:hanging="112" w:hangingChars="47"/>
        <w:rPr>
          <w:rFonts w:ascii="黑体" w:hAnsi="宋体" w:cs="Arial"/>
          <w:sz w:val="24"/>
          <w:highlight w:val="none"/>
        </w:rPr>
      </w:pPr>
      <w:bookmarkStart w:id="2025" w:name="_Toc434331437"/>
      <w:bookmarkStart w:id="2026" w:name="_Toc394568340"/>
      <w:bookmarkStart w:id="2027" w:name="_Toc11948"/>
      <w:r>
        <w:rPr>
          <w:rFonts w:hint="eastAsia" w:ascii="黑体" w:hAnsi="宋体" w:cs="Arial"/>
          <w:sz w:val="24"/>
          <w:highlight w:val="none"/>
        </w:rPr>
        <w:t>25.3现场管理</w:t>
      </w:r>
      <w:bookmarkEnd w:id="2025"/>
      <w:bookmarkEnd w:id="2026"/>
      <w:bookmarkEnd w:id="2027"/>
    </w:p>
    <w:p>
      <w:pPr>
        <w:tabs>
          <w:tab w:val="left" w:pos="1920"/>
        </w:tabs>
        <w:spacing w:line="360" w:lineRule="auto"/>
        <w:ind w:left="252" w:leftChars="120" w:firstLine="317" w:firstLineChars="151"/>
        <w:rPr>
          <w:highlight w:val="none"/>
        </w:rPr>
      </w:pPr>
      <w:r>
        <w:rPr>
          <w:rFonts w:hint="eastAsia"/>
          <w:highlight w:val="none"/>
        </w:rPr>
        <w:t>发包人对承包人现场管理的其他要求：</w:t>
      </w:r>
    </w:p>
    <w:p>
      <w:pPr>
        <w:tabs>
          <w:tab w:val="left" w:pos="1920"/>
        </w:tabs>
        <w:spacing w:line="360" w:lineRule="auto"/>
        <w:ind w:left="140" w:leftChars="20" w:hanging="98" w:hangingChars="47"/>
        <w:rPr>
          <w:highlight w:val="none"/>
        </w:rPr>
      </w:pPr>
      <w:r>
        <w:rPr>
          <w:rFonts w:hint="eastAsia"/>
          <w:highlight w:val="none"/>
        </w:rPr>
        <w:t>（1）执行《建设工程施工现场管理规定》（建设部15号令）；承包人应为所有现场人员提供严格的安全防护措施，以确保所有人员在安全环境下施工。承包人须负全责保障其自身及参建各方人员的安全，并承担因安全措施不足所造成事故的责任及费用。</w:t>
      </w:r>
    </w:p>
    <w:p>
      <w:pPr>
        <w:tabs>
          <w:tab w:val="left" w:pos="1920"/>
        </w:tabs>
        <w:spacing w:line="360" w:lineRule="auto"/>
        <w:ind w:left="140" w:leftChars="20" w:hanging="98" w:hangingChars="47"/>
        <w:rPr>
          <w:highlight w:val="none"/>
        </w:rPr>
      </w:pPr>
      <w:r>
        <w:rPr>
          <w:rFonts w:hint="eastAsia"/>
          <w:highlight w:val="none"/>
        </w:rPr>
        <w:t>（2）遵守政府有关主管部门要求，按规定办理有关手续、支付相关费用，包括但不限于办理基坑降水排水、施工场地交通、施工噪音以及环境保护和安全生产等。</w:t>
      </w:r>
    </w:p>
    <w:p>
      <w:pPr>
        <w:tabs>
          <w:tab w:val="left" w:pos="1920"/>
        </w:tabs>
        <w:spacing w:line="360" w:lineRule="auto"/>
        <w:ind w:left="140" w:leftChars="20" w:hanging="98" w:hangingChars="47"/>
        <w:rPr>
          <w:highlight w:val="none"/>
        </w:rPr>
      </w:pPr>
      <w:r>
        <w:rPr>
          <w:rFonts w:hint="eastAsia"/>
          <w:highlight w:val="none"/>
        </w:rPr>
        <w:t>（3）除需做好工地内的环境卫生管理外，承包人尚须负责工地外责任区施工道路的管理及保洁，并须在本项目建设全过程全面负责按当地政府有关规定须由建设单位负责之建筑红线外“门前三包”区域的所有日常清洁、维护和管理。</w:t>
      </w:r>
    </w:p>
    <w:p>
      <w:pPr>
        <w:tabs>
          <w:tab w:val="left" w:pos="1920"/>
        </w:tabs>
        <w:spacing w:line="360" w:lineRule="auto"/>
        <w:ind w:left="140" w:leftChars="20" w:hanging="98" w:hangingChars="47"/>
        <w:rPr>
          <w:highlight w:val="none"/>
        </w:rPr>
      </w:pPr>
      <w:r>
        <w:rPr>
          <w:rFonts w:hint="eastAsia"/>
          <w:highlight w:val="none"/>
        </w:rPr>
        <w:t>（4）已竣工工程未交付发包人之前，承包人按专用条款约定负责已完工程的保护工作，保护期间发生损坏，承包人应自费并按照发包人之要求及时限内予以修复。</w:t>
      </w:r>
    </w:p>
    <w:p>
      <w:pPr>
        <w:tabs>
          <w:tab w:val="left" w:pos="1920"/>
        </w:tabs>
        <w:spacing w:line="360" w:lineRule="auto"/>
        <w:ind w:left="140" w:leftChars="20" w:hanging="98" w:hangingChars="47"/>
        <w:rPr>
          <w:highlight w:val="none"/>
        </w:rPr>
      </w:pPr>
      <w:r>
        <w:rPr>
          <w:rFonts w:hint="eastAsia"/>
          <w:highlight w:val="none"/>
        </w:rPr>
        <w:t>（5）承包人应在现场设置卫生、医疗站和急救设施。</w:t>
      </w:r>
    </w:p>
    <w:p>
      <w:pPr>
        <w:tabs>
          <w:tab w:val="left" w:pos="1920"/>
        </w:tabs>
        <w:spacing w:line="360" w:lineRule="auto"/>
        <w:ind w:left="140" w:leftChars="20" w:hanging="98" w:hangingChars="47"/>
        <w:rPr>
          <w:highlight w:val="none"/>
        </w:rPr>
      </w:pPr>
      <w:r>
        <w:rPr>
          <w:rFonts w:hint="eastAsia"/>
          <w:highlight w:val="none"/>
        </w:rPr>
        <w:t>1）承包人须为现场工人提供符合政府卫生规定的生活条件并获得必要的许可，保证工人的健康和防止任何传染病，包括工人的食堂、厕所、工具房、宿舍等；承包人应聘请专业的卫生防疫部门人员定期对现场、工人生活基地和工程进行防疫和卫生的专业检查和处理，包括消灭鼠害、蚊蝇和其它害虫，以防对施工人员、现场和永久工程造成任何危害。要保持工人生活基地卫生环境的整洁。</w:t>
      </w:r>
    </w:p>
    <w:p>
      <w:pPr>
        <w:tabs>
          <w:tab w:val="left" w:pos="1920"/>
        </w:tabs>
        <w:spacing w:line="360" w:lineRule="auto"/>
        <w:ind w:left="140" w:leftChars="20" w:hanging="98" w:hangingChars="47"/>
        <w:rPr>
          <w:highlight w:val="none"/>
        </w:rPr>
      </w:pPr>
      <w:r>
        <w:rPr>
          <w:rFonts w:hint="eastAsia"/>
          <w:highlight w:val="none"/>
        </w:rPr>
        <w:t>2）承包人须在现场设立专门的临时医疗站，配备足够的设施、药物和称职的医务人员。</w:t>
      </w:r>
    </w:p>
    <w:p>
      <w:pPr>
        <w:pStyle w:val="282"/>
        <w:spacing w:before="0" w:after="120" w:afterLines="50" w:line="300" w:lineRule="auto"/>
        <w:ind w:left="154" w:leftChars="20" w:hanging="112" w:hangingChars="47"/>
        <w:rPr>
          <w:rFonts w:ascii="黑体" w:hAnsi="宋体" w:cs="Arial"/>
          <w:sz w:val="24"/>
          <w:highlight w:val="none"/>
        </w:rPr>
      </w:pPr>
      <w:bookmarkStart w:id="2028" w:name="_Toc394568341"/>
      <w:bookmarkStart w:id="2029" w:name="_Toc434331438"/>
      <w:bookmarkStart w:id="2030" w:name="_Toc179"/>
      <w:r>
        <w:rPr>
          <w:rFonts w:hint="eastAsia" w:ascii="黑体" w:hAnsi="宋体" w:cs="Arial"/>
          <w:sz w:val="24"/>
          <w:highlight w:val="none"/>
        </w:rPr>
        <w:t>25.4进度报告</w:t>
      </w:r>
      <w:bookmarkEnd w:id="2028"/>
      <w:bookmarkEnd w:id="2029"/>
      <w:bookmarkEnd w:id="2030"/>
    </w:p>
    <w:p>
      <w:pPr>
        <w:tabs>
          <w:tab w:val="left" w:pos="1920"/>
        </w:tabs>
        <w:spacing w:line="360" w:lineRule="auto"/>
        <w:ind w:left="140" w:leftChars="20" w:hanging="98" w:hangingChars="47"/>
        <w:rPr>
          <w:highlight w:val="none"/>
        </w:rPr>
      </w:pPr>
      <w:r>
        <w:rPr>
          <w:rFonts w:hint="eastAsia"/>
          <w:highlight w:val="none"/>
        </w:rPr>
        <w:t>（1）承包人每月25日向监理人提交下月施工进度计划及本月实际完成情况统计表；每周五向监理人提交下周进度计划和本周实际完成情况统计表；若有事故发生，需立即上报，同时在24小时内实报文字说明报告。</w:t>
      </w:r>
    </w:p>
    <w:p>
      <w:pPr>
        <w:tabs>
          <w:tab w:val="left" w:pos="1920"/>
        </w:tabs>
        <w:spacing w:line="360" w:lineRule="auto"/>
        <w:ind w:left="140" w:leftChars="20" w:hanging="98" w:hangingChars="47"/>
        <w:rPr>
          <w:highlight w:val="none"/>
        </w:rPr>
      </w:pPr>
      <w:r>
        <w:rPr>
          <w:rFonts w:hint="eastAsia"/>
          <w:highlight w:val="none"/>
        </w:rPr>
        <w:t xml:space="preserve">（2）承包人必须派遣专职进度工程师并常驻现场，并且按照发包人的要求配合进度管理，如提供经发包人认可的施工总进度计划、年月进度计划、进度日报、进度周报、进度月报、施工工程量分解、工程量完成情况等，其中进度月报包含进度、投资、工程量以及下月计划等内容。 </w:t>
      </w:r>
    </w:p>
    <w:p>
      <w:pPr>
        <w:tabs>
          <w:tab w:val="left" w:pos="1920"/>
        </w:tabs>
        <w:spacing w:line="360" w:lineRule="auto"/>
        <w:ind w:left="140" w:leftChars="20" w:hanging="98" w:hangingChars="47"/>
        <w:rPr>
          <w:highlight w:val="none"/>
        </w:rPr>
      </w:pPr>
      <w:r>
        <w:rPr>
          <w:rFonts w:hint="eastAsia"/>
          <w:highlight w:val="none"/>
        </w:rPr>
        <w:t>（3） 承包人提出的任何工期延长的请求，均应附相应的对总工程进度计划关键线路网络图的调整说明，该关键线路网络图是与经监理人审批的进度计划网络图的对比，凡不能提供进度计划网络路关键线路说明的，其工期延长的要求均将被拒绝；进度照片的版权属于发包人；未经监理人许可，承包人不得在任何情况下使用此类照片；如果承包人使用胶卷拍摄进度照片，相应的照片底片要妥善保留，发包人有权随时索取有关底片；如果承包人采用数码相机拍摄进度照片，承包人须确保此类照片的数据文件限定在符合要求的使用范围内。</w:t>
      </w:r>
    </w:p>
    <w:p>
      <w:pPr>
        <w:pStyle w:val="282"/>
        <w:spacing w:before="0" w:after="120" w:afterLines="50" w:line="300" w:lineRule="auto"/>
        <w:ind w:left="154" w:leftChars="20" w:hanging="112" w:hangingChars="47"/>
        <w:rPr>
          <w:rFonts w:ascii="黑体" w:hAnsi="宋体" w:cs="Arial"/>
          <w:sz w:val="24"/>
          <w:highlight w:val="none"/>
        </w:rPr>
      </w:pPr>
      <w:bookmarkStart w:id="2031" w:name="_Toc32122"/>
      <w:bookmarkStart w:id="2032" w:name="_Toc434331439"/>
      <w:bookmarkStart w:id="2033" w:name="_Toc394568342"/>
      <w:r>
        <w:rPr>
          <w:rFonts w:hint="eastAsia" w:ascii="黑体" w:hAnsi="宋体" w:cs="Arial"/>
          <w:sz w:val="24"/>
          <w:highlight w:val="none"/>
        </w:rPr>
        <w:t>25.5工程质量</w:t>
      </w:r>
      <w:bookmarkEnd w:id="2031"/>
      <w:bookmarkEnd w:id="2032"/>
      <w:bookmarkEnd w:id="2033"/>
    </w:p>
    <w:p>
      <w:pPr>
        <w:tabs>
          <w:tab w:val="left" w:pos="1920"/>
        </w:tabs>
        <w:spacing w:line="360" w:lineRule="auto"/>
        <w:ind w:left="140" w:leftChars="20" w:hanging="98" w:hangingChars="47"/>
        <w:rPr>
          <w:highlight w:val="none"/>
        </w:rPr>
      </w:pPr>
      <w:r>
        <w:rPr>
          <w:rFonts w:hint="eastAsia"/>
          <w:highlight w:val="none"/>
        </w:rPr>
        <w:t>（1）本工程的质量创优目标及相关约定：合格。</w:t>
      </w:r>
    </w:p>
    <w:p>
      <w:pPr>
        <w:tabs>
          <w:tab w:val="left" w:pos="1920"/>
        </w:tabs>
        <w:spacing w:line="360" w:lineRule="auto"/>
        <w:ind w:left="140" w:leftChars="20" w:hanging="98" w:hangingChars="47"/>
        <w:rPr>
          <w:highlight w:val="none"/>
        </w:rPr>
      </w:pPr>
      <w:r>
        <w:rPr>
          <w:rFonts w:hint="eastAsia"/>
          <w:highlight w:val="none"/>
        </w:rPr>
        <w:t>（2）承包人确保按照DB11/513-2008《绿色施工管理规程》和发包人书面提出的绿色施工要求进行施工和管理。</w:t>
      </w:r>
    </w:p>
    <w:p>
      <w:pPr>
        <w:tabs>
          <w:tab w:val="left" w:pos="1920"/>
        </w:tabs>
        <w:spacing w:line="360" w:lineRule="auto"/>
        <w:ind w:left="140" w:leftChars="20" w:hanging="98" w:hangingChars="47"/>
        <w:rPr>
          <w:highlight w:val="none"/>
        </w:rPr>
      </w:pPr>
      <w:r>
        <w:rPr>
          <w:rFonts w:hint="eastAsia"/>
          <w:highlight w:val="none"/>
        </w:rPr>
        <w:t>（3）双方对工程质量有异议的，由发包人指定的工程质量检测机构鉴定，所需费用及由此造成的损失由承包人承担。承包人对该检测机构的鉴定结果有异议的，由双方抽签决定具有司法鉴定资格的工程检测机构另行鉴定，费用由承包人支付。鉴定期间，承包人仍应按原鉴定结果和发包人的要求承担对存在工程质量问题的工程予以修复的责任。</w:t>
      </w:r>
    </w:p>
    <w:p>
      <w:pPr>
        <w:pStyle w:val="282"/>
        <w:spacing w:before="0" w:after="120" w:afterLines="50" w:line="300" w:lineRule="auto"/>
        <w:ind w:left="154" w:leftChars="20" w:hanging="112" w:hangingChars="47"/>
        <w:rPr>
          <w:rFonts w:ascii="黑体" w:hAnsi="宋体" w:cs="Arial"/>
          <w:sz w:val="24"/>
          <w:highlight w:val="none"/>
        </w:rPr>
      </w:pPr>
      <w:bookmarkStart w:id="2034" w:name="_Toc27030"/>
      <w:bookmarkStart w:id="2035" w:name="_Toc394568344"/>
      <w:bookmarkStart w:id="2036" w:name="_Toc434331441"/>
      <w:r>
        <w:rPr>
          <w:rFonts w:hint="eastAsia" w:ascii="黑体" w:hAnsi="宋体" w:cs="Arial"/>
          <w:sz w:val="24"/>
          <w:highlight w:val="none"/>
        </w:rPr>
        <w:t>25.</w:t>
      </w:r>
      <w:r>
        <w:rPr>
          <w:rFonts w:hint="eastAsia" w:ascii="黑体" w:hAnsi="宋体" w:cs="Arial"/>
          <w:sz w:val="24"/>
          <w:highlight w:val="none"/>
          <w:lang w:val="en-US" w:eastAsia="zh-CN"/>
        </w:rPr>
        <w:t>6</w:t>
      </w:r>
      <w:r>
        <w:rPr>
          <w:rFonts w:hint="eastAsia" w:ascii="黑体" w:hAnsi="宋体" w:cs="Arial"/>
          <w:sz w:val="24"/>
          <w:highlight w:val="none"/>
        </w:rPr>
        <w:t>安全防护和文明施工</w:t>
      </w:r>
      <w:bookmarkEnd w:id="2034"/>
      <w:bookmarkEnd w:id="2035"/>
      <w:bookmarkEnd w:id="2036"/>
    </w:p>
    <w:p>
      <w:pPr>
        <w:tabs>
          <w:tab w:val="left" w:pos="1920"/>
        </w:tabs>
        <w:spacing w:line="360" w:lineRule="auto"/>
        <w:ind w:left="140" w:leftChars="20" w:hanging="98" w:hangingChars="47"/>
        <w:rPr>
          <w:highlight w:val="none"/>
        </w:rPr>
      </w:pPr>
      <w:r>
        <w:rPr>
          <w:rFonts w:hint="eastAsia"/>
          <w:highlight w:val="none"/>
        </w:rPr>
        <w:t>（1） 如因承包人发生安全事故等原因而使受害人通过投诉、起诉、信访等方式向发包方主张权利，承包人应承担发包人因此支出的调查费、律师费等合理费用。</w:t>
      </w:r>
    </w:p>
    <w:p>
      <w:pPr>
        <w:tabs>
          <w:tab w:val="left" w:pos="1920"/>
        </w:tabs>
        <w:spacing w:line="360" w:lineRule="auto"/>
        <w:ind w:left="140" w:leftChars="20" w:hanging="98" w:hangingChars="47"/>
        <w:rPr>
          <w:highlight w:val="none"/>
        </w:rPr>
      </w:pPr>
      <w:r>
        <w:rPr>
          <w:rFonts w:hint="eastAsia"/>
          <w:highlight w:val="none"/>
        </w:rPr>
        <w:t>（2） 因承包人责任造成人身伤害事故并发生诉讼纠纷案件，在案件尚未结案之前，发包人有权暂缓支付合同款。</w:t>
      </w:r>
    </w:p>
    <w:p>
      <w:pPr>
        <w:tabs>
          <w:tab w:val="left" w:pos="1920"/>
        </w:tabs>
        <w:spacing w:line="360" w:lineRule="auto"/>
        <w:ind w:left="140" w:leftChars="20" w:hanging="98" w:hangingChars="47"/>
        <w:rPr>
          <w:highlight w:val="none"/>
        </w:rPr>
      </w:pPr>
      <w:r>
        <w:rPr>
          <w:rFonts w:hint="eastAsia"/>
          <w:highlight w:val="none"/>
        </w:rPr>
        <w:t>（3）承包人在施工过程中因噪声、烟尘、震动等影响周边居民的正常生活，或因施工抽取地下水、进行爆破作业等对他人的人身或财产造成损害的，由承包方负责妥善处理，并承担全部责任。如果受害人要求发包方承担赔偿责任或连带赔偿责任的，发包人有权在应付承包人的工程款中予以扣减，或者另行向承包人追偿。</w:t>
      </w:r>
    </w:p>
    <w:p>
      <w:pPr>
        <w:tabs>
          <w:tab w:val="left" w:pos="1920"/>
        </w:tabs>
        <w:spacing w:line="360" w:lineRule="auto"/>
        <w:ind w:left="140" w:leftChars="20" w:hanging="98" w:hangingChars="47"/>
        <w:rPr>
          <w:highlight w:val="none"/>
        </w:rPr>
      </w:pPr>
      <w:r>
        <w:rPr>
          <w:rFonts w:hint="eastAsia"/>
          <w:highlight w:val="none"/>
        </w:rPr>
        <w:t>（4）发生重大伤亡及其它安全事故时，发包人、承包人对事故责任有争议的，首先由承包人承担事故责任及费用，再按政府有关部门的认定处理。根据处理结果及责任认定，所涉及的费用由双方在工程价款支付过程中据实结算。事故处理期间，承包人不得影响工程按期按质施工。</w:t>
      </w:r>
    </w:p>
    <w:p>
      <w:pPr>
        <w:pStyle w:val="282"/>
        <w:spacing w:before="0" w:after="120" w:afterLines="50" w:line="300" w:lineRule="auto"/>
        <w:ind w:left="154" w:leftChars="20" w:hanging="112" w:hangingChars="47"/>
        <w:rPr>
          <w:rFonts w:ascii="黑体" w:hAnsi="宋体" w:cs="Arial"/>
          <w:sz w:val="24"/>
          <w:highlight w:val="none"/>
        </w:rPr>
      </w:pPr>
      <w:bookmarkStart w:id="2037" w:name="_Toc10829"/>
      <w:bookmarkStart w:id="2038" w:name="_Toc434331442"/>
      <w:bookmarkStart w:id="2039" w:name="_Toc394568345"/>
      <w:r>
        <w:rPr>
          <w:rFonts w:hint="eastAsia" w:ascii="黑体" w:hAnsi="宋体" w:cs="Arial"/>
          <w:sz w:val="24"/>
          <w:highlight w:val="none"/>
        </w:rPr>
        <w:t>25.</w:t>
      </w:r>
      <w:r>
        <w:rPr>
          <w:rFonts w:hint="eastAsia" w:ascii="黑体" w:hAnsi="宋体" w:cs="Arial"/>
          <w:sz w:val="24"/>
          <w:highlight w:val="none"/>
          <w:lang w:val="en-US" w:eastAsia="zh-CN"/>
        </w:rPr>
        <w:t>7</w:t>
      </w:r>
      <w:r>
        <w:rPr>
          <w:rFonts w:hint="eastAsia" w:ascii="黑体" w:hAnsi="宋体" w:cs="Arial"/>
          <w:sz w:val="24"/>
          <w:highlight w:val="none"/>
        </w:rPr>
        <w:t>合同价款的调整</w:t>
      </w:r>
      <w:bookmarkEnd w:id="2037"/>
      <w:bookmarkEnd w:id="2038"/>
      <w:bookmarkEnd w:id="2039"/>
    </w:p>
    <w:p>
      <w:pPr>
        <w:tabs>
          <w:tab w:val="left" w:pos="1920"/>
        </w:tabs>
        <w:spacing w:line="360" w:lineRule="auto"/>
        <w:ind w:left="141" w:leftChars="67"/>
        <w:rPr>
          <w:highlight w:val="none"/>
        </w:rPr>
      </w:pPr>
      <w:r>
        <w:rPr>
          <w:rFonts w:hint="eastAsia"/>
          <w:highlight w:val="none"/>
        </w:rPr>
        <w:t>（1）合同中规定的总承包管理费和配合费费率均为1%固定不变。如果暂估价的专业分包工程由承包人自行施工或不需要承包人提供管理、协调、配合服务时，其相应总承包服务费扣除。</w:t>
      </w:r>
    </w:p>
    <w:p>
      <w:pPr>
        <w:spacing w:line="360" w:lineRule="auto"/>
        <w:ind w:firstLine="210" w:firstLineChars="100"/>
        <w:rPr>
          <w:highlight w:val="none"/>
        </w:rPr>
      </w:pPr>
      <w:r>
        <w:rPr>
          <w:rFonts w:hint="eastAsia"/>
          <w:szCs w:val="21"/>
          <w:highlight w:val="none"/>
        </w:rPr>
        <w:t>（2）投标价格为投标人的投标文件中提出的各项支付金额的总和。投标人的投标价格一旦为招标人接受，在整个合同有效期内，所有价格均不能违背施工合同进行调整。本合同人工、材料、机械价格调整应遵循如下原则：人工单价按投标报价原则上不予调整，如果国家发布关于人工费调整的有关政策，本合同将根据投标信息价与发布单价的差价，进行调整，差价</w:t>
      </w:r>
      <w:r>
        <w:rPr>
          <w:rFonts w:hint="eastAsia"/>
          <w:szCs w:val="21"/>
          <w:highlight w:val="none"/>
          <w:lang w:val="en-US" w:eastAsia="zh-CN"/>
        </w:rPr>
        <w:t>不再</w:t>
      </w:r>
      <w:r>
        <w:rPr>
          <w:rFonts w:hint="eastAsia"/>
          <w:szCs w:val="21"/>
          <w:highlight w:val="none"/>
        </w:rPr>
        <w:t>计取管理费和利润。</w:t>
      </w:r>
    </w:p>
    <w:p>
      <w:pPr>
        <w:pStyle w:val="282"/>
        <w:spacing w:before="0" w:after="120" w:afterLines="50" w:line="300" w:lineRule="auto"/>
        <w:ind w:left="154" w:leftChars="20" w:hanging="112" w:hangingChars="47"/>
        <w:rPr>
          <w:rFonts w:ascii="黑体" w:hAnsi="宋体" w:cs="Arial"/>
          <w:sz w:val="24"/>
          <w:highlight w:val="none"/>
        </w:rPr>
      </w:pPr>
      <w:bookmarkStart w:id="2040" w:name="_Toc15583"/>
      <w:bookmarkStart w:id="2041" w:name="_Toc434331443"/>
      <w:bookmarkStart w:id="2042" w:name="_Toc394568346"/>
      <w:r>
        <w:rPr>
          <w:rFonts w:hint="eastAsia" w:ascii="黑体" w:hAnsi="宋体" w:cs="Arial"/>
          <w:sz w:val="24"/>
          <w:highlight w:val="none"/>
        </w:rPr>
        <w:t>25.</w:t>
      </w:r>
      <w:r>
        <w:rPr>
          <w:rFonts w:hint="eastAsia" w:ascii="黑体" w:hAnsi="宋体" w:cs="Arial"/>
          <w:sz w:val="24"/>
          <w:highlight w:val="none"/>
          <w:lang w:val="en-US" w:eastAsia="zh-CN"/>
        </w:rPr>
        <w:t>8</w:t>
      </w:r>
      <w:r>
        <w:rPr>
          <w:rFonts w:hint="eastAsia" w:ascii="黑体" w:hAnsi="宋体" w:cs="Arial"/>
          <w:sz w:val="24"/>
          <w:highlight w:val="none"/>
        </w:rPr>
        <w:t>变更</w:t>
      </w:r>
      <w:bookmarkEnd w:id="2040"/>
      <w:bookmarkEnd w:id="2041"/>
      <w:bookmarkEnd w:id="2042"/>
    </w:p>
    <w:p>
      <w:pPr>
        <w:tabs>
          <w:tab w:val="left" w:pos="1920"/>
        </w:tabs>
        <w:spacing w:line="360" w:lineRule="auto"/>
        <w:ind w:left="140" w:leftChars="20" w:hanging="98" w:hangingChars="47"/>
        <w:rPr>
          <w:highlight w:val="none"/>
        </w:rPr>
      </w:pPr>
      <w:r>
        <w:rPr>
          <w:rFonts w:hint="eastAsia"/>
          <w:highlight w:val="none"/>
        </w:rPr>
        <w:t>（1） 发包人发出的设计变更指令，承包人应当立即执行。承包人原因引起的变更，由承包人提出，经监理人、设计人、咨询人并经发包人签认后方可实施。</w:t>
      </w:r>
    </w:p>
    <w:p>
      <w:pPr>
        <w:tabs>
          <w:tab w:val="left" w:pos="1920"/>
        </w:tabs>
        <w:spacing w:line="360" w:lineRule="auto"/>
        <w:ind w:left="140" w:leftChars="20" w:hanging="98" w:hangingChars="47"/>
        <w:rPr>
          <w:highlight w:val="none"/>
        </w:rPr>
      </w:pPr>
      <w:r>
        <w:rPr>
          <w:rFonts w:hint="eastAsia"/>
          <w:highlight w:val="none"/>
        </w:rPr>
        <w:t>（2）工程洽商和返工报损确认单必须表明位置、尺寸和技术要求，确保工程量能够计算，否则无论发包人代表和监理人是否签署均作为无效。</w:t>
      </w:r>
    </w:p>
    <w:p>
      <w:pPr>
        <w:tabs>
          <w:tab w:val="left" w:pos="1920"/>
        </w:tabs>
        <w:spacing w:line="360" w:lineRule="auto"/>
        <w:ind w:left="140" w:leftChars="20" w:hanging="98" w:hangingChars="47"/>
        <w:rPr>
          <w:highlight w:val="none"/>
        </w:rPr>
      </w:pPr>
      <w:r>
        <w:rPr>
          <w:rFonts w:hint="eastAsia"/>
          <w:highlight w:val="none"/>
        </w:rPr>
        <w:t>（3）发包人代表可以确认工程洽商和返工报损确认单发生的位置、尺寸和技术要求，无权确认工程量、单价和总价。如果工程洽商和返工报损确认单上包含有价格、工期内容的，必须经发包人在授权书中特别指明有价格、工程量、工期确认权的代表签字确认后才有效，否则结算时不考虑。</w:t>
      </w:r>
    </w:p>
    <w:p>
      <w:pPr>
        <w:tabs>
          <w:tab w:val="left" w:pos="1920"/>
        </w:tabs>
        <w:spacing w:line="360" w:lineRule="auto"/>
        <w:ind w:left="140" w:leftChars="20" w:hanging="98" w:hangingChars="47"/>
        <w:rPr>
          <w:highlight w:val="none"/>
        </w:rPr>
      </w:pPr>
      <w:r>
        <w:rPr>
          <w:rFonts w:hint="eastAsia"/>
          <w:highlight w:val="none"/>
        </w:rPr>
        <w:t>（4）一个工程洽商和返工报损确认单上尽管有工程的内容，但未明确注明费用的具体数额或计算的方法，结算时不予计算价款，或未注明工期延长期限的，不予以工期延长。</w:t>
      </w:r>
    </w:p>
    <w:p>
      <w:pPr>
        <w:tabs>
          <w:tab w:val="left" w:pos="1920"/>
        </w:tabs>
        <w:spacing w:line="360" w:lineRule="auto"/>
        <w:ind w:left="140" w:leftChars="20" w:hanging="98" w:hangingChars="47"/>
        <w:rPr>
          <w:highlight w:val="none"/>
        </w:rPr>
      </w:pPr>
      <w:r>
        <w:rPr>
          <w:rFonts w:hint="eastAsia"/>
          <w:highlight w:val="none"/>
        </w:rPr>
        <w:t>（5）承包人拆改变更，应当妥善利用拆除的材料，尽量做到材料的合理二次利用，否则发包人在审核时，有权酌情予以扣减。</w:t>
      </w:r>
    </w:p>
    <w:p>
      <w:pPr>
        <w:tabs>
          <w:tab w:val="left" w:pos="1920"/>
        </w:tabs>
        <w:spacing w:line="360" w:lineRule="auto"/>
        <w:ind w:left="140" w:leftChars="20" w:hanging="98" w:hangingChars="47"/>
        <w:rPr>
          <w:highlight w:val="none"/>
        </w:rPr>
      </w:pPr>
      <w:r>
        <w:rPr>
          <w:rFonts w:hint="eastAsia"/>
          <w:highlight w:val="none"/>
        </w:rPr>
        <w:t>（6）工程量清单中列出的项目，如果实际未施工或者未按合同约定实施，结算时按投标报价时的金额进行调减。</w:t>
      </w:r>
    </w:p>
    <w:p>
      <w:pPr>
        <w:pStyle w:val="282"/>
        <w:spacing w:before="0" w:after="120" w:afterLines="50" w:line="300" w:lineRule="auto"/>
        <w:ind w:left="154" w:leftChars="20" w:hanging="112" w:hangingChars="47"/>
        <w:rPr>
          <w:rFonts w:ascii="黑体" w:hAnsi="宋体" w:cs="Arial"/>
          <w:sz w:val="24"/>
          <w:highlight w:val="none"/>
        </w:rPr>
      </w:pPr>
      <w:bookmarkStart w:id="2043" w:name="_Toc394568347"/>
      <w:bookmarkStart w:id="2044" w:name="_Toc26999"/>
      <w:bookmarkStart w:id="2045" w:name="_Toc434331444"/>
      <w:r>
        <w:rPr>
          <w:rFonts w:hint="eastAsia" w:ascii="黑体" w:hAnsi="宋体" w:cs="Arial"/>
          <w:sz w:val="24"/>
          <w:highlight w:val="none"/>
        </w:rPr>
        <w:t>25.</w:t>
      </w:r>
      <w:r>
        <w:rPr>
          <w:rFonts w:hint="eastAsia" w:ascii="黑体" w:hAnsi="宋体" w:cs="Arial"/>
          <w:sz w:val="24"/>
          <w:highlight w:val="none"/>
          <w:lang w:val="en-US" w:eastAsia="zh-CN"/>
        </w:rPr>
        <w:t>9</w:t>
      </w:r>
      <w:r>
        <w:rPr>
          <w:rFonts w:hint="eastAsia" w:ascii="黑体" w:hAnsi="宋体" w:cs="Arial"/>
          <w:sz w:val="24"/>
          <w:highlight w:val="none"/>
        </w:rPr>
        <w:t>变更计价</w:t>
      </w:r>
      <w:bookmarkEnd w:id="2043"/>
      <w:bookmarkEnd w:id="2044"/>
      <w:bookmarkEnd w:id="2045"/>
    </w:p>
    <w:p>
      <w:pPr>
        <w:tabs>
          <w:tab w:val="left" w:pos="1920"/>
        </w:tabs>
        <w:spacing w:line="360" w:lineRule="auto"/>
        <w:ind w:left="140" w:leftChars="20" w:hanging="98" w:hangingChars="47"/>
        <w:rPr>
          <w:highlight w:val="none"/>
        </w:rPr>
      </w:pPr>
      <w:r>
        <w:rPr>
          <w:rFonts w:hint="eastAsia"/>
          <w:highlight w:val="none"/>
        </w:rPr>
        <w:t>（1）承包人收到变更合同价款报告，应当在收到之日起14天内确认或提出协商意见，自变更合同价款报告送达之日起14天内，承包人未确认也未提出协商意见时，视为变更合同价款报告已被确认。</w:t>
      </w:r>
    </w:p>
    <w:p>
      <w:pPr>
        <w:tabs>
          <w:tab w:val="left" w:pos="1920"/>
        </w:tabs>
        <w:spacing w:line="360" w:lineRule="auto"/>
        <w:ind w:left="140" w:leftChars="20" w:hanging="98" w:hangingChars="47"/>
        <w:rPr>
          <w:highlight w:val="none"/>
        </w:rPr>
      </w:pPr>
      <w:r>
        <w:rPr>
          <w:rFonts w:hint="eastAsia"/>
          <w:highlight w:val="none"/>
        </w:rPr>
        <w:t>（2）所有工程变更价款以及风险范围外调整价款随审核通过当期进度款同期支付，支付额度为发包人、咨询人、审计人、监理人确认价款的80%，其余价款在竣工结算后支付。</w:t>
      </w:r>
    </w:p>
    <w:p>
      <w:pPr>
        <w:tabs>
          <w:tab w:val="left" w:pos="1920"/>
        </w:tabs>
        <w:spacing w:line="360" w:lineRule="auto"/>
        <w:ind w:left="140" w:leftChars="20" w:hanging="98" w:hangingChars="47"/>
        <w:rPr>
          <w:highlight w:val="none"/>
        </w:rPr>
      </w:pPr>
      <w:r>
        <w:rPr>
          <w:rFonts w:hint="eastAsia"/>
          <w:highlight w:val="none"/>
        </w:rPr>
        <w:t>（3）为保证合同双方的工作效率，承包人应保证其递交给监理工程师的对任何变更的计量和计价的准确性和合理性（含经承包人审定的专业分包和供应部分的变更的计量和计价）。如果承包人对承包人自己工作范围内任何变更的计量或计价超出最终经发包人和监理工程师审定的变更工程量或变更金额的10%以上（含），发包人将从承包人依合同应得或将得的任何款项中扣罚承包人对相关变更高估冒算的那部分金额的百分之五十；如果承包人对经承包人审定的专业分包和供应部分的变更的计量和计价超出最终经发包人和监理工程师审定的变更工程量或变更金额的10%以上（含），发包人将分别从承包人和分包人或供应商依合同应得或将得的任何款项中扣罚相关变更高估冒算的那部分金额的百分之二十五，并且承包人不能将自己负担的分包人或供应商变更高估冒算部分的百分之二十五转加给分包人或供应商。</w:t>
      </w:r>
    </w:p>
    <w:p>
      <w:pPr>
        <w:tabs>
          <w:tab w:val="left" w:pos="1920"/>
        </w:tabs>
        <w:spacing w:line="360" w:lineRule="auto"/>
        <w:ind w:left="140" w:leftChars="20" w:hanging="98" w:hangingChars="47"/>
        <w:rPr>
          <w:highlight w:val="none"/>
        </w:rPr>
      </w:pPr>
      <w:r>
        <w:rPr>
          <w:rFonts w:hint="eastAsia"/>
          <w:highlight w:val="none"/>
        </w:rPr>
        <w:t>高估冒算是指承包人向监理工程师递交的变更的计量和计价（含经承包人审定的专业分包和供应部分）与发包人和监理工程师审定的变更工程量或变更金额的10%以上（含）的部分，且承包人（含分包人或供应商）对此超过10%以上（含）的部分又无明确的能由合同文件或图纸等导致误解或歧义的理由存在且此理由能得到监理工程师和发包人的理解。</w:t>
      </w:r>
    </w:p>
    <w:p>
      <w:pPr>
        <w:tabs>
          <w:tab w:val="left" w:pos="1920"/>
        </w:tabs>
        <w:spacing w:line="360" w:lineRule="auto"/>
        <w:ind w:left="140" w:leftChars="20" w:hanging="98" w:hangingChars="47"/>
        <w:rPr>
          <w:highlight w:val="none"/>
        </w:rPr>
      </w:pPr>
      <w:r>
        <w:rPr>
          <w:rFonts w:hint="eastAsia"/>
          <w:highlight w:val="none"/>
        </w:rPr>
        <w:t>单项变更，经监理人和发包人审定的变更金额不足10000元的，发包人不支付该单项费用。</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46" w:name="_Toc394568348"/>
      <w:bookmarkStart w:id="2047" w:name="_Toc20339"/>
      <w:bookmarkStart w:id="2048" w:name="_Toc434331445"/>
      <w:r>
        <w:rPr>
          <w:rFonts w:hint="eastAsia" w:ascii="黑体" w:hAnsi="宋体" w:cs="Arial"/>
          <w:sz w:val="24"/>
          <w:highlight w:val="none"/>
        </w:rPr>
        <w:t>25.1</w:t>
      </w:r>
      <w:r>
        <w:rPr>
          <w:rFonts w:hint="eastAsia" w:ascii="黑体" w:hAnsi="宋体" w:cs="Arial"/>
          <w:sz w:val="24"/>
          <w:highlight w:val="none"/>
          <w:lang w:val="en-US" w:eastAsia="zh-CN"/>
        </w:rPr>
        <w:t>0</w:t>
      </w:r>
      <w:r>
        <w:rPr>
          <w:rFonts w:hint="eastAsia" w:ascii="黑体" w:hAnsi="宋体" w:cs="Arial"/>
          <w:sz w:val="24"/>
          <w:highlight w:val="none"/>
        </w:rPr>
        <w:t>进度款支付</w:t>
      </w:r>
      <w:bookmarkEnd w:id="2046"/>
      <w:bookmarkEnd w:id="2047"/>
      <w:bookmarkEnd w:id="2048"/>
    </w:p>
    <w:p>
      <w:pPr>
        <w:tabs>
          <w:tab w:val="left" w:pos="1920"/>
        </w:tabs>
        <w:spacing w:line="360" w:lineRule="auto"/>
        <w:ind w:left="141" w:leftChars="20" w:hanging="99" w:hangingChars="47"/>
        <w:rPr>
          <w:rFonts w:hint="eastAsia"/>
          <w:b/>
          <w:bCs/>
          <w:highlight w:val="none"/>
        </w:rPr>
      </w:pPr>
      <w:r>
        <w:rPr>
          <w:rFonts w:hint="eastAsia"/>
          <w:b/>
          <w:bCs/>
          <w:highlight w:val="none"/>
        </w:rPr>
        <w:t>（1）工程款按进度支付，进度款的合同金额是指不含暂列金的合同总价。</w:t>
      </w:r>
    </w:p>
    <w:p>
      <w:pPr>
        <w:tabs>
          <w:tab w:val="left" w:pos="1920"/>
        </w:tabs>
        <w:spacing w:line="360" w:lineRule="auto"/>
        <w:ind w:left="141" w:leftChars="20" w:hanging="99" w:hangingChars="47"/>
        <w:rPr>
          <w:rFonts w:hint="eastAsia"/>
          <w:b/>
          <w:bCs/>
          <w:highlight w:val="none"/>
        </w:rPr>
      </w:pPr>
      <w:r>
        <w:rPr>
          <w:rFonts w:hint="eastAsia"/>
          <w:b/>
          <w:bCs/>
          <w:highlight w:val="none"/>
        </w:rPr>
        <w:t>（2）工程款支付方式：</w:t>
      </w:r>
    </w:p>
    <w:p>
      <w:pPr>
        <w:tabs>
          <w:tab w:val="left" w:pos="1920"/>
        </w:tabs>
        <w:spacing w:line="360" w:lineRule="auto"/>
        <w:ind w:left="141" w:leftChars="20" w:hanging="99" w:hangingChars="47"/>
        <w:rPr>
          <w:rFonts w:hint="eastAsia"/>
          <w:b/>
          <w:bCs/>
          <w:highlight w:val="none"/>
        </w:rPr>
      </w:pPr>
      <w:r>
        <w:rPr>
          <w:rFonts w:hint="eastAsia"/>
          <w:b/>
          <w:bCs/>
          <w:highlight w:val="none"/>
        </w:rPr>
        <w:t>1、合同签订后支付预付款，预付款按照专用条款17.2执行。</w:t>
      </w:r>
    </w:p>
    <w:p>
      <w:pPr>
        <w:tabs>
          <w:tab w:val="left" w:pos="1920"/>
        </w:tabs>
        <w:spacing w:line="360" w:lineRule="auto"/>
        <w:ind w:left="141" w:leftChars="20" w:hanging="99" w:hangingChars="47"/>
        <w:rPr>
          <w:rFonts w:hint="eastAsia"/>
          <w:b/>
          <w:bCs/>
          <w:highlight w:val="none"/>
        </w:rPr>
      </w:pPr>
      <w:r>
        <w:rPr>
          <w:rFonts w:hint="eastAsia"/>
          <w:b/>
          <w:bCs/>
          <w:highlight w:val="none"/>
        </w:rPr>
        <w:t>2、承包人按月向发包人提交工程进度</w:t>
      </w:r>
      <w:r>
        <w:rPr>
          <w:rFonts w:hint="eastAsia"/>
          <w:b/>
          <w:bCs/>
          <w:highlight w:val="none"/>
          <w:lang w:val="en-US" w:eastAsia="zh-CN"/>
        </w:rPr>
        <w:t>报告等相关资料</w:t>
      </w:r>
      <w:r>
        <w:rPr>
          <w:rFonts w:hint="eastAsia"/>
          <w:b/>
          <w:bCs/>
          <w:highlight w:val="none"/>
        </w:rPr>
        <w:t>并取得发包人认可，1）当承包人完成累计工作量达到合同金额的60%后，发包人向承包人支付至合同价款与审计审定变更价款之和的50%；2）当承包人完成累计工作量达到合同金额的80%后，发包人向承包人支付至合同价款与审计审定变更价款之和的70%；3）工程竣工验收备案完成，且初步结算工作完成后，支付承包人至咨询人初步审定结算金额的90%；4）工程结算完毕，经审计人完成审计，并经发包人上级部门审批同意，且工地信息化资料及软硬件移交发包人完成后，支付承包人的全部价款达到审计人审定金额的97％；剩余3%作为质量保证金。</w:t>
      </w:r>
    </w:p>
    <w:p>
      <w:pPr>
        <w:tabs>
          <w:tab w:val="left" w:pos="1920"/>
        </w:tabs>
        <w:spacing w:line="360" w:lineRule="auto"/>
        <w:ind w:left="140" w:leftChars="20" w:hanging="98" w:hangingChars="47"/>
        <w:rPr>
          <w:highlight w:val="none"/>
        </w:rPr>
      </w:pPr>
      <w:r>
        <w:rPr>
          <w:rFonts w:hint="eastAsia"/>
          <w:highlight w:val="none"/>
        </w:rPr>
        <w:t>（3）工程进度款支付时限：监理人颁发经发包人批准的进度款付款单后，发包人按照发包人内部工作审批流程确认应付工程进度款，完成审批流程后由发包人在14日内支付。</w:t>
      </w:r>
    </w:p>
    <w:p>
      <w:pPr>
        <w:tabs>
          <w:tab w:val="left" w:pos="1920"/>
        </w:tabs>
        <w:spacing w:line="360" w:lineRule="auto"/>
        <w:ind w:left="140" w:leftChars="20" w:hanging="98" w:hangingChars="47"/>
        <w:rPr>
          <w:highlight w:val="none"/>
        </w:rPr>
      </w:pPr>
      <w:r>
        <w:rPr>
          <w:rFonts w:hint="eastAsia"/>
          <w:highlight w:val="none"/>
        </w:rPr>
        <w:t>（4）发包人未按合同约定支付工程款（进度款），双方又未达成延期付款协议，承包人不得因此停止施工。</w:t>
      </w:r>
    </w:p>
    <w:p>
      <w:pPr>
        <w:snapToGrid w:val="0"/>
        <w:spacing w:line="360" w:lineRule="auto"/>
        <w:ind w:firstLine="420" w:firstLineChars="200"/>
        <w:rPr>
          <w:bCs/>
          <w:szCs w:val="21"/>
          <w:highlight w:val="none"/>
        </w:rPr>
      </w:pPr>
      <w:r>
        <w:rPr>
          <w:rFonts w:hint="eastAsia"/>
          <w:bCs/>
          <w:szCs w:val="21"/>
          <w:highlight w:val="none"/>
        </w:rPr>
        <w:t>约定结算要求：</w:t>
      </w:r>
    </w:p>
    <w:p>
      <w:pPr>
        <w:snapToGrid w:val="0"/>
        <w:spacing w:line="360" w:lineRule="auto"/>
        <w:ind w:firstLine="420" w:firstLineChars="200"/>
        <w:rPr>
          <w:bCs/>
          <w:szCs w:val="21"/>
          <w:highlight w:val="none"/>
        </w:rPr>
      </w:pPr>
      <w:r>
        <w:rPr>
          <w:rFonts w:hint="eastAsia"/>
          <w:bCs/>
          <w:szCs w:val="21"/>
          <w:highlight w:val="none"/>
        </w:rPr>
        <w:t>（1）工程竣工验收报告经发包人认可后28天内，承包人向发包人递交竣工结算报告及完整的结算资料，双方按照合同书约定的合同价款、合同价调整内容、现行分部分项工程和单价措施项目清单与计价表计价规范及有关法律、法规、指导性意见等，进行工程竣工结算。</w:t>
      </w:r>
    </w:p>
    <w:p>
      <w:pPr>
        <w:snapToGrid w:val="0"/>
        <w:spacing w:line="360" w:lineRule="auto"/>
        <w:ind w:firstLine="420" w:firstLineChars="200"/>
        <w:rPr>
          <w:bCs/>
          <w:color w:val="FF0000"/>
          <w:szCs w:val="21"/>
          <w:highlight w:val="none"/>
        </w:rPr>
      </w:pPr>
      <w:r>
        <w:rPr>
          <w:rFonts w:hint="eastAsia"/>
          <w:bCs/>
          <w:szCs w:val="21"/>
          <w:highlight w:val="none"/>
        </w:rPr>
        <w:t>⑵工程竣工验收报告经发包人认可后28天内，承包人未向发包人递交竣工结算报告及完整的结算资料，造成工程竣工结算不能正常进行或工程竣工结算价款不能及时支付，发包人要求交付工程的，承包人应当交付；发包人不要求交付工程的，承包人承担保管责任。</w:t>
      </w:r>
    </w:p>
    <w:p>
      <w:pPr>
        <w:snapToGrid w:val="0"/>
        <w:spacing w:line="360" w:lineRule="auto"/>
        <w:ind w:firstLine="420" w:firstLineChars="200"/>
        <w:rPr>
          <w:bCs/>
          <w:szCs w:val="21"/>
          <w:highlight w:val="none"/>
        </w:rPr>
      </w:pPr>
      <w:r>
        <w:rPr>
          <w:rFonts w:hint="eastAsia"/>
          <w:bCs/>
          <w:szCs w:val="21"/>
          <w:highlight w:val="none"/>
        </w:rPr>
        <w:t>（3）审计部门下达工程造价审计结果征求意见通知书之日起，施工单位必须在10天之内前来审计机关核对并签署意见，逾期视为默认审计结果。</w:t>
      </w:r>
    </w:p>
    <w:p>
      <w:pPr>
        <w:snapToGrid w:val="0"/>
        <w:spacing w:line="360" w:lineRule="auto"/>
        <w:ind w:firstLine="420" w:firstLineChars="200"/>
        <w:rPr>
          <w:bCs/>
          <w:szCs w:val="21"/>
          <w:highlight w:val="none"/>
        </w:rPr>
      </w:pPr>
      <w:r>
        <w:rPr>
          <w:rFonts w:hint="eastAsia"/>
          <w:bCs/>
          <w:szCs w:val="21"/>
          <w:highlight w:val="none"/>
        </w:rPr>
        <w:t>（4）施工单位报送审计的工程造价结算（决算），经审计部门审减额超过10%部分的审计费用由施工单位承担。</w:t>
      </w:r>
    </w:p>
    <w:p>
      <w:pPr>
        <w:snapToGrid w:val="0"/>
        <w:spacing w:line="360" w:lineRule="auto"/>
        <w:ind w:firstLine="420" w:firstLineChars="200"/>
        <w:rPr>
          <w:highlight w:val="none"/>
        </w:rPr>
      </w:pPr>
      <w:r>
        <w:rPr>
          <w:rFonts w:hint="eastAsia"/>
          <w:bCs/>
          <w:szCs w:val="21"/>
          <w:highlight w:val="none"/>
        </w:rPr>
        <w:t>（5）发包人承包人对工程竣工结算价款发生争议时，按本合同关于争议的约定处理。</w:t>
      </w:r>
    </w:p>
    <w:p>
      <w:pPr>
        <w:pStyle w:val="282"/>
        <w:spacing w:before="0" w:after="120" w:afterLines="50" w:line="300" w:lineRule="auto"/>
        <w:ind w:left="154" w:leftChars="20" w:hanging="112" w:hangingChars="47"/>
        <w:rPr>
          <w:rFonts w:ascii="黑体" w:hAnsi="宋体" w:cs="Arial"/>
          <w:sz w:val="24"/>
          <w:highlight w:val="none"/>
        </w:rPr>
      </w:pPr>
      <w:bookmarkStart w:id="2049" w:name="_Toc394568349"/>
      <w:bookmarkStart w:id="2050" w:name="_Toc434331446"/>
      <w:bookmarkStart w:id="2051" w:name="_Toc20514"/>
      <w:r>
        <w:rPr>
          <w:rFonts w:hint="eastAsia" w:ascii="黑体" w:hAnsi="宋体" w:cs="Arial"/>
          <w:sz w:val="24"/>
          <w:highlight w:val="none"/>
        </w:rPr>
        <w:t>25.1</w:t>
      </w:r>
      <w:r>
        <w:rPr>
          <w:rFonts w:hint="eastAsia" w:ascii="黑体" w:hAnsi="宋体" w:cs="Arial"/>
          <w:sz w:val="24"/>
          <w:highlight w:val="none"/>
          <w:lang w:val="en-US" w:eastAsia="zh-CN"/>
        </w:rPr>
        <w:t>1</w:t>
      </w:r>
      <w:r>
        <w:rPr>
          <w:rFonts w:hint="eastAsia" w:ascii="黑体" w:hAnsi="宋体" w:cs="Arial"/>
          <w:sz w:val="24"/>
          <w:highlight w:val="none"/>
        </w:rPr>
        <w:t>竣工资料</w:t>
      </w:r>
      <w:bookmarkEnd w:id="2049"/>
      <w:bookmarkEnd w:id="2050"/>
      <w:bookmarkEnd w:id="2051"/>
    </w:p>
    <w:p>
      <w:pPr>
        <w:tabs>
          <w:tab w:val="left" w:pos="1920"/>
        </w:tabs>
        <w:spacing w:line="360" w:lineRule="auto"/>
        <w:ind w:firstLine="420" w:firstLineChars="200"/>
        <w:rPr>
          <w:highlight w:val="none"/>
        </w:rPr>
      </w:pPr>
      <w:r>
        <w:rPr>
          <w:rFonts w:hint="eastAsia"/>
          <w:highlight w:val="none"/>
        </w:rPr>
        <w:t xml:space="preserve">承包人向发包人提交的资料： 经过发包人签署认可的设计变更、技术核定单、经济技术签证单；试验检验报告等有关技术资料；隐蔽工程和中间验收记录；质量统计分析报告和施工总结；承包人采购材料有关资料；当地规定的其他竣工资料。 竣工图及竣工档案的编制费用由承包人在投标时计入投标报价之中，竣工后发包人不再另行支付。承包人同时向发包人提交的竣工资料还应包括本工程工地信息化数据、软件和硬件设备。 </w:t>
      </w:r>
    </w:p>
    <w:p>
      <w:pPr>
        <w:tabs>
          <w:tab w:val="left" w:pos="1920"/>
        </w:tabs>
        <w:spacing w:line="360" w:lineRule="auto"/>
        <w:ind w:firstLine="420" w:firstLineChars="200"/>
        <w:rPr>
          <w:highlight w:val="none"/>
        </w:rPr>
      </w:pPr>
      <w:r>
        <w:rPr>
          <w:rFonts w:hint="eastAsia"/>
          <w:highlight w:val="none"/>
        </w:rPr>
        <w:t>全部竣工资料（包括经监理和设计单位共同确认的全套竣工图）的份数：</w:t>
      </w:r>
      <w:r>
        <w:rPr>
          <w:rFonts w:hint="eastAsia"/>
          <w:szCs w:val="21"/>
          <w:highlight w:val="none"/>
          <w:u w:val="single"/>
        </w:rPr>
        <w:t>全部竣工资料（含工程档案资料及竣工图、含所有分包工程的竣工资料和竣工图）</w:t>
      </w:r>
      <w:r>
        <w:rPr>
          <w:szCs w:val="21"/>
          <w:highlight w:val="none"/>
          <w:u w:val="single"/>
        </w:rPr>
        <w:t>6</w:t>
      </w:r>
      <w:r>
        <w:rPr>
          <w:rFonts w:hint="eastAsia"/>
          <w:szCs w:val="21"/>
          <w:highlight w:val="none"/>
          <w:u w:val="single"/>
        </w:rPr>
        <w:t>套及电子版</w:t>
      </w:r>
      <w:r>
        <w:rPr>
          <w:szCs w:val="21"/>
          <w:highlight w:val="none"/>
          <w:u w:val="single"/>
        </w:rPr>
        <w:t>3</w:t>
      </w:r>
      <w:r>
        <w:rPr>
          <w:rFonts w:hint="eastAsia"/>
          <w:szCs w:val="21"/>
          <w:highlight w:val="none"/>
          <w:u w:val="single"/>
        </w:rPr>
        <w:t>套</w:t>
      </w:r>
      <w:r>
        <w:rPr>
          <w:rFonts w:hint="eastAsia"/>
          <w:highlight w:val="none"/>
        </w:rPr>
        <w:t>。逾期不移交的，发包人有权处以1000元/每逾期一天的违约金。</w:t>
      </w:r>
    </w:p>
    <w:p>
      <w:pPr>
        <w:tabs>
          <w:tab w:val="left" w:pos="1920"/>
        </w:tabs>
        <w:spacing w:line="360" w:lineRule="auto"/>
        <w:ind w:firstLine="420" w:firstLineChars="200"/>
        <w:rPr>
          <w:highlight w:val="none"/>
        </w:rPr>
      </w:pPr>
      <w:r>
        <w:rPr>
          <w:rFonts w:hint="eastAsia"/>
          <w:highlight w:val="none"/>
        </w:rPr>
        <w:t>承包人应遵照相关规定，及时制作、整理有关本工程的真实可靠的资料、文件，并按规定进行归档、移交。因承包人未及时制作、整理、归档、移交有关本工程的资料、文件，或承包人制作、整理、归档、移交有关本工程的资料、文件不是真实、可靠、完整的，给发包人造成任何损失，均应由承包人负责赔偿。</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52" w:name="_Toc434331447"/>
      <w:bookmarkStart w:id="2053" w:name="_Toc394568350"/>
      <w:bookmarkStart w:id="2054" w:name="_Toc5217"/>
      <w:r>
        <w:rPr>
          <w:rFonts w:hint="eastAsia" w:ascii="黑体" w:hAnsi="宋体" w:cs="Arial"/>
          <w:sz w:val="24"/>
          <w:highlight w:val="none"/>
        </w:rPr>
        <w:t>25.1</w:t>
      </w:r>
      <w:r>
        <w:rPr>
          <w:rFonts w:hint="eastAsia" w:ascii="黑体" w:hAnsi="宋体" w:cs="Arial"/>
          <w:sz w:val="24"/>
          <w:highlight w:val="none"/>
          <w:lang w:val="en-US" w:eastAsia="zh-CN"/>
        </w:rPr>
        <w:t>2</w:t>
      </w:r>
      <w:r>
        <w:rPr>
          <w:rFonts w:ascii="黑体" w:hAnsi="宋体" w:cs="Arial"/>
          <w:sz w:val="24"/>
          <w:highlight w:val="none"/>
        </w:rPr>
        <w:t>竣工清理</w:t>
      </w:r>
      <w:bookmarkEnd w:id="2052"/>
      <w:bookmarkEnd w:id="2053"/>
      <w:bookmarkEnd w:id="2054"/>
    </w:p>
    <w:p>
      <w:pPr>
        <w:tabs>
          <w:tab w:val="left" w:pos="1920"/>
        </w:tabs>
        <w:spacing w:line="360" w:lineRule="auto"/>
        <w:ind w:firstLine="420" w:firstLineChars="200"/>
        <w:rPr>
          <w:highlight w:val="none"/>
        </w:rPr>
      </w:pPr>
      <w:r>
        <w:rPr>
          <w:highlight w:val="none"/>
        </w:rPr>
        <w:t>在颁发任何移交证书之前，承包人须</w:t>
      </w:r>
      <w:r>
        <w:rPr>
          <w:rFonts w:hint="eastAsia"/>
          <w:highlight w:val="none"/>
        </w:rPr>
        <w:t>对</w:t>
      </w:r>
      <w:r>
        <w:rPr>
          <w:highlight w:val="none"/>
        </w:rPr>
        <w:t>该移交证书所涉及的部分</w:t>
      </w:r>
      <w:r>
        <w:rPr>
          <w:rFonts w:hint="eastAsia"/>
          <w:highlight w:val="none"/>
        </w:rPr>
        <w:t>进行</w:t>
      </w:r>
      <w:r>
        <w:rPr>
          <w:highlight w:val="none"/>
        </w:rPr>
        <w:t>现场清除</w:t>
      </w:r>
      <w:r>
        <w:rPr>
          <w:rFonts w:hint="eastAsia"/>
          <w:highlight w:val="none"/>
        </w:rPr>
        <w:t>，</w:t>
      </w:r>
      <w:r>
        <w:rPr>
          <w:highlight w:val="none"/>
        </w:rPr>
        <w:t>运出承包人的全部设备、多余材料、垃圾和各种临时工程，保持该部分现场和工程清洁整齐，</w:t>
      </w:r>
      <w:r>
        <w:rPr>
          <w:rFonts w:hint="eastAsia"/>
          <w:highlight w:val="none"/>
        </w:rPr>
        <w:t>以上工作需</w:t>
      </w:r>
      <w:r>
        <w:rPr>
          <w:highlight w:val="none"/>
        </w:rPr>
        <w:t>监理人</w:t>
      </w:r>
      <w:r>
        <w:rPr>
          <w:rFonts w:hint="eastAsia"/>
          <w:highlight w:val="none"/>
        </w:rPr>
        <w:t>同意并签字确认</w:t>
      </w:r>
      <w:r>
        <w:rPr>
          <w:highlight w:val="none"/>
        </w:rPr>
        <w:t>。</w:t>
      </w:r>
    </w:p>
    <w:p>
      <w:pPr>
        <w:tabs>
          <w:tab w:val="left" w:pos="1920"/>
        </w:tabs>
        <w:spacing w:line="360" w:lineRule="auto"/>
        <w:ind w:firstLine="420" w:firstLineChars="200"/>
        <w:rPr>
          <w:szCs w:val="21"/>
          <w:highlight w:val="none"/>
        </w:rPr>
      </w:pPr>
      <w:r>
        <w:rPr>
          <w:highlight w:val="none"/>
        </w:rPr>
        <w:t>为完成承包人在保修期内的各项义务</w:t>
      </w:r>
      <w:r>
        <w:rPr>
          <w:rFonts w:hint="eastAsia"/>
          <w:highlight w:val="none"/>
        </w:rPr>
        <w:t>，</w:t>
      </w:r>
      <w:r>
        <w:rPr>
          <w:highlight w:val="none"/>
        </w:rPr>
        <w:t>承包人有权在现场保留所需材料</w:t>
      </w:r>
      <w:r>
        <w:rPr>
          <w:rFonts w:hint="eastAsia"/>
          <w:highlight w:val="none"/>
        </w:rPr>
        <w:t>，以及</w:t>
      </w:r>
      <w:r>
        <w:rPr>
          <w:highlight w:val="none"/>
        </w:rPr>
        <w:t>承包人的设备和临时工程，直至保修期结束</w:t>
      </w:r>
      <w:r>
        <w:rPr>
          <w:rFonts w:hint="eastAsia"/>
          <w:highlight w:val="none"/>
        </w:rPr>
        <w:t>，但所需材料设备堆放场地及临时工程不得影响竣工验收及发包人正常使用</w:t>
      </w:r>
      <w:r>
        <w:rPr>
          <w:highlight w:val="none"/>
        </w:rPr>
        <w:t>。在工程竣工后，</w:t>
      </w:r>
      <w:r>
        <w:rPr>
          <w:rFonts w:hint="eastAsia"/>
          <w:highlight w:val="none"/>
        </w:rPr>
        <w:t>无论</w:t>
      </w:r>
      <w:r>
        <w:rPr>
          <w:highlight w:val="none"/>
        </w:rPr>
        <w:t>发包人是否已</w:t>
      </w:r>
      <w:r>
        <w:rPr>
          <w:rFonts w:hint="eastAsia"/>
          <w:highlight w:val="none"/>
        </w:rPr>
        <w:t>完成</w:t>
      </w:r>
      <w:r>
        <w:rPr>
          <w:highlight w:val="none"/>
        </w:rPr>
        <w:t>政府所要求的</w:t>
      </w:r>
      <w:r>
        <w:rPr>
          <w:rFonts w:hint="eastAsia"/>
          <w:highlight w:val="none"/>
        </w:rPr>
        <w:t>相关</w:t>
      </w:r>
      <w:r>
        <w:rPr>
          <w:highlight w:val="none"/>
        </w:rPr>
        <w:t>手续</w:t>
      </w:r>
      <w:r>
        <w:rPr>
          <w:rFonts w:hint="eastAsia"/>
          <w:highlight w:val="none"/>
        </w:rPr>
        <w:t>，</w:t>
      </w:r>
      <w:r>
        <w:rPr>
          <w:highlight w:val="none"/>
        </w:rPr>
        <w:t>以及是否</w:t>
      </w:r>
      <w:r>
        <w:rPr>
          <w:rFonts w:hint="eastAsia"/>
          <w:highlight w:val="none"/>
        </w:rPr>
        <w:t>办理</w:t>
      </w:r>
      <w:r>
        <w:rPr>
          <w:highlight w:val="none"/>
        </w:rPr>
        <w:t>移交证书，承包人须全面履行其合同责任和义务</w:t>
      </w:r>
      <w:r>
        <w:rPr>
          <w:rFonts w:hint="eastAsia"/>
          <w:highlight w:val="none"/>
          <w:lang w:eastAsia="zh-CN"/>
        </w:rPr>
        <w:t>。</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55" w:name="_Toc434331448"/>
      <w:bookmarkStart w:id="2056" w:name="_Toc6707"/>
      <w:bookmarkStart w:id="2057" w:name="_Toc394568351"/>
      <w:r>
        <w:rPr>
          <w:rFonts w:hint="eastAsia" w:ascii="黑体" w:hAnsi="宋体" w:cs="Arial"/>
          <w:sz w:val="24"/>
          <w:highlight w:val="none"/>
        </w:rPr>
        <w:t>25.1</w:t>
      </w:r>
      <w:r>
        <w:rPr>
          <w:rFonts w:hint="eastAsia" w:ascii="黑体" w:hAnsi="宋体" w:cs="Arial"/>
          <w:sz w:val="24"/>
          <w:highlight w:val="none"/>
          <w:lang w:val="en-US" w:eastAsia="zh-CN"/>
        </w:rPr>
        <w:t>3</w:t>
      </w:r>
      <w:r>
        <w:rPr>
          <w:rFonts w:hint="eastAsia" w:ascii="黑体" w:hAnsi="宋体" w:cs="Arial"/>
          <w:sz w:val="24"/>
          <w:highlight w:val="none"/>
        </w:rPr>
        <w:t>工程移交</w:t>
      </w:r>
      <w:bookmarkEnd w:id="2055"/>
      <w:bookmarkEnd w:id="2056"/>
      <w:bookmarkEnd w:id="2057"/>
    </w:p>
    <w:p>
      <w:pPr>
        <w:tabs>
          <w:tab w:val="left" w:pos="1920"/>
        </w:tabs>
        <w:spacing w:line="360" w:lineRule="auto"/>
        <w:ind w:firstLine="420" w:firstLineChars="200"/>
        <w:rPr>
          <w:highlight w:val="none"/>
        </w:rPr>
      </w:pPr>
      <w:r>
        <w:rPr>
          <w:rFonts w:hint="eastAsia"/>
          <w:highlight w:val="none"/>
        </w:rPr>
        <w:t>承包人应在14天内向发包人移交工程，不能以尚未办理完成竣工结算为由拒绝移交工程。逾期不移交的，发包人有权处以1000元/每逾期一天的违约金，并从发包人应付承包人的工程款中扣除。</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58" w:name="_Toc434331449"/>
      <w:bookmarkStart w:id="2059" w:name="_Toc24763"/>
      <w:bookmarkStart w:id="2060" w:name="_Toc394568352"/>
      <w:r>
        <w:rPr>
          <w:rFonts w:hint="eastAsia" w:ascii="黑体" w:hAnsi="宋体" w:cs="Arial"/>
          <w:sz w:val="24"/>
          <w:highlight w:val="none"/>
        </w:rPr>
        <w:t>25.1</w:t>
      </w:r>
      <w:r>
        <w:rPr>
          <w:rFonts w:hint="eastAsia" w:ascii="黑体" w:hAnsi="宋体" w:cs="Arial"/>
          <w:sz w:val="24"/>
          <w:highlight w:val="none"/>
          <w:lang w:val="en-US" w:eastAsia="zh-CN"/>
        </w:rPr>
        <w:t>4</w:t>
      </w:r>
      <w:r>
        <w:rPr>
          <w:rFonts w:hint="eastAsia" w:ascii="黑体" w:hAnsi="宋体" w:cs="Arial"/>
          <w:sz w:val="24"/>
          <w:highlight w:val="none"/>
        </w:rPr>
        <w:t>竣工结算</w:t>
      </w:r>
      <w:bookmarkEnd w:id="2058"/>
      <w:bookmarkEnd w:id="2059"/>
      <w:bookmarkEnd w:id="2060"/>
    </w:p>
    <w:p>
      <w:pPr>
        <w:tabs>
          <w:tab w:val="left" w:pos="1920"/>
        </w:tabs>
        <w:spacing w:line="360" w:lineRule="auto"/>
        <w:ind w:left="140" w:leftChars="20" w:hanging="98" w:hangingChars="47"/>
        <w:rPr>
          <w:highlight w:val="none"/>
        </w:rPr>
      </w:pPr>
      <w:r>
        <w:rPr>
          <w:rFonts w:hint="eastAsia"/>
          <w:highlight w:val="none"/>
        </w:rPr>
        <w:t xml:space="preserve">    承包人提交的竣工结算报告和竣工结算资料并不能直接构成本合同的结算，发包人可按合同文件的规定拒绝、认可或更改结算。承包人同意，发包人在上级部门完成工程结算审计、审批后向其提供结算审核意见。</w:t>
      </w:r>
    </w:p>
    <w:p>
      <w:pPr>
        <w:tabs>
          <w:tab w:val="left" w:pos="1920"/>
        </w:tabs>
        <w:spacing w:line="360" w:lineRule="auto"/>
        <w:ind w:left="140" w:leftChars="20" w:hanging="98" w:hangingChars="47"/>
        <w:rPr>
          <w:highlight w:val="none"/>
        </w:rPr>
      </w:pPr>
      <w:r>
        <w:rPr>
          <w:rFonts w:hint="eastAsia"/>
          <w:highlight w:val="none"/>
        </w:rPr>
        <w:t>（1）承包人应当审核暂估价的专业分包工程的结算报告，施工界面不清的，按照专业分包合同及相应的竣工图结算。</w:t>
      </w:r>
    </w:p>
    <w:p>
      <w:pPr>
        <w:tabs>
          <w:tab w:val="left" w:pos="1920"/>
        </w:tabs>
        <w:spacing w:line="360" w:lineRule="auto"/>
        <w:ind w:left="140" w:leftChars="20" w:hanging="98" w:hangingChars="47"/>
        <w:rPr>
          <w:highlight w:val="none"/>
        </w:rPr>
      </w:pPr>
      <w:r>
        <w:rPr>
          <w:rFonts w:hint="eastAsia"/>
          <w:highlight w:val="none"/>
        </w:rPr>
        <w:t>（2）对于未施工工程在结算中全部扣减。未完成工程按照未完成的工作价值进行扣减，即：</w:t>
      </w:r>
    </w:p>
    <w:p>
      <w:pPr>
        <w:tabs>
          <w:tab w:val="left" w:pos="1920"/>
        </w:tabs>
        <w:spacing w:line="360" w:lineRule="auto"/>
        <w:ind w:left="140" w:leftChars="20" w:hanging="98" w:hangingChars="47"/>
        <w:rPr>
          <w:highlight w:val="none"/>
        </w:rPr>
      </w:pPr>
      <w:r>
        <w:rPr>
          <w:rFonts w:hint="eastAsia"/>
          <w:highlight w:val="none"/>
        </w:rPr>
        <w:t>①一个分部分项工程子目中未施工的，则全部扣减；</w:t>
      </w:r>
    </w:p>
    <w:p>
      <w:pPr>
        <w:tabs>
          <w:tab w:val="left" w:pos="1920"/>
        </w:tabs>
        <w:spacing w:line="360" w:lineRule="auto"/>
        <w:ind w:left="140" w:leftChars="20" w:hanging="98" w:hangingChars="47"/>
        <w:rPr>
          <w:highlight w:val="none"/>
        </w:rPr>
      </w:pPr>
      <w:r>
        <w:rPr>
          <w:rFonts w:hint="eastAsia"/>
          <w:highlight w:val="none"/>
        </w:rPr>
        <w:t>②部分施工的，则根据已完成并经验收合格的实际施工内容按照合理比例扣减。</w:t>
      </w:r>
    </w:p>
    <w:p>
      <w:pPr>
        <w:numPr>
          <w:ilvl w:val="0"/>
          <w:numId w:val="22"/>
        </w:numPr>
        <w:tabs>
          <w:tab w:val="left" w:pos="1920"/>
        </w:tabs>
        <w:spacing w:line="360" w:lineRule="auto"/>
        <w:ind w:left="140" w:leftChars="20" w:hanging="98" w:hangingChars="47"/>
        <w:rPr>
          <w:highlight w:val="none"/>
        </w:rPr>
      </w:pPr>
      <w:r>
        <w:rPr>
          <w:rFonts w:hint="eastAsia"/>
          <w:highlight w:val="none"/>
        </w:rPr>
        <w:t>发包人要求承包人现场勘验未完工程或质量缺陷，承包人不参加、不确认的，发包人可与监理人自行完成现场勘验，发包人与监理人的决定视为最终结果。</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61" w:name="_Toc22038"/>
      <w:bookmarkStart w:id="2062" w:name="_Toc434331450"/>
      <w:bookmarkStart w:id="2063" w:name="_Toc394568353"/>
      <w:r>
        <w:rPr>
          <w:rFonts w:hint="eastAsia" w:ascii="黑体" w:hAnsi="宋体" w:cs="Arial"/>
          <w:sz w:val="24"/>
          <w:highlight w:val="none"/>
        </w:rPr>
        <w:t>25.1</w:t>
      </w:r>
      <w:r>
        <w:rPr>
          <w:rFonts w:hint="eastAsia" w:ascii="黑体" w:hAnsi="宋体" w:cs="Arial"/>
          <w:sz w:val="24"/>
          <w:highlight w:val="none"/>
          <w:lang w:val="en-US" w:eastAsia="zh-CN"/>
        </w:rPr>
        <w:t>5</w:t>
      </w:r>
      <w:r>
        <w:rPr>
          <w:rFonts w:hint="eastAsia" w:ascii="黑体" w:hAnsi="宋体" w:cs="Arial"/>
          <w:sz w:val="24"/>
          <w:highlight w:val="none"/>
        </w:rPr>
        <w:t>质量保证金</w:t>
      </w:r>
      <w:bookmarkEnd w:id="2061"/>
      <w:bookmarkEnd w:id="2062"/>
      <w:bookmarkEnd w:id="2063"/>
    </w:p>
    <w:p>
      <w:pPr>
        <w:tabs>
          <w:tab w:val="left" w:pos="1920"/>
        </w:tabs>
        <w:spacing w:line="360" w:lineRule="auto"/>
        <w:ind w:firstLine="420" w:firstLineChars="200"/>
        <w:rPr>
          <w:highlight w:val="none"/>
        </w:rPr>
      </w:pPr>
      <w:r>
        <w:rPr>
          <w:rFonts w:hint="eastAsia"/>
          <w:highlight w:val="none"/>
        </w:rPr>
        <w:t>质量保证金额度为竣工结算总价的3%，待本合同约定的缺陷责任期满（24个月）14天内清算，将竣工结算总价3%的质量保证金退还承包人。但是，如果在保修期内由于承包人未能及时进行返修，由发包人委托其他单位完成的返修费用从质量保证金内扣除。清算后的余款在本合同约定的缺陷责任期满（24个月）后21天内付清。质量保证金不计利息。</w:t>
      </w:r>
    </w:p>
    <w:p>
      <w:pPr>
        <w:pStyle w:val="282"/>
        <w:spacing w:before="0" w:after="120" w:afterLines="50" w:line="300" w:lineRule="auto"/>
        <w:ind w:left="154" w:leftChars="20" w:hanging="112" w:hangingChars="47"/>
        <w:outlineLvl w:val="0"/>
        <w:rPr>
          <w:rFonts w:ascii="黑体" w:hAnsi="宋体" w:cs="Arial"/>
          <w:sz w:val="24"/>
          <w:highlight w:val="none"/>
        </w:rPr>
      </w:pPr>
      <w:bookmarkStart w:id="2064" w:name="_Toc394568354"/>
      <w:bookmarkStart w:id="2065" w:name="_Toc26721"/>
      <w:bookmarkStart w:id="2066" w:name="_Toc434331451"/>
      <w:r>
        <w:rPr>
          <w:rFonts w:hint="eastAsia" w:ascii="黑体" w:hAnsi="宋体" w:cs="Arial"/>
          <w:sz w:val="24"/>
          <w:highlight w:val="none"/>
        </w:rPr>
        <w:t>25.1</w:t>
      </w:r>
      <w:r>
        <w:rPr>
          <w:rFonts w:hint="eastAsia" w:ascii="黑体" w:hAnsi="宋体" w:cs="Arial"/>
          <w:sz w:val="24"/>
          <w:highlight w:val="none"/>
          <w:lang w:val="en-US" w:eastAsia="zh-CN"/>
        </w:rPr>
        <w:t>6</w:t>
      </w:r>
      <w:r>
        <w:rPr>
          <w:rFonts w:hint="eastAsia" w:ascii="黑体" w:hAnsi="宋体" w:cs="Arial"/>
          <w:sz w:val="24"/>
          <w:highlight w:val="none"/>
        </w:rPr>
        <w:t>违约</w:t>
      </w:r>
      <w:bookmarkEnd w:id="2064"/>
      <w:bookmarkEnd w:id="2065"/>
      <w:bookmarkEnd w:id="2066"/>
    </w:p>
    <w:p>
      <w:pPr>
        <w:tabs>
          <w:tab w:val="left" w:pos="1920"/>
        </w:tabs>
        <w:spacing w:line="360" w:lineRule="auto"/>
        <w:ind w:left="140" w:leftChars="20" w:hanging="98" w:hangingChars="47"/>
        <w:rPr>
          <w:highlight w:val="none"/>
        </w:rPr>
      </w:pPr>
      <w:r>
        <w:rPr>
          <w:rFonts w:hint="eastAsia"/>
          <w:highlight w:val="none"/>
        </w:rPr>
        <w:t>（1）经发包人和监理人审定并通过后的周计划、月计划以及其他与本工程相关的指令、会议决议等工作事项，如承包人未在规定时间内完成，将根据影响情节轻重支付违约金500——100000元。</w:t>
      </w:r>
    </w:p>
    <w:p>
      <w:pPr>
        <w:tabs>
          <w:tab w:val="left" w:pos="1920"/>
        </w:tabs>
        <w:spacing w:line="360" w:lineRule="auto"/>
        <w:ind w:left="140" w:leftChars="20" w:hanging="98" w:hangingChars="47"/>
        <w:rPr>
          <w:highlight w:val="none"/>
        </w:rPr>
      </w:pPr>
      <w:r>
        <w:rPr>
          <w:rFonts w:hint="eastAsia"/>
          <w:highlight w:val="none"/>
        </w:rPr>
        <w:t>（2）承包人必须派遣专职进度工程师并长驻现场，若未经发包人同意，出现超过一周不到岗或未派遣人员，将根据情况支付违约金（不到岗超过一周支付违约金10000元；履约期内，未派遣专职工程师支付违约金50000元，并按周扣除不到岗违约金10000元）。</w:t>
      </w:r>
    </w:p>
    <w:p>
      <w:pPr>
        <w:tabs>
          <w:tab w:val="left" w:pos="1920"/>
        </w:tabs>
        <w:spacing w:line="360" w:lineRule="auto"/>
        <w:ind w:left="140" w:leftChars="20" w:hanging="98" w:hangingChars="47"/>
        <w:rPr>
          <w:highlight w:val="none"/>
        </w:rPr>
      </w:pPr>
      <w:r>
        <w:rPr>
          <w:rFonts w:hint="eastAsia"/>
          <w:highlight w:val="none"/>
        </w:rPr>
        <w:t>（3）承包人未按本合同第13条进度计划（通用、专用）条款要求上报进度计划及进度报告，或进度报告内容经监理人认定与现场实际情况不符，每次支付违约金5000元。</w:t>
      </w:r>
    </w:p>
    <w:p>
      <w:pPr>
        <w:tabs>
          <w:tab w:val="left" w:pos="1920"/>
        </w:tabs>
        <w:spacing w:line="360" w:lineRule="auto"/>
        <w:ind w:left="140" w:leftChars="20" w:hanging="98" w:hangingChars="47"/>
        <w:rPr>
          <w:highlight w:val="none"/>
        </w:rPr>
      </w:pPr>
      <w:r>
        <w:rPr>
          <w:rFonts w:hint="eastAsia"/>
          <w:highlight w:val="none"/>
        </w:rPr>
        <w:t>（4）按照国家有关规定，对安全事故追究承包人违约责任。</w:t>
      </w:r>
    </w:p>
    <w:p>
      <w:pPr>
        <w:tabs>
          <w:tab w:val="left" w:pos="1920"/>
        </w:tabs>
        <w:spacing w:line="360" w:lineRule="auto"/>
        <w:ind w:left="140" w:leftChars="20" w:hanging="98" w:hangingChars="47"/>
        <w:rPr>
          <w:highlight w:val="none"/>
        </w:rPr>
      </w:pPr>
      <w:r>
        <w:rPr>
          <w:rFonts w:hint="eastAsia"/>
          <w:highlight w:val="none"/>
        </w:rPr>
        <w:t>（5）如在工程施工过程中出现不文明施工等现场，且被媒体和发包人相关部门报道，承包人应支付违约金。被区级媒体报道，支付违约金50万元；被市级媒体和发包人相关部门报道，支付违约金100万元；被国家级媒体报道，支付违约金200万元。</w:t>
      </w:r>
    </w:p>
    <w:p>
      <w:pPr>
        <w:tabs>
          <w:tab w:val="left" w:pos="1920"/>
        </w:tabs>
        <w:spacing w:line="360" w:lineRule="auto"/>
        <w:ind w:left="140" w:leftChars="20" w:hanging="98" w:hangingChars="47"/>
        <w:rPr>
          <w:highlight w:val="none"/>
        </w:rPr>
      </w:pPr>
      <w:r>
        <w:rPr>
          <w:rFonts w:hint="eastAsia"/>
          <w:highlight w:val="none"/>
        </w:rPr>
        <w:t>（6）承包人如被政府相关部门作出书面处罚，承包人应支付发包人双倍于书面处罚金额的违约金。</w:t>
      </w:r>
    </w:p>
    <w:p>
      <w:pPr>
        <w:tabs>
          <w:tab w:val="left" w:pos="1920"/>
        </w:tabs>
        <w:spacing w:line="360" w:lineRule="auto"/>
        <w:ind w:left="140" w:leftChars="20" w:hanging="98" w:hangingChars="47"/>
        <w:rPr>
          <w:highlight w:val="none"/>
        </w:rPr>
      </w:pPr>
      <w:r>
        <w:rPr>
          <w:rFonts w:hint="eastAsia"/>
          <w:highlight w:val="none"/>
        </w:rPr>
        <w:t>（7）如因承包人扣留分包单位应得款项而导致农民工讨薪、上访、斗殴等群体事故发生，承包人应承担一切责任和后果，并向发包人支付100万元违约金，发包人有权解除合同并不承担任何责任。</w:t>
      </w:r>
    </w:p>
    <w:p>
      <w:pPr>
        <w:tabs>
          <w:tab w:val="left" w:pos="1920"/>
        </w:tabs>
        <w:spacing w:line="360" w:lineRule="auto"/>
        <w:ind w:left="140" w:leftChars="20" w:hanging="98" w:hangingChars="47"/>
        <w:rPr>
          <w:highlight w:val="none"/>
        </w:rPr>
      </w:pPr>
      <w:r>
        <w:rPr>
          <w:rFonts w:hint="eastAsia"/>
          <w:highlight w:val="none"/>
        </w:rPr>
        <w:t>如在施工过程中承包人出现任何违约情况时，发包人在违约发生的当月应付进度款中，按合同约定扣除相应违约金额，作为承包人应付违约金；如当月进度款不足以抵扣违约金时，则在下月进度款中扣除，以此类推。</w:t>
      </w:r>
    </w:p>
    <w:p>
      <w:pPr>
        <w:pStyle w:val="282"/>
        <w:spacing w:before="0" w:after="120" w:afterLines="50" w:line="300" w:lineRule="auto"/>
        <w:ind w:left="154" w:leftChars="20" w:hanging="112" w:hangingChars="47"/>
        <w:rPr>
          <w:rFonts w:ascii="黑体" w:hAnsi="宋体" w:cs="Arial"/>
          <w:sz w:val="24"/>
          <w:highlight w:val="none"/>
        </w:rPr>
      </w:pPr>
      <w:bookmarkStart w:id="2067" w:name="_Toc394568355"/>
      <w:bookmarkStart w:id="2068" w:name="_Toc434331452"/>
      <w:bookmarkStart w:id="2069" w:name="_Toc13022"/>
      <w:r>
        <w:rPr>
          <w:rFonts w:hint="eastAsia" w:ascii="黑体" w:hAnsi="宋体" w:cs="Arial"/>
          <w:sz w:val="24"/>
          <w:highlight w:val="none"/>
        </w:rPr>
        <w:t>25.1</w:t>
      </w:r>
      <w:r>
        <w:rPr>
          <w:rFonts w:hint="eastAsia" w:ascii="黑体" w:hAnsi="宋体" w:cs="Arial"/>
          <w:sz w:val="24"/>
          <w:highlight w:val="none"/>
          <w:lang w:val="en-US" w:eastAsia="zh-CN"/>
        </w:rPr>
        <w:t>7</w:t>
      </w:r>
      <w:r>
        <w:rPr>
          <w:rFonts w:hint="eastAsia" w:ascii="黑体" w:hAnsi="宋体" w:cs="Arial"/>
          <w:sz w:val="24"/>
          <w:highlight w:val="none"/>
        </w:rPr>
        <w:t>其他</w:t>
      </w:r>
      <w:bookmarkEnd w:id="2067"/>
      <w:bookmarkEnd w:id="2068"/>
      <w:bookmarkEnd w:id="2069"/>
    </w:p>
    <w:p>
      <w:pPr>
        <w:tabs>
          <w:tab w:val="left" w:pos="1920"/>
        </w:tabs>
        <w:spacing w:line="360" w:lineRule="auto"/>
        <w:ind w:left="140" w:leftChars="20" w:hanging="98" w:hangingChars="47"/>
        <w:rPr>
          <w:highlight w:val="none"/>
        </w:rPr>
      </w:pPr>
      <w:r>
        <w:rPr>
          <w:rFonts w:hint="eastAsia"/>
          <w:highlight w:val="none"/>
        </w:rPr>
        <w:t>（1）机械配置要求：承包人必须按照投标文件所列机械配置进行现场配置，如果承包人未经发包人同意，擅自更改配置要求，视为违约，发包人有权责令改正并从发包人应支付承包人的工程款中扣除2万元/每更改一台机械的违约金。</w:t>
      </w:r>
    </w:p>
    <w:p>
      <w:pPr>
        <w:tabs>
          <w:tab w:val="left" w:pos="1920"/>
        </w:tabs>
        <w:spacing w:line="360" w:lineRule="auto"/>
        <w:ind w:left="140" w:leftChars="20" w:hanging="98" w:hangingChars="47"/>
        <w:rPr>
          <w:highlight w:val="none"/>
        </w:rPr>
      </w:pPr>
      <w:r>
        <w:rPr>
          <w:rFonts w:hint="eastAsia"/>
          <w:highlight w:val="none"/>
        </w:rPr>
        <w:t xml:space="preserve">（2）变更、零星委托：对于设计变更以及发包人、监理工程师下达的书面变更指令、零星委托，承包人必须无条件立即执行，否则视为承包人违约。 </w:t>
      </w:r>
    </w:p>
    <w:p>
      <w:pPr>
        <w:tabs>
          <w:tab w:val="left" w:pos="1920"/>
        </w:tabs>
        <w:spacing w:line="360" w:lineRule="auto"/>
        <w:ind w:left="140" w:leftChars="20" w:hanging="98" w:hangingChars="47"/>
        <w:rPr>
          <w:highlight w:val="none"/>
        </w:rPr>
      </w:pPr>
      <w:r>
        <w:rPr>
          <w:rFonts w:hint="eastAsia"/>
          <w:highlight w:val="none"/>
        </w:rPr>
        <w:t>（3）专项验收：对于承包人负责验收的项目，承包人一定要按期完成验收。不能以手续问题影响验收日期。对于不能按期验收的视同工程延期竣工，按工程延期竣工的条款执行。</w:t>
      </w:r>
    </w:p>
    <w:p>
      <w:pPr>
        <w:tabs>
          <w:tab w:val="left" w:pos="1920"/>
        </w:tabs>
        <w:spacing w:line="360" w:lineRule="auto"/>
        <w:ind w:left="140" w:leftChars="20" w:hanging="98" w:hangingChars="47"/>
        <w:rPr>
          <w:highlight w:val="none"/>
        </w:rPr>
      </w:pPr>
      <w:r>
        <w:rPr>
          <w:rFonts w:hint="eastAsia"/>
          <w:highlight w:val="none"/>
        </w:rPr>
        <w:t>（4）除发包人自行选择的检测、监测机构外，与本工程相关的需其他第三方检测机构进行检测或监测的项目（包括但不限于室内质量空气检测等），由承包人选择具有相关资质的第三方检测机构进行实施，在确定检测单位后将检测合同以及该检测单位的相关资质证书、营业执照、管理机构等情况报发包人备案，在检测完成并合格后承包人将检测报告报发包人备案。</w:t>
      </w:r>
    </w:p>
    <w:p>
      <w:pPr>
        <w:tabs>
          <w:tab w:val="left" w:pos="1920"/>
        </w:tabs>
        <w:spacing w:line="360" w:lineRule="auto"/>
        <w:ind w:left="140" w:leftChars="20" w:hanging="98" w:hangingChars="47"/>
        <w:rPr>
          <w:highlight w:val="none"/>
        </w:rPr>
      </w:pPr>
      <w:r>
        <w:rPr>
          <w:rFonts w:hint="eastAsia"/>
          <w:highlight w:val="none"/>
        </w:rPr>
        <w:t>（5）承包人对于本工程的一切施工图纸、技术说明、合约文件、技术规范及施工现场的周围环境</w:t>
      </w:r>
      <w:r>
        <w:rPr>
          <w:rFonts w:hint="eastAsia"/>
          <w:highlight w:val="none"/>
          <w:lang w:val="en-US" w:eastAsia="zh-CN"/>
        </w:rPr>
        <w:t>及</w:t>
      </w:r>
      <w:r>
        <w:rPr>
          <w:rFonts w:hint="eastAsia"/>
          <w:highlight w:val="none"/>
        </w:rPr>
        <w:t>地下情况，应被视为已详细研究并完全明了，保证所报的标价正确无误，如有错漏，则视为已包含在合同价款中，均不予进行费用、工期索赔。</w:t>
      </w:r>
    </w:p>
    <w:p>
      <w:pPr>
        <w:tabs>
          <w:tab w:val="left" w:pos="1920"/>
        </w:tabs>
        <w:spacing w:line="360" w:lineRule="auto"/>
        <w:ind w:left="140" w:leftChars="20" w:hanging="98" w:hangingChars="47"/>
        <w:rPr>
          <w:highlight w:val="none"/>
        </w:rPr>
      </w:pPr>
      <w:r>
        <w:rPr>
          <w:rFonts w:hint="eastAsia"/>
          <w:highlight w:val="none"/>
        </w:rPr>
        <w:t>（6）承包人投标文件需提供主要设备及材料列表，须包括单价、品牌、型号及来源地，承包人提供的设备、材料应符合本工程技术要求并符合相关标准及规范要求，施工中若发现承包人提供材料或设备无法满足本工程技术或相关标准或规范要求而需替换的，均不予进行费用、工期索赔。</w:t>
      </w:r>
    </w:p>
    <w:p>
      <w:pPr>
        <w:tabs>
          <w:tab w:val="left" w:pos="1920"/>
        </w:tabs>
        <w:spacing w:line="360" w:lineRule="auto"/>
        <w:ind w:left="140" w:leftChars="20" w:hanging="98" w:hangingChars="47"/>
        <w:rPr>
          <w:highlight w:val="none"/>
        </w:rPr>
      </w:pPr>
      <w:r>
        <w:rPr>
          <w:rFonts w:hint="eastAsia"/>
          <w:highlight w:val="none"/>
        </w:rPr>
        <w:t>（7）承包人对工作范围及界线不明确的，应在投标质疑期内提出，过此期限则视为已详细研究并完全明了，施工中任何对工作范围界线所产生的分歧，由本承包人自行负责，均不予进行费用、工期索赔。</w:t>
      </w:r>
    </w:p>
    <w:p>
      <w:pPr>
        <w:tabs>
          <w:tab w:val="left" w:pos="1920"/>
        </w:tabs>
        <w:spacing w:line="360" w:lineRule="auto"/>
        <w:ind w:left="140" w:leftChars="20" w:hanging="98" w:hangingChars="47"/>
        <w:rPr>
          <w:highlight w:val="none"/>
        </w:rPr>
      </w:pPr>
      <w:r>
        <w:rPr>
          <w:rFonts w:hint="eastAsia"/>
          <w:highlight w:val="none"/>
        </w:rPr>
        <w:t>（8）承包人应充分考虑水电接驳点位置、停电、停水、二次搬运、施工场地可能不足、成品保护等等一切便于工程实施所需的措施的设计、施工、安装、运行和维护的一切费用和工期，并已考虑了各种可能影响施工的因素及其所增加的费用，如有错漏，则视为已包含在合同价款中，均不予进行费用、工期索赔。</w:t>
      </w:r>
    </w:p>
    <w:p>
      <w:pPr>
        <w:tabs>
          <w:tab w:val="left" w:pos="1920"/>
        </w:tabs>
        <w:spacing w:line="360" w:lineRule="auto"/>
        <w:ind w:left="140" w:leftChars="20" w:hanging="98" w:hangingChars="47"/>
        <w:rPr>
          <w:highlight w:val="none"/>
        </w:rPr>
      </w:pPr>
      <w:r>
        <w:rPr>
          <w:rFonts w:hint="eastAsia"/>
          <w:highlight w:val="none"/>
        </w:rPr>
        <w:t>（9）报价中包括所有施工组织设计、深化设计、施工、保修、测试、监测及维修、新技术和新工艺使用等的费用和一切的责任。若工程未能达到设计要求，承包人须进行补修及相关测试，由此产生的相关费用由承包人负责。</w:t>
      </w: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sz w:val="28"/>
          <w:szCs w:val="28"/>
          <w:highlight w:val="none"/>
        </w:rPr>
      </w:pPr>
    </w:p>
    <w:p>
      <w:pPr>
        <w:rPr>
          <w:highlight w:val="none"/>
        </w:rPr>
      </w:pPr>
    </w:p>
    <w:p>
      <w:pPr>
        <w:rPr>
          <w:highlight w:val="none"/>
        </w:rPr>
      </w:pPr>
    </w:p>
    <w:p>
      <w:pPr>
        <w:pStyle w:val="282"/>
        <w:spacing w:before="0" w:after="120" w:afterLines="50" w:line="300" w:lineRule="auto"/>
        <w:jc w:val="center"/>
        <w:rPr>
          <w:rFonts w:ascii="Arial" w:hAnsi="Arial" w:cs="Arial"/>
          <w:highlight w:val="none"/>
        </w:rPr>
      </w:pPr>
      <w:bookmarkStart w:id="2070" w:name="_Toc342296509"/>
      <w:bookmarkStart w:id="2071" w:name="_Toc434331453"/>
      <w:bookmarkStart w:id="2072" w:name="_Toc241459750"/>
      <w:bookmarkStart w:id="2073" w:name="_Toc1533"/>
      <w:r>
        <w:rPr>
          <w:highlight w:val="none"/>
        </w:rPr>
        <w:t>第</w:t>
      </w:r>
      <w:r>
        <w:rPr>
          <w:rFonts w:hint="eastAsia"/>
          <w:highlight w:val="none"/>
        </w:rPr>
        <w:t>三</w:t>
      </w:r>
      <w:r>
        <w:rPr>
          <w:highlight w:val="none"/>
        </w:rPr>
        <w:t xml:space="preserve">节 </w:t>
      </w:r>
      <w:r>
        <w:rPr>
          <w:rFonts w:ascii="Arial" w:hAnsi="Arial" w:cs="Arial"/>
          <w:highlight w:val="none"/>
        </w:rPr>
        <w:t>合同附件格式</w:t>
      </w:r>
      <w:bookmarkEnd w:id="2015"/>
      <w:bookmarkEnd w:id="2016"/>
      <w:bookmarkEnd w:id="2017"/>
      <w:bookmarkEnd w:id="2018"/>
      <w:bookmarkEnd w:id="2070"/>
      <w:bookmarkEnd w:id="2071"/>
      <w:bookmarkEnd w:id="2072"/>
      <w:bookmarkEnd w:id="2073"/>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sectPr>
          <w:footerReference r:id="rId11" w:type="default"/>
          <w:pgSz w:w="11906" w:h="16838"/>
          <w:pgMar w:top="1440" w:right="1797" w:bottom="1440" w:left="1797" w:header="851" w:footer="992" w:gutter="0"/>
          <w:pgBorders>
            <w:top w:val="none" w:sz="0" w:space="0"/>
            <w:left w:val="none" w:sz="0" w:space="0"/>
            <w:bottom w:val="none" w:sz="0" w:space="0"/>
            <w:right w:val="none" w:sz="0" w:space="0"/>
          </w:pgBorders>
          <w:cols w:space="720" w:num="1"/>
          <w:docGrid w:linePitch="312" w:charSpace="0"/>
        </w:sectPr>
      </w:pPr>
    </w:p>
    <w:p>
      <w:pPr>
        <w:pStyle w:val="199"/>
        <w:rPr>
          <w:highlight w:val="none"/>
        </w:rPr>
      </w:pPr>
      <w:bookmarkStart w:id="2074" w:name="_Toc434331454"/>
      <w:bookmarkStart w:id="2075" w:name="_Toc241459751"/>
      <w:bookmarkStart w:id="2076" w:name="_Toc4300"/>
      <w:bookmarkStart w:id="2077" w:name="_Toc342296510"/>
      <w:r>
        <w:rPr>
          <w:rFonts w:hint="eastAsia"/>
          <w:highlight w:val="none"/>
        </w:rPr>
        <w:t>附件一：合同协议书</w:t>
      </w:r>
      <w:bookmarkEnd w:id="2074"/>
      <w:bookmarkEnd w:id="2075"/>
      <w:bookmarkEnd w:id="2076"/>
      <w:bookmarkEnd w:id="2077"/>
    </w:p>
    <w:p>
      <w:pPr>
        <w:spacing w:line="440" w:lineRule="exact"/>
        <w:jc w:val="center"/>
        <w:rPr>
          <w:rFonts w:ascii="黑体" w:eastAsia="黑体"/>
          <w:sz w:val="28"/>
          <w:szCs w:val="28"/>
          <w:highlight w:val="none"/>
        </w:rPr>
      </w:pPr>
      <w:r>
        <w:rPr>
          <w:rFonts w:hint="eastAsia" w:ascii="黑体" w:eastAsia="黑体"/>
          <w:sz w:val="28"/>
          <w:szCs w:val="28"/>
          <w:highlight w:val="none"/>
        </w:rPr>
        <w:t>合同协议书</w:t>
      </w:r>
    </w:p>
    <w:p>
      <w:pPr>
        <w:pStyle w:val="175"/>
        <w:spacing w:line="440" w:lineRule="exact"/>
        <w:rPr>
          <w:szCs w:val="21"/>
          <w:highlight w:val="none"/>
        </w:rPr>
      </w:pPr>
      <w:r>
        <w:rPr>
          <w:rFonts w:hint="eastAsia"/>
          <w:szCs w:val="21"/>
          <w:highlight w:val="none"/>
        </w:rPr>
        <w:t xml:space="preserve">                                                    编号：</w:t>
      </w:r>
      <w:r>
        <w:rPr>
          <w:rFonts w:hint="eastAsia"/>
          <w:szCs w:val="21"/>
          <w:highlight w:val="none"/>
          <w:u w:val="single"/>
        </w:rPr>
        <w:t xml:space="preserve">                </w:t>
      </w:r>
    </w:p>
    <w:p>
      <w:pPr>
        <w:spacing w:line="400" w:lineRule="exact"/>
        <w:rPr>
          <w:rFonts w:ascii="Arial" w:hAnsi="Arial" w:cs="Arial"/>
          <w:b/>
          <w:szCs w:val="21"/>
          <w:highlight w:val="none"/>
        </w:rPr>
      </w:pPr>
      <w:r>
        <w:rPr>
          <w:rFonts w:ascii="Arial" w:cs="Arial"/>
          <w:b/>
          <w:szCs w:val="21"/>
          <w:highlight w:val="none"/>
        </w:rPr>
        <w:t>发包人</w:t>
      </w:r>
      <w:r>
        <w:rPr>
          <w:rFonts w:hint="eastAsia" w:ascii="Arial" w:cs="Arial"/>
          <w:b/>
          <w:szCs w:val="21"/>
          <w:highlight w:val="none"/>
        </w:rPr>
        <w:t>（全称）</w:t>
      </w:r>
      <w:r>
        <w:rPr>
          <w:rFonts w:ascii="Arial" w:cs="Arial"/>
          <w:b/>
          <w:szCs w:val="21"/>
          <w:highlight w:val="none"/>
        </w:rPr>
        <w:t>：</w:t>
      </w:r>
      <w:r>
        <w:rPr>
          <w:rFonts w:ascii="Arial" w:hAnsi="Arial" w:cs="Arial"/>
          <w:szCs w:val="21"/>
          <w:highlight w:val="none"/>
          <w:u w:val="single"/>
        </w:rPr>
        <w:t xml:space="preserve">                                            </w:t>
      </w:r>
      <w:r>
        <w:rPr>
          <w:rFonts w:hint="eastAsia" w:ascii="Arial" w:hAnsi="Arial" w:cs="Arial"/>
          <w:szCs w:val="21"/>
          <w:highlight w:val="none"/>
          <w:u w:val="single"/>
        </w:rPr>
        <w:t xml:space="preserve">             </w:t>
      </w:r>
      <w:r>
        <w:rPr>
          <w:rFonts w:ascii="Arial" w:hAnsi="Arial" w:cs="Arial"/>
          <w:szCs w:val="21"/>
          <w:highlight w:val="none"/>
          <w:u w:val="single"/>
        </w:rPr>
        <w:t xml:space="preserve"> </w:t>
      </w:r>
      <w:r>
        <w:rPr>
          <w:rFonts w:ascii="Arial" w:hAnsi="Arial" w:cs="Arial"/>
          <w:b/>
          <w:szCs w:val="21"/>
          <w:highlight w:val="none"/>
          <w:u w:val="single"/>
        </w:rPr>
        <w:t xml:space="preserve"> </w:t>
      </w:r>
    </w:p>
    <w:p>
      <w:pPr>
        <w:spacing w:line="400" w:lineRule="exact"/>
        <w:rPr>
          <w:rFonts w:ascii="Arial" w:hAnsi="Arial"/>
          <w:b/>
          <w:szCs w:val="21"/>
          <w:highlight w:val="none"/>
        </w:rPr>
      </w:pPr>
      <w:r>
        <w:rPr>
          <w:rFonts w:hint="eastAsia" w:ascii="Arial" w:hAnsi="Arial"/>
          <w:b/>
          <w:szCs w:val="21"/>
          <w:highlight w:val="none"/>
        </w:rPr>
        <w:t>法</w:t>
      </w:r>
      <w:r>
        <w:rPr>
          <w:rFonts w:hint="eastAsia" w:ascii="Arial" w:hAnsi="Arial"/>
          <w:b/>
          <w:sz w:val="18"/>
          <w:szCs w:val="21"/>
          <w:highlight w:val="none"/>
        </w:rPr>
        <w:t xml:space="preserve"> </w:t>
      </w:r>
      <w:r>
        <w:rPr>
          <w:rFonts w:hint="eastAsia" w:ascii="Arial" w:hAnsi="Arial"/>
          <w:b/>
          <w:szCs w:val="21"/>
          <w:highlight w:val="none"/>
        </w:rPr>
        <w:t>定</w:t>
      </w:r>
      <w:r>
        <w:rPr>
          <w:rFonts w:hint="eastAsia" w:ascii="Arial" w:hAnsi="Arial"/>
          <w:b/>
          <w:sz w:val="13"/>
          <w:szCs w:val="21"/>
          <w:highlight w:val="none"/>
        </w:rPr>
        <w:t xml:space="preserve"> </w:t>
      </w:r>
      <w:r>
        <w:rPr>
          <w:rFonts w:hint="eastAsia" w:ascii="Arial" w:hAnsi="Arial"/>
          <w:b/>
          <w:szCs w:val="21"/>
          <w:highlight w:val="none"/>
        </w:rPr>
        <w:t>代</w:t>
      </w:r>
      <w:r>
        <w:rPr>
          <w:rFonts w:hint="eastAsia" w:ascii="Arial" w:hAnsi="Arial"/>
          <w:b/>
          <w:sz w:val="13"/>
          <w:szCs w:val="21"/>
          <w:highlight w:val="none"/>
        </w:rPr>
        <w:t xml:space="preserve"> </w:t>
      </w:r>
      <w:r>
        <w:rPr>
          <w:rFonts w:hint="eastAsia" w:ascii="Arial" w:hAnsi="Arial"/>
          <w:b/>
          <w:szCs w:val="21"/>
          <w:highlight w:val="none"/>
        </w:rPr>
        <w:t>表</w:t>
      </w:r>
      <w:r>
        <w:rPr>
          <w:rFonts w:hint="eastAsia" w:ascii="Arial" w:hAnsi="Arial"/>
          <w:b/>
          <w:sz w:val="13"/>
          <w:szCs w:val="21"/>
          <w:highlight w:val="none"/>
        </w:rPr>
        <w:t xml:space="preserve"> </w:t>
      </w:r>
      <w:r>
        <w:rPr>
          <w:rFonts w:hint="eastAsia" w:ascii="Arial" w:hAnsi="Arial"/>
          <w:b/>
          <w:szCs w:val="21"/>
          <w:highlight w:val="none"/>
        </w:rPr>
        <w:t>人：</w:t>
      </w:r>
      <w:r>
        <w:rPr>
          <w:rFonts w:ascii="Arial" w:hAnsi="Arial" w:cs="Arial"/>
          <w:szCs w:val="21"/>
          <w:highlight w:val="none"/>
          <w:u w:val="single"/>
        </w:rPr>
        <w:t xml:space="preserve">                                             </w:t>
      </w:r>
      <w:r>
        <w:rPr>
          <w:rFonts w:hint="eastAsia" w:ascii="Arial" w:hAnsi="Arial" w:cs="Arial"/>
          <w:szCs w:val="21"/>
          <w:highlight w:val="none"/>
          <w:u w:val="single"/>
        </w:rPr>
        <w:t xml:space="preserve">             </w:t>
      </w:r>
      <w:r>
        <w:rPr>
          <w:rFonts w:ascii="Arial" w:hAnsi="Arial" w:cs="Arial"/>
          <w:b/>
          <w:szCs w:val="21"/>
          <w:highlight w:val="none"/>
          <w:u w:val="single"/>
        </w:rPr>
        <w:t xml:space="preserve"> </w:t>
      </w:r>
    </w:p>
    <w:p>
      <w:pPr>
        <w:spacing w:line="400" w:lineRule="exact"/>
        <w:rPr>
          <w:rFonts w:ascii="Arial" w:hAnsi="Arial"/>
          <w:b/>
          <w:szCs w:val="21"/>
          <w:highlight w:val="none"/>
          <w:u w:val="single"/>
        </w:rPr>
      </w:pPr>
      <w:r>
        <w:rPr>
          <w:rFonts w:hint="eastAsia" w:ascii="Arial"/>
          <w:b/>
          <w:szCs w:val="21"/>
          <w:highlight w:val="none"/>
        </w:rPr>
        <w:t>法定注册地址：</w:t>
      </w:r>
      <w:r>
        <w:rPr>
          <w:rFonts w:hint="eastAsia" w:ascii="Arial" w:hAnsi="Arial"/>
          <w:szCs w:val="21"/>
          <w:highlight w:val="none"/>
          <w:u w:val="single"/>
        </w:rPr>
        <w:t xml:space="preserve">                                                            </w:t>
      </w:r>
    </w:p>
    <w:p>
      <w:pPr>
        <w:spacing w:line="400" w:lineRule="exact"/>
        <w:rPr>
          <w:rFonts w:ascii="Arial" w:hAnsi="Arial"/>
          <w:b/>
          <w:szCs w:val="21"/>
          <w:highlight w:val="none"/>
        </w:rPr>
      </w:pPr>
    </w:p>
    <w:p>
      <w:pPr>
        <w:spacing w:line="400" w:lineRule="exact"/>
        <w:rPr>
          <w:rFonts w:ascii="Arial" w:hAnsi="Arial"/>
          <w:b/>
          <w:szCs w:val="21"/>
          <w:highlight w:val="none"/>
        </w:rPr>
      </w:pPr>
      <w:r>
        <w:rPr>
          <w:rFonts w:hint="eastAsia" w:ascii="Arial"/>
          <w:b/>
          <w:szCs w:val="21"/>
          <w:highlight w:val="none"/>
        </w:rPr>
        <w:t>承包人（全称）：</w:t>
      </w:r>
      <w:r>
        <w:rPr>
          <w:rFonts w:hint="eastAsia" w:ascii="Arial" w:hAnsi="Arial"/>
          <w:szCs w:val="21"/>
          <w:highlight w:val="none"/>
          <w:u w:val="single"/>
        </w:rPr>
        <w:t xml:space="preserve">                                                           </w:t>
      </w:r>
    </w:p>
    <w:p>
      <w:pPr>
        <w:spacing w:line="400" w:lineRule="exact"/>
        <w:rPr>
          <w:rFonts w:ascii="Arial" w:hAnsi="Arial"/>
          <w:b/>
          <w:szCs w:val="21"/>
          <w:highlight w:val="none"/>
        </w:rPr>
      </w:pPr>
      <w:r>
        <w:rPr>
          <w:rFonts w:hint="eastAsia" w:ascii="Arial" w:hAnsi="Arial"/>
          <w:b/>
          <w:szCs w:val="21"/>
          <w:highlight w:val="none"/>
        </w:rPr>
        <w:t>法</w:t>
      </w:r>
      <w:r>
        <w:rPr>
          <w:rFonts w:hint="eastAsia" w:ascii="Arial" w:hAnsi="Arial"/>
          <w:b/>
          <w:sz w:val="18"/>
          <w:szCs w:val="21"/>
          <w:highlight w:val="none"/>
        </w:rPr>
        <w:t xml:space="preserve"> </w:t>
      </w:r>
      <w:r>
        <w:rPr>
          <w:rFonts w:hint="eastAsia" w:ascii="Arial" w:hAnsi="Arial"/>
          <w:b/>
          <w:szCs w:val="21"/>
          <w:highlight w:val="none"/>
        </w:rPr>
        <w:t>定</w:t>
      </w:r>
      <w:r>
        <w:rPr>
          <w:rFonts w:hint="eastAsia" w:ascii="Arial" w:hAnsi="Arial"/>
          <w:b/>
          <w:sz w:val="13"/>
          <w:szCs w:val="21"/>
          <w:highlight w:val="none"/>
        </w:rPr>
        <w:t xml:space="preserve"> </w:t>
      </w:r>
      <w:r>
        <w:rPr>
          <w:rFonts w:hint="eastAsia" w:ascii="Arial" w:hAnsi="Arial"/>
          <w:b/>
          <w:szCs w:val="21"/>
          <w:highlight w:val="none"/>
        </w:rPr>
        <w:t>代</w:t>
      </w:r>
      <w:r>
        <w:rPr>
          <w:rFonts w:hint="eastAsia" w:ascii="Arial" w:hAnsi="Arial"/>
          <w:b/>
          <w:sz w:val="13"/>
          <w:szCs w:val="21"/>
          <w:highlight w:val="none"/>
        </w:rPr>
        <w:t xml:space="preserve"> </w:t>
      </w:r>
      <w:r>
        <w:rPr>
          <w:rFonts w:hint="eastAsia" w:ascii="Arial" w:hAnsi="Arial"/>
          <w:b/>
          <w:szCs w:val="21"/>
          <w:highlight w:val="none"/>
        </w:rPr>
        <w:t>表</w:t>
      </w:r>
      <w:r>
        <w:rPr>
          <w:rFonts w:hint="eastAsia" w:ascii="Arial" w:hAnsi="Arial"/>
          <w:b/>
          <w:sz w:val="13"/>
          <w:szCs w:val="21"/>
          <w:highlight w:val="none"/>
        </w:rPr>
        <w:t xml:space="preserve"> </w:t>
      </w:r>
      <w:r>
        <w:rPr>
          <w:rFonts w:hint="eastAsia" w:ascii="Arial" w:hAnsi="Arial"/>
          <w:b/>
          <w:szCs w:val="21"/>
          <w:highlight w:val="none"/>
        </w:rPr>
        <w:t>人：</w:t>
      </w:r>
      <w:r>
        <w:rPr>
          <w:rFonts w:ascii="Arial" w:hAnsi="Arial" w:cs="Arial"/>
          <w:szCs w:val="21"/>
          <w:highlight w:val="none"/>
          <w:u w:val="single"/>
        </w:rPr>
        <w:t xml:space="preserve">                                            </w:t>
      </w:r>
      <w:r>
        <w:rPr>
          <w:rFonts w:hint="eastAsia" w:ascii="Arial" w:hAnsi="Arial" w:cs="Arial"/>
          <w:szCs w:val="21"/>
          <w:highlight w:val="none"/>
          <w:u w:val="single"/>
        </w:rPr>
        <w:t xml:space="preserve">             </w:t>
      </w:r>
      <w:r>
        <w:rPr>
          <w:rFonts w:ascii="Arial" w:hAnsi="Arial" w:cs="Arial"/>
          <w:szCs w:val="21"/>
          <w:highlight w:val="none"/>
          <w:u w:val="single"/>
        </w:rPr>
        <w:t xml:space="preserve"> </w:t>
      </w:r>
      <w:r>
        <w:rPr>
          <w:rFonts w:ascii="Arial" w:hAnsi="Arial" w:cs="Arial"/>
          <w:b/>
          <w:szCs w:val="21"/>
          <w:highlight w:val="none"/>
          <w:u w:val="single"/>
        </w:rPr>
        <w:t xml:space="preserve"> </w:t>
      </w:r>
    </w:p>
    <w:p>
      <w:pPr>
        <w:spacing w:line="400" w:lineRule="exact"/>
        <w:rPr>
          <w:b/>
          <w:highlight w:val="none"/>
        </w:rPr>
      </w:pPr>
      <w:r>
        <w:rPr>
          <w:rFonts w:hint="eastAsia" w:ascii="Arial"/>
          <w:b/>
          <w:szCs w:val="21"/>
          <w:highlight w:val="none"/>
        </w:rPr>
        <w:t>法定注册地址：</w:t>
      </w:r>
      <w:r>
        <w:rPr>
          <w:rFonts w:hint="eastAsia" w:ascii="Arial" w:hAnsi="Arial"/>
          <w:szCs w:val="21"/>
          <w:highlight w:val="none"/>
          <w:u w:val="single"/>
        </w:rPr>
        <w:t xml:space="preserve">                                                            </w:t>
      </w:r>
      <w:r>
        <w:rPr>
          <w:rFonts w:hint="eastAsia" w:ascii="Arial" w:hAnsi="Arial"/>
          <w:szCs w:val="21"/>
          <w:highlight w:val="none"/>
        </w:rPr>
        <w:t xml:space="preserve"> </w:t>
      </w:r>
    </w:p>
    <w:p>
      <w:pPr>
        <w:spacing w:line="400" w:lineRule="exact"/>
        <w:ind w:firstLine="490"/>
        <w:rPr>
          <w:highlight w:val="none"/>
        </w:rPr>
      </w:pPr>
    </w:p>
    <w:p>
      <w:pPr>
        <w:spacing w:line="400" w:lineRule="exact"/>
        <w:ind w:firstLine="490"/>
        <w:rPr>
          <w:highlight w:val="none"/>
        </w:rPr>
      </w:pPr>
      <w:r>
        <w:rPr>
          <w:rFonts w:hint="eastAsia" w:ascii="Arial"/>
          <w:szCs w:val="21"/>
          <w:highlight w:val="none"/>
        </w:rPr>
        <w:t>发包人为建设</w:t>
      </w:r>
      <w:r>
        <w:rPr>
          <w:rFonts w:hint="eastAsia"/>
          <w:highlight w:val="none"/>
          <w:u w:val="single"/>
        </w:rPr>
        <w:t xml:space="preserve">                               </w:t>
      </w:r>
      <w:r>
        <w:rPr>
          <w:rFonts w:hint="eastAsia" w:ascii="Arial"/>
          <w:szCs w:val="21"/>
          <w:highlight w:val="none"/>
        </w:rPr>
        <w:t>（以下简称</w:t>
      </w:r>
      <w:r>
        <w:rPr>
          <w:rFonts w:hint="eastAsia" w:ascii="Arial" w:hAnsi="Arial"/>
          <w:szCs w:val="21"/>
          <w:highlight w:val="none"/>
        </w:rPr>
        <w:t>“</w:t>
      </w:r>
      <w:r>
        <w:rPr>
          <w:rFonts w:hint="eastAsia" w:ascii="Arial"/>
          <w:szCs w:val="21"/>
          <w:highlight w:val="none"/>
        </w:rPr>
        <w:t>本工程</w:t>
      </w:r>
      <w:r>
        <w:rPr>
          <w:rFonts w:hint="eastAsia" w:ascii="Arial" w:hAnsi="Arial"/>
          <w:szCs w:val="21"/>
          <w:highlight w:val="none"/>
        </w:rPr>
        <w:t>”</w:t>
      </w:r>
      <w:r>
        <w:rPr>
          <w:rFonts w:hint="eastAsia" w:ascii="Arial"/>
          <w:szCs w:val="21"/>
          <w:highlight w:val="none"/>
        </w:rPr>
        <w:t>），已接受承包人提出的承担本工程的施工、竣工、交付并维修其任何缺陷的投标。</w:t>
      </w:r>
      <w:r>
        <w:rPr>
          <w:rFonts w:hint="eastAsia"/>
          <w:highlight w:val="none"/>
        </w:rPr>
        <w:t>依照《中华人民共和国招标投标法》、《中华人民共和国合同法》、《中华人民共和国建筑法》、及其他有关法律、行政法规，遵循平等、自愿、公平和诚实信用的原则，双方共同达成并订立如下协议。</w:t>
      </w:r>
    </w:p>
    <w:p>
      <w:pPr>
        <w:spacing w:line="400" w:lineRule="exact"/>
        <w:ind w:firstLine="514" w:firstLineChars="245"/>
        <w:outlineLvl w:val="0"/>
        <w:rPr>
          <w:rFonts w:ascii="黑体" w:eastAsia="黑体"/>
          <w:highlight w:val="none"/>
        </w:rPr>
      </w:pPr>
      <w:bookmarkStart w:id="2078" w:name="_Toc434331455"/>
      <w:bookmarkStart w:id="2079" w:name="_Toc395689934"/>
      <w:bookmarkStart w:id="2080" w:name="_Toc395689447"/>
      <w:bookmarkStart w:id="2081" w:name="_Toc434230765"/>
      <w:bookmarkStart w:id="2082" w:name="_Toc395691520"/>
      <w:bookmarkStart w:id="2083" w:name="_Toc20489"/>
      <w:r>
        <w:rPr>
          <w:rFonts w:hint="eastAsia" w:ascii="黑体" w:eastAsia="黑体"/>
          <w:highlight w:val="none"/>
        </w:rPr>
        <w:t>一、工程概况</w:t>
      </w:r>
      <w:bookmarkEnd w:id="2078"/>
      <w:bookmarkEnd w:id="2079"/>
      <w:bookmarkEnd w:id="2080"/>
      <w:bookmarkEnd w:id="2081"/>
      <w:bookmarkEnd w:id="2082"/>
      <w:bookmarkEnd w:id="2083"/>
    </w:p>
    <w:p>
      <w:pPr>
        <w:spacing w:line="400" w:lineRule="exact"/>
        <w:ind w:firstLine="490"/>
        <w:rPr>
          <w:highlight w:val="none"/>
          <w:u w:val="single"/>
        </w:rPr>
      </w:pPr>
      <w:r>
        <w:rPr>
          <w:rFonts w:hint="eastAsia"/>
          <w:highlight w:val="none"/>
        </w:rPr>
        <w:t>工程名称：</w:t>
      </w:r>
      <w:r>
        <w:rPr>
          <w:rFonts w:hint="eastAsia"/>
          <w:highlight w:val="none"/>
          <w:u w:val="single"/>
        </w:rPr>
        <w:t xml:space="preserve">           </w:t>
      </w:r>
      <w:r>
        <w:rPr>
          <w:rFonts w:hint="eastAsia"/>
          <w:highlight w:val="none"/>
        </w:rPr>
        <w:t>（项目名称）</w:t>
      </w:r>
    </w:p>
    <w:p>
      <w:pPr>
        <w:spacing w:line="400" w:lineRule="exact"/>
        <w:ind w:firstLine="490"/>
        <w:rPr>
          <w:highlight w:val="none"/>
          <w:u w:val="single"/>
        </w:rPr>
      </w:pPr>
      <w:r>
        <w:rPr>
          <w:rFonts w:hint="eastAsia"/>
          <w:highlight w:val="none"/>
        </w:rPr>
        <w:t>工程地点：</w:t>
      </w:r>
      <w:r>
        <w:rPr>
          <w:rFonts w:hint="eastAsia"/>
          <w:highlight w:val="none"/>
          <w:u w:val="single"/>
        </w:rPr>
        <w:t xml:space="preserve">                                               </w:t>
      </w:r>
      <w:r>
        <w:rPr>
          <w:rFonts w:hint="eastAsia"/>
          <w:highlight w:val="none"/>
        </w:rPr>
        <w:t xml:space="preserve"> </w:t>
      </w:r>
    </w:p>
    <w:p>
      <w:pPr>
        <w:spacing w:line="400" w:lineRule="exact"/>
        <w:ind w:firstLine="490"/>
        <w:rPr>
          <w:highlight w:val="none"/>
          <w:u w:val="single"/>
        </w:rPr>
      </w:pPr>
      <w:r>
        <w:rPr>
          <w:rFonts w:hint="eastAsia"/>
          <w:highlight w:val="none"/>
        </w:rPr>
        <w:t>工程内容：</w:t>
      </w:r>
      <w:r>
        <w:rPr>
          <w:rFonts w:hint="eastAsia"/>
          <w:highlight w:val="none"/>
          <w:u w:val="single"/>
        </w:rPr>
        <w:t xml:space="preserve">                                               </w:t>
      </w:r>
      <w:r>
        <w:rPr>
          <w:rFonts w:hint="eastAsia"/>
          <w:highlight w:val="none"/>
        </w:rPr>
        <w:t xml:space="preserve"> </w:t>
      </w:r>
    </w:p>
    <w:p>
      <w:pPr>
        <w:spacing w:line="400" w:lineRule="exact"/>
        <w:ind w:firstLine="514" w:firstLineChars="245"/>
        <w:outlineLvl w:val="0"/>
        <w:rPr>
          <w:rFonts w:ascii="黑体" w:eastAsia="黑体"/>
          <w:highlight w:val="none"/>
        </w:rPr>
      </w:pPr>
      <w:bookmarkStart w:id="2084" w:name="_Toc395689448"/>
      <w:bookmarkStart w:id="2085" w:name="_Toc395691521"/>
      <w:bookmarkStart w:id="2086" w:name="_Toc434230766"/>
      <w:bookmarkStart w:id="2087" w:name="_Toc395689935"/>
      <w:bookmarkStart w:id="2088" w:name="_Toc28360"/>
      <w:bookmarkStart w:id="2089" w:name="_Toc434331456"/>
      <w:r>
        <w:rPr>
          <w:rFonts w:hint="eastAsia" w:ascii="黑体" w:eastAsia="黑体"/>
          <w:highlight w:val="none"/>
        </w:rPr>
        <w:t>二、工程承包范围</w:t>
      </w:r>
      <w:bookmarkEnd w:id="2084"/>
      <w:bookmarkEnd w:id="2085"/>
      <w:bookmarkEnd w:id="2086"/>
      <w:bookmarkEnd w:id="2087"/>
      <w:bookmarkEnd w:id="2088"/>
      <w:bookmarkEnd w:id="2089"/>
    </w:p>
    <w:p>
      <w:pPr>
        <w:spacing w:line="400" w:lineRule="exact"/>
        <w:ind w:firstLine="490"/>
        <w:rPr>
          <w:highlight w:val="none"/>
        </w:rPr>
      </w:pPr>
      <w:r>
        <w:rPr>
          <w:rFonts w:hint="eastAsia"/>
          <w:highlight w:val="none"/>
        </w:rPr>
        <w:t>承包范围：</w:t>
      </w:r>
      <w:r>
        <w:rPr>
          <w:rFonts w:hint="eastAsia"/>
          <w:highlight w:val="none"/>
          <w:u w:val="single"/>
        </w:rPr>
        <w:t xml:space="preserve">                                               </w:t>
      </w:r>
      <w:r>
        <w:rPr>
          <w:rFonts w:hint="eastAsia"/>
          <w:highlight w:val="none"/>
        </w:rPr>
        <w:t xml:space="preserve"> </w:t>
      </w:r>
    </w:p>
    <w:p>
      <w:pPr>
        <w:spacing w:line="400" w:lineRule="exact"/>
        <w:ind w:firstLine="490"/>
        <w:rPr>
          <w:b/>
          <w:highlight w:val="none"/>
          <w:u w:val="single"/>
        </w:rPr>
      </w:pPr>
      <w:r>
        <w:rPr>
          <w:rFonts w:hint="eastAsia"/>
          <w:highlight w:val="none"/>
        </w:rPr>
        <w:t>详细承包范围见第七章“技术标准和要求”。</w:t>
      </w:r>
    </w:p>
    <w:p>
      <w:pPr>
        <w:spacing w:line="400" w:lineRule="exact"/>
        <w:ind w:firstLine="514" w:firstLineChars="245"/>
        <w:outlineLvl w:val="0"/>
        <w:rPr>
          <w:rFonts w:ascii="黑体" w:eastAsia="黑体"/>
          <w:highlight w:val="none"/>
        </w:rPr>
      </w:pPr>
      <w:bookmarkStart w:id="2090" w:name="_Toc395689449"/>
      <w:bookmarkStart w:id="2091" w:name="_Toc434331457"/>
      <w:bookmarkStart w:id="2092" w:name="_Toc395691522"/>
      <w:bookmarkStart w:id="2093" w:name="_Toc19156"/>
      <w:bookmarkStart w:id="2094" w:name="_Toc395689936"/>
      <w:bookmarkStart w:id="2095" w:name="_Toc434230767"/>
      <w:r>
        <w:rPr>
          <w:rFonts w:hint="eastAsia" w:ascii="黑体" w:eastAsia="黑体"/>
          <w:highlight w:val="none"/>
        </w:rPr>
        <w:t>三、合同工期</w:t>
      </w:r>
      <w:bookmarkEnd w:id="2090"/>
      <w:bookmarkEnd w:id="2091"/>
      <w:bookmarkEnd w:id="2092"/>
      <w:bookmarkEnd w:id="2093"/>
      <w:bookmarkEnd w:id="2094"/>
      <w:bookmarkEnd w:id="2095"/>
    </w:p>
    <w:p>
      <w:pPr>
        <w:spacing w:line="400" w:lineRule="exact"/>
        <w:ind w:firstLine="490"/>
        <w:rPr>
          <w:highlight w:val="none"/>
          <w:u w:val="single"/>
        </w:rPr>
      </w:pPr>
      <w:r>
        <w:rPr>
          <w:rFonts w:hint="eastAsia"/>
          <w:highlight w:val="none"/>
        </w:rPr>
        <w:t>计划开工日期：</w:t>
      </w:r>
      <w:r>
        <w:rPr>
          <w:rFonts w:hint="eastAsia"/>
          <w:highlight w:val="none"/>
          <w:u w:val="single"/>
        </w:rPr>
        <w:t xml:space="preserve">        </w:t>
      </w:r>
      <w:r>
        <w:rPr>
          <w:rFonts w:hint="eastAsia"/>
          <w:highlight w:val="none"/>
        </w:rPr>
        <w:t>年</w:t>
      </w:r>
      <w:r>
        <w:rPr>
          <w:rFonts w:hint="eastAsia"/>
          <w:highlight w:val="none"/>
          <w:u w:val="single"/>
        </w:rPr>
        <w:t xml:space="preserve">        </w:t>
      </w:r>
      <w:r>
        <w:rPr>
          <w:rFonts w:hint="eastAsia"/>
          <w:highlight w:val="none"/>
        </w:rPr>
        <w:t>月</w:t>
      </w:r>
      <w:r>
        <w:rPr>
          <w:rFonts w:hint="eastAsia"/>
          <w:highlight w:val="none"/>
          <w:u w:val="single"/>
        </w:rPr>
        <w:t xml:space="preserve">        </w:t>
      </w:r>
      <w:r>
        <w:rPr>
          <w:rFonts w:hint="eastAsia"/>
          <w:highlight w:val="none"/>
        </w:rPr>
        <w:t>日</w:t>
      </w:r>
    </w:p>
    <w:p>
      <w:pPr>
        <w:spacing w:line="400" w:lineRule="exact"/>
        <w:ind w:firstLine="490"/>
        <w:rPr>
          <w:highlight w:val="none"/>
          <w:u w:val="single"/>
        </w:rPr>
      </w:pPr>
      <w:r>
        <w:rPr>
          <w:rFonts w:hint="eastAsia"/>
          <w:highlight w:val="none"/>
        </w:rPr>
        <w:t>计划竣工日期：</w:t>
      </w:r>
      <w:r>
        <w:rPr>
          <w:rFonts w:hint="eastAsia"/>
          <w:highlight w:val="none"/>
          <w:u w:val="single"/>
        </w:rPr>
        <w:t xml:space="preserve">        </w:t>
      </w:r>
      <w:r>
        <w:rPr>
          <w:rFonts w:hint="eastAsia"/>
          <w:highlight w:val="none"/>
        </w:rPr>
        <w:t>年</w:t>
      </w:r>
      <w:r>
        <w:rPr>
          <w:rFonts w:hint="eastAsia"/>
          <w:highlight w:val="none"/>
          <w:u w:val="single"/>
        </w:rPr>
        <w:t xml:space="preserve">        </w:t>
      </w:r>
      <w:r>
        <w:rPr>
          <w:rFonts w:hint="eastAsia"/>
          <w:highlight w:val="none"/>
        </w:rPr>
        <w:t>月</w:t>
      </w:r>
      <w:r>
        <w:rPr>
          <w:rFonts w:hint="eastAsia"/>
          <w:highlight w:val="none"/>
          <w:u w:val="single"/>
        </w:rPr>
        <w:t xml:space="preserve">        </w:t>
      </w:r>
      <w:r>
        <w:rPr>
          <w:rFonts w:hint="eastAsia"/>
          <w:highlight w:val="none"/>
        </w:rPr>
        <w:t>日</w:t>
      </w:r>
    </w:p>
    <w:p>
      <w:pPr>
        <w:spacing w:line="400" w:lineRule="exact"/>
        <w:ind w:firstLine="490"/>
        <w:rPr>
          <w:highlight w:val="none"/>
        </w:rPr>
      </w:pPr>
      <w:r>
        <w:rPr>
          <w:rFonts w:hint="eastAsia"/>
          <w:highlight w:val="none"/>
        </w:rPr>
        <w:t>工期总日历天数</w:t>
      </w:r>
      <w:r>
        <w:rPr>
          <w:rFonts w:hint="eastAsia"/>
          <w:highlight w:val="none"/>
          <w:u w:val="single"/>
        </w:rPr>
        <w:t xml:space="preserve">                        </w:t>
      </w:r>
      <w:r>
        <w:rPr>
          <w:rFonts w:hint="eastAsia"/>
          <w:highlight w:val="none"/>
        </w:rPr>
        <w:t>天，自监理人发出的开工通知中载明的开工日期起算。</w:t>
      </w:r>
    </w:p>
    <w:p>
      <w:pPr>
        <w:spacing w:line="400" w:lineRule="exact"/>
        <w:ind w:firstLine="514" w:firstLineChars="245"/>
        <w:outlineLvl w:val="0"/>
        <w:rPr>
          <w:rFonts w:ascii="黑体" w:eastAsia="黑体"/>
          <w:highlight w:val="none"/>
        </w:rPr>
      </w:pPr>
      <w:bookmarkStart w:id="2096" w:name="_Toc25798"/>
      <w:bookmarkStart w:id="2097" w:name="_Toc395689937"/>
      <w:bookmarkStart w:id="2098" w:name="_Toc395689450"/>
      <w:bookmarkStart w:id="2099" w:name="_Toc434230768"/>
      <w:bookmarkStart w:id="2100" w:name="_Toc434331458"/>
      <w:bookmarkStart w:id="2101" w:name="_Toc395691523"/>
      <w:r>
        <w:rPr>
          <w:rFonts w:hint="eastAsia" w:ascii="黑体" w:eastAsia="黑体"/>
          <w:highlight w:val="none"/>
        </w:rPr>
        <w:t>四、质量标准</w:t>
      </w:r>
      <w:bookmarkEnd w:id="2096"/>
      <w:bookmarkEnd w:id="2097"/>
      <w:bookmarkEnd w:id="2098"/>
      <w:bookmarkEnd w:id="2099"/>
      <w:bookmarkEnd w:id="2100"/>
      <w:bookmarkEnd w:id="2101"/>
    </w:p>
    <w:p>
      <w:pPr>
        <w:spacing w:line="400" w:lineRule="exact"/>
        <w:ind w:firstLine="490"/>
        <w:rPr>
          <w:highlight w:val="none"/>
          <w:u w:val="single"/>
        </w:rPr>
      </w:pPr>
      <w:r>
        <w:rPr>
          <w:rFonts w:hint="eastAsia"/>
          <w:highlight w:val="none"/>
        </w:rPr>
        <w:t>工程质量标准：</w:t>
      </w:r>
      <w:r>
        <w:rPr>
          <w:rFonts w:hint="eastAsia"/>
          <w:highlight w:val="none"/>
          <w:u w:val="single"/>
        </w:rPr>
        <w:t xml:space="preserve">                                               </w:t>
      </w:r>
      <w:r>
        <w:rPr>
          <w:rFonts w:hint="eastAsia"/>
          <w:highlight w:val="none"/>
        </w:rPr>
        <w:t xml:space="preserve"> </w:t>
      </w:r>
    </w:p>
    <w:p>
      <w:pPr>
        <w:spacing w:line="400" w:lineRule="exact"/>
        <w:ind w:firstLine="514" w:firstLineChars="245"/>
        <w:outlineLvl w:val="0"/>
        <w:rPr>
          <w:rFonts w:ascii="黑体" w:eastAsia="黑体"/>
          <w:highlight w:val="none"/>
        </w:rPr>
      </w:pPr>
      <w:bookmarkStart w:id="2102" w:name="_Toc395691524"/>
      <w:bookmarkStart w:id="2103" w:name="_Toc434230769"/>
      <w:bookmarkStart w:id="2104" w:name="_Toc18400"/>
      <w:bookmarkStart w:id="2105" w:name="_Toc434331459"/>
      <w:bookmarkStart w:id="2106" w:name="_Toc395689938"/>
      <w:bookmarkStart w:id="2107" w:name="_Toc395689451"/>
      <w:r>
        <w:rPr>
          <w:rFonts w:hint="eastAsia" w:ascii="黑体" w:eastAsia="黑体"/>
          <w:highlight w:val="none"/>
        </w:rPr>
        <w:t>五、合同形式</w:t>
      </w:r>
      <w:bookmarkEnd w:id="2102"/>
      <w:bookmarkEnd w:id="2103"/>
      <w:bookmarkEnd w:id="2104"/>
      <w:bookmarkEnd w:id="2105"/>
      <w:bookmarkEnd w:id="2106"/>
      <w:bookmarkEnd w:id="2107"/>
    </w:p>
    <w:p>
      <w:pPr>
        <w:spacing w:line="400" w:lineRule="exact"/>
        <w:ind w:firstLine="490"/>
        <w:rPr>
          <w:b/>
          <w:highlight w:val="none"/>
          <w:u w:val="single"/>
        </w:rPr>
      </w:pPr>
      <w:r>
        <w:rPr>
          <w:rFonts w:hint="eastAsia"/>
          <w:highlight w:val="none"/>
        </w:rPr>
        <w:t xml:space="preserve">本合同采用 </w:t>
      </w:r>
      <w:r>
        <w:rPr>
          <w:rFonts w:hint="eastAsia"/>
          <w:highlight w:val="none"/>
          <w:u w:val="single"/>
        </w:rPr>
        <w:t xml:space="preserve">                                               </w:t>
      </w:r>
      <w:r>
        <w:rPr>
          <w:rFonts w:hint="eastAsia"/>
          <w:highlight w:val="none"/>
        </w:rPr>
        <w:t xml:space="preserve"> 合同形式</w:t>
      </w:r>
      <w:r>
        <w:rPr>
          <w:highlight w:val="none"/>
        </w:rPr>
        <w:t>。</w:t>
      </w:r>
    </w:p>
    <w:p>
      <w:pPr>
        <w:spacing w:line="400" w:lineRule="exact"/>
        <w:ind w:firstLine="525" w:firstLineChars="250"/>
        <w:outlineLvl w:val="0"/>
        <w:rPr>
          <w:rFonts w:ascii="黑体" w:eastAsia="黑体"/>
          <w:bCs/>
          <w:highlight w:val="none"/>
        </w:rPr>
      </w:pPr>
      <w:bookmarkStart w:id="2108" w:name="_Toc395689939"/>
      <w:bookmarkStart w:id="2109" w:name="_Toc434230770"/>
      <w:bookmarkStart w:id="2110" w:name="_Toc395689452"/>
      <w:bookmarkStart w:id="2111" w:name="_Toc6705"/>
      <w:bookmarkStart w:id="2112" w:name="_Toc395691525"/>
      <w:bookmarkStart w:id="2113" w:name="_Toc434331460"/>
      <w:r>
        <w:rPr>
          <w:rFonts w:hint="eastAsia" w:ascii="黑体" w:eastAsia="黑体"/>
          <w:bCs/>
          <w:highlight w:val="none"/>
        </w:rPr>
        <w:t>六、签约合同价</w:t>
      </w:r>
      <w:bookmarkEnd w:id="2108"/>
      <w:bookmarkEnd w:id="2109"/>
      <w:bookmarkEnd w:id="2110"/>
      <w:bookmarkEnd w:id="2111"/>
      <w:bookmarkEnd w:id="2112"/>
      <w:bookmarkEnd w:id="2113"/>
    </w:p>
    <w:p>
      <w:pPr>
        <w:spacing w:line="400" w:lineRule="exact"/>
        <w:ind w:firstLine="490"/>
        <w:rPr>
          <w:highlight w:val="none"/>
        </w:rPr>
      </w:pPr>
      <w:r>
        <w:rPr>
          <w:rFonts w:hint="eastAsia"/>
          <w:highlight w:val="none"/>
        </w:rPr>
        <w:t>金额（大写）：</w:t>
      </w:r>
      <w:r>
        <w:rPr>
          <w:rFonts w:hint="eastAsia"/>
          <w:highlight w:val="none"/>
          <w:u w:val="single"/>
        </w:rPr>
        <w:t xml:space="preserve">                                               </w:t>
      </w:r>
      <w:r>
        <w:rPr>
          <w:rFonts w:hint="eastAsia"/>
          <w:highlight w:val="none"/>
        </w:rPr>
        <w:t>元（人民币）</w:t>
      </w:r>
    </w:p>
    <w:p>
      <w:pPr>
        <w:spacing w:line="400" w:lineRule="exact"/>
        <w:ind w:firstLine="630" w:firstLineChars="300"/>
        <w:rPr>
          <w:highlight w:val="none"/>
        </w:rPr>
      </w:pPr>
      <w:r>
        <w:rPr>
          <w:rFonts w:hint="eastAsia"/>
          <w:highlight w:val="none"/>
        </w:rPr>
        <w:t>（小写）￥：</w:t>
      </w:r>
      <w:r>
        <w:rPr>
          <w:rFonts w:hint="eastAsia"/>
          <w:highlight w:val="none"/>
          <w:u w:val="single"/>
        </w:rPr>
        <w:t xml:space="preserve">                                                       </w:t>
      </w:r>
      <w:r>
        <w:rPr>
          <w:rFonts w:hint="eastAsia"/>
          <w:highlight w:val="none"/>
        </w:rPr>
        <w:t>元</w:t>
      </w:r>
    </w:p>
    <w:p>
      <w:pPr>
        <w:spacing w:line="400" w:lineRule="exact"/>
        <w:ind w:firstLine="630"/>
        <w:rPr>
          <w:highlight w:val="none"/>
        </w:rPr>
      </w:pPr>
      <w:r>
        <w:rPr>
          <w:rFonts w:hint="eastAsia"/>
          <w:highlight w:val="none"/>
        </w:rPr>
        <w:t>其中：安全文明施工费：</w:t>
      </w:r>
      <w:r>
        <w:rPr>
          <w:rFonts w:hint="eastAsia"/>
          <w:highlight w:val="none"/>
          <w:u w:val="single"/>
        </w:rPr>
        <w:t xml:space="preserve">                                   </w:t>
      </w:r>
      <w:r>
        <w:rPr>
          <w:rFonts w:hint="eastAsia"/>
          <w:highlight w:val="none"/>
        </w:rPr>
        <w:t>元</w:t>
      </w:r>
    </w:p>
    <w:p>
      <w:pPr>
        <w:spacing w:line="400" w:lineRule="exact"/>
        <w:ind w:firstLine="630"/>
        <w:rPr>
          <w:highlight w:val="none"/>
        </w:rPr>
      </w:pPr>
      <w:r>
        <w:rPr>
          <w:rFonts w:hint="eastAsia"/>
          <w:highlight w:val="none"/>
        </w:rPr>
        <w:t xml:space="preserve">      暂列金额：</w:t>
      </w:r>
      <w:r>
        <w:rPr>
          <w:rFonts w:hint="eastAsia"/>
          <w:highlight w:val="none"/>
          <w:u w:val="single"/>
        </w:rPr>
        <w:t xml:space="preserve">                   </w:t>
      </w:r>
      <w:r>
        <w:rPr>
          <w:rFonts w:hint="eastAsia"/>
          <w:highlight w:val="none"/>
        </w:rPr>
        <w:t>元</w:t>
      </w:r>
    </w:p>
    <w:p>
      <w:pPr>
        <w:spacing w:line="400" w:lineRule="exact"/>
        <w:ind w:firstLine="489" w:firstLineChars="232"/>
        <w:rPr>
          <w:b/>
          <w:highlight w:val="none"/>
        </w:rPr>
      </w:pPr>
      <w:r>
        <w:rPr>
          <w:rFonts w:hint="eastAsia"/>
          <w:b/>
          <w:highlight w:val="none"/>
        </w:rPr>
        <w:t xml:space="preserve">       </w:t>
      </w:r>
      <w:r>
        <w:rPr>
          <w:rFonts w:hint="eastAsia"/>
          <w:bCs/>
          <w:highlight w:val="none"/>
        </w:rPr>
        <w:t>专业工程暂估价：</w:t>
      </w:r>
      <w:r>
        <w:rPr>
          <w:rFonts w:hint="eastAsia"/>
          <w:highlight w:val="none"/>
          <w:u w:val="single"/>
        </w:rPr>
        <w:t xml:space="preserve">      </w:t>
      </w:r>
      <w:r>
        <w:rPr>
          <w:rFonts w:hint="eastAsia"/>
          <w:sz w:val="24"/>
          <w:highlight w:val="none"/>
          <w:u w:val="single"/>
        </w:rPr>
        <w:t xml:space="preserve"> </w:t>
      </w:r>
      <w:r>
        <w:rPr>
          <w:rFonts w:hint="eastAsia"/>
          <w:highlight w:val="none"/>
          <w:u w:val="single"/>
        </w:rPr>
        <w:t xml:space="preserve">                                </w:t>
      </w:r>
      <w:r>
        <w:rPr>
          <w:rFonts w:hint="eastAsia"/>
          <w:highlight w:val="none"/>
        </w:rPr>
        <w:t>元</w:t>
      </w:r>
    </w:p>
    <w:p>
      <w:pPr>
        <w:spacing w:line="400" w:lineRule="exact"/>
        <w:ind w:firstLine="420" w:firstLineChars="200"/>
        <w:outlineLvl w:val="0"/>
        <w:rPr>
          <w:rFonts w:ascii="黑体" w:eastAsia="黑体"/>
          <w:bCs/>
          <w:highlight w:val="none"/>
        </w:rPr>
      </w:pPr>
      <w:bookmarkStart w:id="2114" w:name="_Toc434331461"/>
      <w:bookmarkStart w:id="2115" w:name="_Toc395689940"/>
      <w:bookmarkStart w:id="2116" w:name="_Toc434230771"/>
      <w:bookmarkStart w:id="2117" w:name="_Toc395691526"/>
      <w:bookmarkStart w:id="2118" w:name="_Toc17686"/>
      <w:bookmarkStart w:id="2119" w:name="_Toc395689453"/>
      <w:r>
        <w:rPr>
          <w:rFonts w:hint="eastAsia" w:ascii="黑体" w:eastAsia="黑体"/>
          <w:bCs/>
          <w:highlight w:val="none"/>
        </w:rPr>
        <w:t>七、承包人项目经理：</w:t>
      </w:r>
      <w:bookmarkEnd w:id="2114"/>
      <w:bookmarkEnd w:id="2115"/>
      <w:bookmarkEnd w:id="2116"/>
      <w:bookmarkEnd w:id="2117"/>
      <w:bookmarkEnd w:id="2118"/>
      <w:bookmarkEnd w:id="2119"/>
    </w:p>
    <w:p>
      <w:pPr>
        <w:spacing w:line="400" w:lineRule="exact"/>
        <w:ind w:firstLine="420" w:firstLineChars="200"/>
        <w:jc w:val="left"/>
        <w:rPr>
          <w:szCs w:val="21"/>
          <w:highlight w:val="none"/>
        </w:rPr>
      </w:pPr>
      <w:r>
        <w:rPr>
          <w:rFonts w:hint="eastAsia"/>
          <w:szCs w:val="21"/>
          <w:highlight w:val="none"/>
        </w:rPr>
        <w:t>姓名：</w:t>
      </w:r>
      <w:r>
        <w:rPr>
          <w:rFonts w:hint="eastAsia"/>
          <w:szCs w:val="21"/>
          <w:highlight w:val="none"/>
          <w:u w:val="single"/>
        </w:rPr>
        <w:t xml:space="preserve">                      </w:t>
      </w:r>
      <w:r>
        <w:rPr>
          <w:rFonts w:hint="eastAsia"/>
          <w:szCs w:val="21"/>
          <w:highlight w:val="none"/>
        </w:rPr>
        <w:t xml:space="preserve"> ；        职称：</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身份证号：</w:t>
      </w:r>
      <w:r>
        <w:rPr>
          <w:rFonts w:hint="eastAsia"/>
          <w:szCs w:val="21"/>
          <w:highlight w:val="none"/>
          <w:u w:val="single"/>
        </w:rPr>
        <w:t xml:space="preserve">                   </w:t>
      </w:r>
      <w:r>
        <w:rPr>
          <w:rFonts w:hint="eastAsia"/>
          <w:szCs w:val="21"/>
          <w:highlight w:val="none"/>
        </w:rPr>
        <w:t>；        建造师执业资格证书号：</w:t>
      </w:r>
      <w:r>
        <w:rPr>
          <w:rFonts w:hint="eastAsia"/>
          <w:szCs w:val="21"/>
          <w:highlight w:val="none"/>
          <w:u w:val="single"/>
        </w:rPr>
        <w:t xml:space="preserve">            </w:t>
      </w:r>
      <w:r>
        <w:rPr>
          <w:rFonts w:hint="eastAsia"/>
          <w:szCs w:val="21"/>
          <w:highlight w:val="none"/>
        </w:rPr>
        <w:t xml:space="preserve"> ；</w:t>
      </w:r>
    </w:p>
    <w:p>
      <w:pPr>
        <w:spacing w:line="400" w:lineRule="exact"/>
        <w:ind w:firstLine="420" w:firstLineChars="200"/>
        <w:jc w:val="left"/>
        <w:rPr>
          <w:szCs w:val="21"/>
          <w:highlight w:val="none"/>
        </w:rPr>
      </w:pPr>
      <w:r>
        <w:rPr>
          <w:rFonts w:hint="eastAsia"/>
          <w:szCs w:val="21"/>
          <w:highlight w:val="none"/>
        </w:rPr>
        <w:t>建造师注册证书号:</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建造师执业印章号:</w:t>
      </w:r>
      <w:r>
        <w:rPr>
          <w:rFonts w:hint="eastAsia"/>
          <w:szCs w:val="21"/>
          <w:highlight w:val="none"/>
          <w:u w:val="single"/>
        </w:rPr>
        <w:t xml:space="preserve">                                               </w:t>
      </w:r>
      <w:r>
        <w:rPr>
          <w:rFonts w:hint="eastAsia"/>
          <w:szCs w:val="21"/>
          <w:highlight w:val="none"/>
        </w:rPr>
        <w:t>。</w:t>
      </w:r>
    </w:p>
    <w:p>
      <w:pPr>
        <w:spacing w:line="400" w:lineRule="exact"/>
        <w:ind w:firstLine="420" w:firstLineChars="200"/>
        <w:jc w:val="left"/>
        <w:rPr>
          <w:szCs w:val="21"/>
          <w:highlight w:val="none"/>
        </w:rPr>
      </w:pPr>
      <w:r>
        <w:rPr>
          <w:rFonts w:hint="eastAsia"/>
          <w:szCs w:val="21"/>
          <w:highlight w:val="none"/>
        </w:rPr>
        <w:t>安全生产考核合格证书号：</w:t>
      </w:r>
      <w:r>
        <w:rPr>
          <w:rFonts w:hint="eastAsia"/>
          <w:szCs w:val="21"/>
          <w:highlight w:val="none"/>
          <w:u w:val="single"/>
        </w:rPr>
        <w:t xml:space="preserve">                                        </w:t>
      </w:r>
      <w:r>
        <w:rPr>
          <w:rFonts w:hint="eastAsia"/>
          <w:szCs w:val="21"/>
          <w:highlight w:val="none"/>
        </w:rPr>
        <w:t>。</w:t>
      </w:r>
    </w:p>
    <w:p>
      <w:pPr>
        <w:spacing w:line="400" w:lineRule="exact"/>
        <w:ind w:firstLine="514" w:firstLineChars="245"/>
        <w:outlineLvl w:val="0"/>
        <w:rPr>
          <w:rFonts w:ascii="黑体" w:eastAsia="黑体"/>
          <w:highlight w:val="none"/>
        </w:rPr>
      </w:pPr>
      <w:bookmarkStart w:id="2120" w:name="_Toc395691527"/>
      <w:bookmarkStart w:id="2121" w:name="_Toc395689941"/>
      <w:bookmarkStart w:id="2122" w:name="_Toc395689454"/>
      <w:bookmarkStart w:id="2123" w:name="_Toc24782"/>
      <w:bookmarkStart w:id="2124" w:name="_Toc434230772"/>
      <w:bookmarkStart w:id="2125" w:name="_Toc434331462"/>
      <w:r>
        <w:rPr>
          <w:rFonts w:hint="eastAsia" w:ascii="黑体" w:eastAsia="黑体"/>
          <w:highlight w:val="none"/>
        </w:rPr>
        <w:t>八、合同文件的组成</w:t>
      </w:r>
      <w:bookmarkEnd w:id="2120"/>
      <w:bookmarkEnd w:id="2121"/>
      <w:bookmarkEnd w:id="2122"/>
      <w:bookmarkEnd w:id="2123"/>
      <w:bookmarkEnd w:id="2124"/>
      <w:bookmarkEnd w:id="2125"/>
    </w:p>
    <w:p>
      <w:pPr>
        <w:spacing w:line="400" w:lineRule="exact"/>
        <w:ind w:firstLine="420" w:firstLineChars="200"/>
        <w:jc w:val="left"/>
        <w:rPr>
          <w:szCs w:val="21"/>
          <w:highlight w:val="none"/>
        </w:rPr>
      </w:pPr>
      <w:r>
        <w:rPr>
          <w:rFonts w:hint="eastAsia"/>
          <w:szCs w:val="21"/>
          <w:highlight w:val="none"/>
        </w:rPr>
        <w:t xml:space="preserve"> 下列文件共同构成合同文件：</w:t>
      </w:r>
    </w:p>
    <w:p>
      <w:pPr>
        <w:pStyle w:val="21"/>
        <w:spacing w:after="0" w:line="400" w:lineRule="exact"/>
        <w:ind w:firstLine="119" w:firstLineChars="57"/>
        <w:rPr>
          <w:highlight w:val="none"/>
        </w:rPr>
      </w:pPr>
      <w:r>
        <w:rPr>
          <w:rFonts w:hint="eastAsia"/>
          <w:highlight w:val="none"/>
        </w:rPr>
        <w:t>1、本协议书；</w:t>
      </w:r>
    </w:p>
    <w:p>
      <w:pPr>
        <w:pStyle w:val="21"/>
        <w:spacing w:after="0" w:line="400" w:lineRule="exact"/>
        <w:ind w:firstLine="119" w:firstLineChars="57"/>
        <w:rPr>
          <w:highlight w:val="none"/>
        </w:rPr>
      </w:pPr>
      <w:r>
        <w:rPr>
          <w:rFonts w:hint="eastAsia"/>
          <w:highlight w:val="none"/>
        </w:rPr>
        <w:t>2、中标通知书；</w:t>
      </w:r>
    </w:p>
    <w:p>
      <w:pPr>
        <w:pStyle w:val="21"/>
        <w:spacing w:after="0" w:line="400" w:lineRule="exact"/>
        <w:ind w:firstLine="119" w:firstLineChars="57"/>
        <w:rPr>
          <w:highlight w:val="none"/>
        </w:rPr>
      </w:pPr>
      <w:r>
        <w:rPr>
          <w:rFonts w:hint="eastAsia"/>
          <w:highlight w:val="none"/>
        </w:rPr>
        <w:t>3、</w:t>
      </w:r>
      <w:r>
        <w:rPr>
          <w:rFonts w:hint="eastAsia"/>
          <w:szCs w:val="21"/>
          <w:highlight w:val="none"/>
        </w:rPr>
        <w:t>投标函及投标函附录</w:t>
      </w:r>
      <w:r>
        <w:rPr>
          <w:rFonts w:hint="eastAsia"/>
          <w:highlight w:val="none"/>
        </w:rPr>
        <w:t>；</w:t>
      </w:r>
    </w:p>
    <w:p>
      <w:pPr>
        <w:pStyle w:val="21"/>
        <w:spacing w:after="0" w:line="400" w:lineRule="exact"/>
        <w:ind w:firstLine="119" w:firstLineChars="57"/>
        <w:rPr>
          <w:highlight w:val="none"/>
        </w:rPr>
      </w:pPr>
      <w:r>
        <w:rPr>
          <w:rFonts w:hint="eastAsia"/>
          <w:highlight w:val="none"/>
        </w:rPr>
        <w:t>4、专用合同条款；</w:t>
      </w:r>
    </w:p>
    <w:p>
      <w:pPr>
        <w:pStyle w:val="21"/>
        <w:spacing w:after="0" w:line="400" w:lineRule="exact"/>
        <w:ind w:firstLine="119" w:firstLineChars="57"/>
        <w:rPr>
          <w:highlight w:val="none"/>
        </w:rPr>
      </w:pPr>
      <w:r>
        <w:rPr>
          <w:rFonts w:hint="eastAsia"/>
          <w:highlight w:val="none"/>
        </w:rPr>
        <w:t>5、通用合同条款；</w:t>
      </w:r>
    </w:p>
    <w:p>
      <w:pPr>
        <w:pStyle w:val="21"/>
        <w:spacing w:after="0" w:line="400" w:lineRule="exact"/>
        <w:ind w:firstLine="119" w:firstLineChars="57"/>
        <w:rPr>
          <w:highlight w:val="none"/>
        </w:rPr>
      </w:pPr>
      <w:r>
        <w:rPr>
          <w:rFonts w:hint="eastAsia"/>
          <w:highlight w:val="none"/>
        </w:rPr>
        <w:t>6、</w:t>
      </w:r>
      <w:r>
        <w:rPr>
          <w:rFonts w:hint="eastAsia"/>
          <w:szCs w:val="21"/>
          <w:highlight w:val="none"/>
        </w:rPr>
        <w:t>技术标准和要求；</w:t>
      </w:r>
    </w:p>
    <w:p>
      <w:pPr>
        <w:pStyle w:val="21"/>
        <w:spacing w:after="0" w:line="400" w:lineRule="exact"/>
        <w:ind w:firstLine="119" w:firstLineChars="57"/>
        <w:rPr>
          <w:highlight w:val="none"/>
        </w:rPr>
      </w:pPr>
      <w:r>
        <w:rPr>
          <w:rFonts w:hint="eastAsia"/>
          <w:highlight w:val="none"/>
        </w:rPr>
        <w:t>7、图纸；</w:t>
      </w:r>
    </w:p>
    <w:p>
      <w:pPr>
        <w:pStyle w:val="21"/>
        <w:spacing w:after="0" w:line="400" w:lineRule="exact"/>
        <w:ind w:firstLine="119" w:firstLineChars="57"/>
        <w:rPr>
          <w:highlight w:val="none"/>
        </w:rPr>
      </w:pPr>
      <w:r>
        <w:rPr>
          <w:rFonts w:hint="eastAsia"/>
          <w:highlight w:val="none"/>
        </w:rPr>
        <w:t>8、已标价工程量清单；</w:t>
      </w:r>
    </w:p>
    <w:p>
      <w:pPr>
        <w:pStyle w:val="21"/>
        <w:spacing w:after="0" w:line="400" w:lineRule="exact"/>
        <w:ind w:firstLine="119" w:firstLineChars="57"/>
        <w:rPr>
          <w:highlight w:val="none"/>
        </w:rPr>
      </w:pPr>
      <w:r>
        <w:rPr>
          <w:rFonts w:hint="eastAsia"/>
          <w:highlight w:val="none"/>
        </w:rPr>
        <w:t>9、其他合同文件。</w:t>
      </w:r>
    </w:p>
    <w:p>
      <w:pPr>
        <w:spacing w:line="400" w:lineRule="exact"/>
        <w:ind w:firstLine="525" w:firstLineChars="250"/>
        <w:rPr>
          <w:szCs w:val="21"/>
          <w:highlight w:val="none"/>
        </w:rPr>
      </w:pPr>
      <w:r>
        <w:rPr>
          <w:szCs w:val="21"/>
          <w:highlight w:val="none"/>
        </w:rPr>
        <w:t>上述文件互相补充和解释，如有不明确或不一致之处，以合同约定次序在先者为准。</w:t>
      </w:r>
    </w:p>
    <w:p>
      <w:pPr>
        <w:spacing w:line="400" w:lineRule="exact"/>
        <w:ind w:firstLine="525" w:firstLineChars="250"/>
        <w:outlineLvl w:val="0"/>
        <w:rPr>
          <w:highlight w:val="none"/>
        </w:rPr>
      </w:pPr>
      <w:bookmarkStart w:id="2126" w:name="_Toc434331463"/>
      <w:bookmarkStart w:id="2127" w:name="_Toc395689942"/>
      <w:bookmarkStart w:id="2128" w:name="_Toc29339"/>
      <w:bookmarkStart w:id="2129" w:name="_Toc395691528"/>
      <w:bookmarkStart w:id="2130" w:name="_Toc434230773"/>
      <w:bookmarkStart w:id="2131" w:name="_Toc395689455"/>
      <w:r>
        <w:rPr>
          <w:rFonts w:hint="eastAsia"/>
          <w:highlight w:val="none"/>
        </w:rPr>
        <w:t>九、本协议书中有关词语定义与合同条款中的定义相同。</w:t>
      </w:r>
      <w:bookmarkEnd w:id="2126"/>
      <w:bookmarkEnd w:id="2127"/>
      <w:bookmarkEnd w:id="2128"/>
      <w:bookmarkEnd w:id="2129"/>
      <w:bookmarkEnd w:id="2130"/>
      <w:bookmarkEnd w:id="2131"/>
    </w:p>
    <w:p>
      <w:pPr>
        <w:spacing w:line="400" w:lineRule="exact"/>
        <w:ind w:firstLine="525" w:firstLineChars="250"/>
        <w:outlineLvl w:val="0"/>
        <w:rPr>
          <w:highlight w:val="none"/>
        </w:rPr>
      </w:pPr>
      <w:bookmarkStart w:id="2132" w:name="_Toc434230774"/>
      <w:bookmarkStart w:id="2133" w:name="_Toc395689943"/>
      <w:bookmarkStart w:id="2134" w:name="_Toc395689456"/>
      <w:bookmarkStart w:id="2135" w:name="_Toc8131"/>
      <w:bookmarkStart w:id="2136" w:name="_Toc434331464"/>
      <w:bookmarkStart w:id="2137" w:name="_Toc395691529"/>
      <w:r>
        <w:rPr>
          <w:rFonts w:hint="eastAsia"/>
          <w:highlight w:val="none"/>
        </w:rPr>
        <w:t>十、承包人承诺按照合同约定进行施工、竣工、交付并承担质量缺陷保修责任。</w:t>
      </w:r>
      <w:bookmarkEnd w:id="2132"/>
      <w:bookmarkEnd w:id="2133"/>
      <w:bookmarkEnd w:id="2134"/>
      <w:bookmarkEnd w:id="2135"/>
      <w:bookmarkEnd w:id="2136"/>
      <w:bookmarkEnd w:id="2137"/>
    </w:p>
    <w:p>
      <w:pPr>
        <w:spacing w:line="400" w:lineRule="exact"/>
        <w:ind w:firstLine="525" w:firstLineChars="250"/>
        <w:outlineLvl w:val="0"/>
        <w:rPr>
          <w:highlight w:val="none"/>
        </w:rPr>
      </w:pPr>
      <w:bookmarkStart w:id="2138" w:name="_Toc395691530"/>
      <w:bookmarkStart w:id="2139" w:name="_Toc395689944"/>
      <w:bookmarkStart w:id="2140" w:name="_Toc434331465"/>
      <w:bookmarkStart w:id="2141" w:name="_Toc434230775"/>
      <w:bookmarkStart w:id="2142" w:name="_Toc395689457"/>
      <w:bookmarkStart w:id="2143" w:name="_Toc31822"/>
      <w:r>
        <w:rPr>
          <w:rFonts w:hint="eastAsia"/>
          <w:highlight w:val="none"/>
        </w:rPr>
        <w:t>十一、发包人承诺按照合同约定的条件、期限和方式向承包人支付合同价款。</w:t>
      </w:r>
      <w:bookmarkEnd w:id="2138"/>
      <w:bookmarkEnd w:id="2139"/>
      <w:bookmarkEnd w:id="2140"/>
      <w:bookmarkEnd w:id="2141"/>
      <w:bookmarkEnd w:id="2142"/>
      <w:bookmarkEnd w:id="2143"/>
    </w:p>
    <w:p>
      <w:pPr>
        <w:spacing w:line="400" w:lineRule="exact"/>
        <w:ind w:firstLine="525" w:firstLineChars="250"/>
        <w:outlineLvl w:val="0"/>
        <w:rPr>
          <w:highlight w:val="none"/>
          <w:u w:val="single"/>
        </w:rPr>
      </w:pPr>
      <w:bookmarkStart w:id="2144" w:name="_Toc22421"/>
      <w:bookmarkStart w:id="2145" w:name="_Toc434230776"/>
      <w:bookmarkStart w:id="2146" w:name="_Toc395691531"/>
      <w:bookmarkStart w:id="2147" w:name="_Toc395689458"/>
      <w:bookmarkStart w:id="2148" w:name="_Toc434331466"/>
      <w:bookmarkStart w:id="2149" w:name="_Toc395689945"/>
      <w:r>
        <w:rPr>
          <w:rFonts w:hint="eastAsia"/>
          <w:highlight w:val="none"/>
        </w:rPr>
        <w:t>十二、本协议书连同其他合同文件正本一式两份，合同双方各执一份；副本一式</w:t>
      </w:r>
      <w:bookmarkEnd w:id="2144"/>
      <w:bookmarkEnd w:id="2145"/>
      <w:bookmarkEnd w:id="2146"/>
      <w:bookmarkEnd w:id="2147"/>
      <w:bookmarkEnd w:id="2148"/>
      <w:bookmarkEnd w:id="2149"/>
      <w:r>
        <w:rPr>
          <w:rFonts w:hint="eastAsia"/>
          <w:highlight w:val="none"/>
          <w:u w:val="single"/>
        </w:rPr>
        <w:t xml:space="preserve">    </w:t>
      </w:r>
    </w:p>
    <w:p>
      <w:pPr>
        <w:spacing w:line="400" w:lineRule="exact"/>
        <w:rPr>
          <w:highlight w:val="none"/>
        </w:rPr>
      </w:pPr>
      <w:r>
        <w:rPr>
          <w:rFonts w:hint="eastAsia"/>
          <w:highlight w:val="none"/>
        </w:rPr>
        <w:t>份，其中一份在合同报送建设行政主管部门备案时留存。</w:t>
      </w:r>
    </w:p>
    <w:p>
      <w:pPr>
        <w:spacing w:line="400" w:lineRule="exact"/>
        <w:ind w:firstLine="525" w:firstLineChars="250"/>
        <w:outlineLvl w:val="0"/>
        <w:rPr>
          <w:highlight w:val="none"/>
        </w:rPr>
      </w:pPr>
      <w:bookmarkStart w:id="2150" w:name="_Toc395691532"/>
      <w:bookmarkStart w:id="2151" w:name="_Toc395689946"/>
      <w:bookmarkStart w:id="2152" w:name="_Toc434331467"/>
      <w:bookmarkStart w:id="2153" w:name="_Toc434230777"/>
      <w:bookmarkStart w:id="2154" w:name="_Toc395689459"/>
      <w:bookmarkStart w:id="2155" w:name="_Toc23607"/>
      <w:r>
        <w:rPr>
          <w:rFonts w:hint="eastAsia"/>
          <w:highlight w:val="none"/>
        </w:rPr>
        <w:t>十三、</w:t>
      </w:r>
      <w:r>
        <w:rPr>
          <w:highlight w:val="none"/>
        </w:rPr>
        <w:t>合同未尽事宜，双方另行签订补充协议</w:t>
      </w:r>
      <w:r>
        <w:rPr>
          <w:rFonts w:hint="eastAsia"/>
          <w:highlight w:val="none"/>
        </w:rPr>
        <w:t>，但不得背离本协议第八条所约定的合同文件的实质性内容</w:t>
      </w:r>
      <w:r>
        <w:rPr>
          <w:highlight w:val="none"/>
        </w:rPr>
        <w:t>。补充协议是合同</w:t>
      </w:r>
      <w:r>
        <w:rPr>
          <w:rFonts w:hint="eastAsia"/>
          <w:highlight w:val="none"/>
        </w:rPr>
        <w:t>文件</w:t>
      </w:r>
      <w:r>
        <w:rPr>
          <w:highlight w:val="none"/>
        </w:rPr>
        <w:t>的组成部分。</w:t>
      </w:r>
      <w:bookmarkEnd w:id="2150"/>
      <w:bookmarkEnd w:id="2151"/>
      <w:bookmarkEnd w:id="2152"/>
      <w:bookmarkEnd w:id="2153"/>
      <w:bookmarkEnd w:id="2154"/>
      <w:bookmarkEnd w:id="2155"/>
    </w:p>
    <w:p>
      <w:pPr>
        <w:spacing w:line="400" w:lineRule="exact"/>
        <w:ind w:firstLine="359" w:firstLineChars="171"/>
        <w:rPr>
          <w:szCs w:val="21"/>
          <w:highlight w:val="none"/>
          <w:u w:val="single"/>
        </w:rPr>
      </w:pPr>
    </w:p>
    <w:p>
      <w:pPr>
        <w:spacing w:before="312" w:beforeLines="100" w:after="312" w:afterLines="100" w:line="400" w:lineRule="exact"/>
        <w:rPr>
          <w:b/>
          <w:bCs/>
          <w:szCs w:val="21"/>
          <w:highlight w:val="none"/>
        </w:rPr>
      </w:pPr>
    </w:p>
    <w:p>
      <w:pPr>
        <w:spacing w:before="312" w:beforeLines="100" w:after="312" w:afterLines="100" w:line="400" w:lineRule="exact"/>
        <w:rPr>
          <w:b/>
          <w:bCs/>
          <w:szCs w:val="21"/>
          <w:highlight w:val="none"/>
        </w:rPr>
      </w:pPr>
    </w:p>
    <w:p>
      <w:pPr>
        <w:spacing w:before="312" w:beforeLines="100" w:after="312" w:afterLines="100" w:line="400" w:lineRule="exact"/>
        <w:rPr>
          <w:b/>
          <w:bCs/>
          <w:szCs w:val="21"/>
          <w:highlight w:val="none"/>
        </w:rPr>
      </w:pPr>
    </w:p>
    <w:p>
      <w:pPr>
        <w:spacing w:before="312" w:beforeLines="100" w:after="312" w:afterLines="100" w:line="400" w:lineRule="exact"/>
        <w:rPr>
          <w:szCs w:val="21"/>
          <w:highlight w:val="none"/>
        </w:rPr>
      </w:pPr>
      <w:r>
        <w:rPr>
          <w:b/>
          <w:bCs/>
          <w:szCs w:val="21"/>
          <w:highlight w:val="none"/>
        </w:rPr>
        <w:t>发包人：</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（盖单位章）</w:t>
      </w:r>
      <w:r>
        <w:rPr>
          <w:rFonts w:hint="eastAsia" w:eastAsia="黑体"/>
          <w:b/>
          <w:bCs/>
          <w:szCs w:val="21"/>
          <w:highlight w:val="none"/>
        </w:rPr>
        <w:t xml:space="preserve"> </w:t>
      </w:r>
      <w:r>
        <w:rPr>
          <w:b/>
          <w:bCs/>
          <w:szCs w:val="21"/>
          <w:highlight w:val="none"/>
        </w:rPr>
        <w:t>承包人：</w:t>
      </w:r>
      <w:r>
        <w:rPr>
          <w:szCs w:val="21"/>
          <w:highlight w:val="none"/>
          <w:u w:val="single"/>
        </w:rPr>
        <w:t xml:space="preserve">  </w:t>
      </w:r>
      <w:r>
        <w:rPr>
          <w:rFonts w:hint="eastAsia"/>
          <w:szCs w:val="21"/>
          <w:highlight w:val="none"/>
          <w:u w:val="single"/>
        </w:rPr>
        <w:t xml:space="preserve">                 </w:t>
      </w:r>
      <w:r>
        <w:rPr>
          <w:szCs w:val="21"/>
          <w:highlight w:val="none"/>
        </w:rPr>
        <w:t>（盖单位章）</w:t>
      </w:r>
    </w:p>
    <w:p>
      <w:pPr>
        <w:spacing w:before="312" w:beforeLines="100" w:after="312" w:afterLines="100" w:line="400" w:lineRule="exact"/>
        <w:rPr>
          <w:szCs w:val="21"/>
          <w:highlight w:val="none"/>
        </w:rPr>
      </w:pPr>
    </w:p>
    <w:p>
      <w:pPr>
        <w:spacing w:line="240" w:lineRule="exact"/>
        <w:rPr>
          <w:szCs w:val="21"/>
          <w:highlight w:val="none"/>
        </w:rPr>
      </w:pPr>
      <w:r>
        <w:rPr>
          <w:b/>
          <w:bCs/>
          <w:szCs w:val="21"/>
          <w:highlight w:val="none"/>
        </w:rPr>
        <w:t>法定代表人或其</w:t>
      </w:r>
      <w:r>
        <w:rPr>
          <w:rFonts w:hint="eastAsia"/>
          <w:szCs w:val="21"/>
          <w:highlight w:val="none"/>
        </w:rPr>
        <w:t xml:space="preserve">                           </w:t>
      </w:r>
      <w:r>
        <w:rPr>
          <w:b/>
          <w:bCs/>
          <w:szCs w:val="21"/>
          <w:highlight w:val="none"/>
        </w:rPr>
        <w:t>法定代表人或其</w:t>
      </w:r>
    </w:p>
    <w:p>
      <w:pPr>
        <w:spacing w:line="240" w:lineRule="exact"/>
        <w:rPr>
          <w:szCs w:val="21"/>
          <w:highlight w:val="none"/>
        </w:rPr>
      </w:pPr>
      <w:r>
        <w:rPr>
          <w:b/>
          <w:bCs/>
          <w:szCs w:val="21"/>
          <w:highlight w:val="none"/>
        </w:rPr>
        <w:t>委托代理人：</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（签字）</w:t>
      </w:r>
      <w:r>
        <w:rPr>
          <w:rFonts w:hint="eastAsia"/>
          <w:szCs w:val="21"/>
          <w:highlight w:val="none"/>
        </w:rPr>
        <w:t xml:space="preserve"> </w:t>
      </w:r>
      <w:r>
        <w:rPr>
          <w:rFonts w:hint="eastAsia"/>
          <w:b/>
          <w:bCs/>
          <w:szCs w:val="21"/>
          <w:highlight w:val="none"/>
        </w:rPr>
        <w:t xml:space="preserve"> </w:t>
      </w:r>
      <w:r>
        <w:rPr>
          <w:b/>
          <w:bCs/>
          <w:szCs w:val="21"/>
          <w:highlight w:val="none"/>
        </w:rPr>
        <w:t>委托代理人：</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（签字）</w:t>
      </w:r>
    </w:p>
    <w:p>
      <w:pPr>
        <w:spacing w:before="312" w:beforeLines="100" w:after="312" w:afterLines="100" w:line="400" w:lineRule="exact"/>
        <w:rPr>
          <w:szCs w:val="21"/>
          <w:highlight w:val="none"/>
          <w:u w:val="single"/>
        </w:rPr>
      </w:pPr>
    </w:p>
    <w:p>
      <w:pPr>
        <w:spacing w:before="312" w:beforeLines="100" w:after="312" w:afterLines="100" w:line="400" w:lineRule="exact"/>
        <w:ind w:firstLine="525" w:firstLineChars="250"/>
        <w:rPr>
          <w:szCs w:val="21"/>
          <w:highlight w:val="none"/>
        </w:rPr>
      </w:pP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年</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 xml:space="preserve">月 </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 xml:space="preserve"> 日</w:t>
      </w:r>
      <w:r>
        <w:rPr>
          <w:rFonts w:hint="eastAsia"/>
          <w:szCs w:val="21"/>
          <w:highlight w:val="none"/>
        </w:rPr>
        <w:t xml:space="preserve">       </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年</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 xml:space="preserve">月 </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日</w:t>
      </w:r>
      <w:bookmarkStart w:id="2156" w:name="_Toc144974831"/>
    </w:p>
    <w:p>
      <w:pPr>
        <w:spacing w:before="312" w:beforeLines="100" w:after="312" w:afterLines="100" w:line="400" w:lineRule="exact"/>
        <w:rPr>
          <w:szCs w:val="21"/>
          <w:highlight w:val="none"/>
        </w:rPr>
      </w:pPr>
    </w:p>
    <w:p>
      <w:pPr>
        <w:spacing w:before="312" w:beforeLines="100" w:after="312" w:afterLines="100" w:line="400" w:lineRule="exact"/>
        <w:rPr>
          <w:b/>
          <w:szCs w:val="21"/>
          <w:highlight w:val="none"/>
        </w:rPr>
      </w:pPr>
      <w:r>
        <w:rPr>
          <w:rFonts w:hint="eastAsia"/>
          <w:b/>
          <w:szCs w:val="21"/>
          <w:highlight w:val="none"/>
        </w:rPr>
        <w:t>签约地点：</w:t>
      </w:r>
      <w:r>
        <w:rPr>
          <w:rFonts w:hint="eastAsia"/>
          <w:szCs w:val="21"/>
          <w:highlight w:val="none"/>
          <w:u w:val="single"/>
        </w:rPr>
        <w:t xml:space="preserve">                                                                    </w:t>
      </w:r>
    </w:p>
    <w:p>
      <w:pPr>
        <w:pStyle w:val="199"/>
        <w:rPr>
          <w:highlight w:val="none"/>
        </w:rPr>
      </w:pPr>
      <w:r>
        <w:rPr>
          <w:szCs w:val="21"/>
          <w:highlight w:val="none"/>
        </w:rPr>
        <w:br w:type="page"/>
      </w:r>
      <w:bookmarkStart w:id="2157" w:name="_Toc434331468"/>
      <w:bookmarkStart w:id="2158" w:name="_Toc3936"/>
      <w:bookmarkStart w:id="2159" w:name="_Toc342296511"/>
      <w:bookmarkStart w:id="2160" w:name="_Toc241459752"/>
      <w:r>
        <w:rPr>
          <w:rFonts w:hint="eastAsia"/>
          <w:highlight w:val="none"/>
        </w:rPr>
        <w:t>附件二：承包人提供的材料和工程设备一览表</w:t>
      </w:r>
      <w:bookmarkEnd w:id="2157"/>
      <w:bookmarkEnd w:id="2158"/>
      <w:bookmarkEnd w:id="2159"/>
      <w:bookmarkEnd w:id="2160"/>
    </w:p>
    <w:p>
      <w:pPr>
        <w:rPr>
          <w:highlight w:val="none"/>
        </w:rPr>
      </w:pP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0"/>
        <w:gridCol w:w="1155"/>
        <w:gridCol w:w="1050"/>
        <w:gridCol w:w="630"/>
        <w:gridCol w:w="525"/>
        <w:gridCol w:w="735"/>
        <w:gridCol w:w="840"/>
        <w:gridCol w:w="840"/>
        <w:gridCol w:w="735"/>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480" w:type="dxa"/>
            <w:vAlign w:val="center"/>
          </w:tcPr>
          <w:p>
            <w:pPr>
              <w:jc w:val="center"/>
              <w:rPr>
                <w:highlight w:val="none"/>
              </w:rPr>
            </w:pPr>
            <w:r>
              <w:rPr>
                <w:rFonts w:hint="eastAsia"/>
                <w:highlight w:val="none"/>
              </w:rPr>
              <w:t>序</w:t>
            </w:r>
          </w:p>
          <w:p>
            <w:pPr>
              <w:jc w:val="center"/>
              <w:rPr>
                <w:highlight w:val="none"/>
              </w:rPr>
            </w:pPr>
            <w:r>
              <w:rPr>
                <w:rFonts w:hint="eastAsia"/>
                <w:highlight w:val="none"/>
              </w:rPr>
              <w:t>号</w:t>
            </w:r>
          </w:p>
        </w:tc>
        <w:tc>
          <w:tcPr>
            <w:tcW w:w="1155" w:type="dxa"/>
            <w:vAlign w:val="center"/>
          </w:tcPr>
          <w:p>
            <w:pPr>
              <w:jc w:val="center"/>
              <w:rPr>
                <w:highlight w:val="none"/>
              </w:rPr>
            </w:pPr>
            <w:r>
              <w:rPr>
                <w:rFonts w:hint="eastAsia"/>
                <w:highlight w:val="none"/>
              </w:rPr>
              <w:t>材料设备</w:t>
            </w:r>
          </w:p>
          <w:p>
            <w:pPr>
              <w:jc w:val="center"/>
              <w:rPr>
                <w:highlight w:val="none"/>
              </w:rPr>
            </w:pPr>
            <w:r>
              <w:rPr>
                <w:rFonts w:hint="eastAsia"/>
                <w:highlight w:val="none"/>
              </w:rPr>
              <w:t>名    称</w:t>
            </w:r>
          </w:p>
        </w:tc>
        <w:tc>
          <w:tcPr>
            <w:tcW w:w="1050" w:type="dxa"/>
            <w:vAlign w:val="center"/>
          </w:tcPr>
          <w:p>
            <w:pPr>
              <w:jc w:val="center"/>
              <w:rPr>
                <w:highlight w:val="none"/>
              </w:rPr>
            </w:pPr>
            <w:r>
              <w:rPr>
                <w:rFonts w:hint="eastAsia"/>
                <w:highlight w:val="none"/>
              </w:rPr>
              <w:t>规格</w:t>
            </w:r>
          </w:p>
          <w:p>
            <w:pPr>
              <w:jc w:val="center"/>
              <w:rPr>
                <w:highlight w:val="none"/>
              </w:rPr>
            </w:pPr>
            <w:r>
              <w:rPr>
                <w:rFonts w:hint="eastAsia"/>
                <w:highlight w:val="none"/>
              </w:rPr>
              <w:t>型号</w:t>
            </w:r>
          </w:p>
        </w:tc>
        <w:tc>
          <w:tcPr>
            <w:tcW w:w="630" w:type="dxa"/>
            <w:vAlign w:val="center"/>
          </w:tcPr>
          <w:p>
            <w:pPr>
              <w:jc w:val="center"/>
              <w:rPr>
                <w:highlight w:val="none"/>
              </w:rPr>
            </w:pPr>
            <w:r>
              <w:rPr>
                <w:rFonts w:hint="eastAsia"/>
                <w:highlight w:val="none"/>
              </w:rPr>
              <w:t>单</w:t>
            </w:r>
          </w:p>
          <w:p>
            <w:pPr>
              <w:jc w:val="center"/>
              <w:rPr>
                <w:highlight w:val="none"/>
              </w:rPr>
            </w:pPr>
            <w:r>
              <w:rPr>
                <w:rFonts w:hint="eastAsia"/>
                <w:highlight w:val="none"/>
              </w:rPr>
              <w:t>位</w:t>
            </w:r>
          </w:p>
        </w:tc>
        <w:tc>
          <w:tcPr>
            <w:tcW w:w="525" w:type="dxa"/>
            <w:vAlign w:val="center"/>
          </w:tcPr>
          <w:p>
            <w:pPr>
              <w:jc w:val="center"/>
              <w:rPr>
                <w:highlight w:val="none"/>
              </w:rPr>
            </w:pPr>
            <w:r>
              <w:rPr>
                <w:rFonts w:hint="eastAsia"/>
                <w:highlight w:val="none"/>
              </w:rPr>
              <w:t>数</w:t>
            </w:r>
          </w:p>
          <w:p>
            <w:pPr>
              <w:jc w:val="center"/>
              <w:rPr>
                <w:highlight w:val="none"/>
              </w:rPr>
            </w:pPr>
            <w:r>
              <w:rPr>
                <w:rFonts w:hint="eastAsia"/>
                <w:highlight w:val="none"/>
              </w:rPr>
              <w:t>量</w:t>
            </w:r>
          </w:p>
        </w:tc>
        <w:tc>
          <w:tcPr>
            <w:tcW w:w="735" w:type="dxa"/>
            <w:vAlign w:val="center"/>
          </w:tcPr>
          <w:p>
            <w:pPr>
              <w:jc w:val="center"/>
              <w:rPr>
                <w:highlight w:val="none"/>
              </w:rPr>
            </w:pPr>
            <w:r>
              <w:rPr>
                <w:rFonts w:hint="eastAsia"/>
                <w:highlight w:val="none"/>
              </w:rPr>
              <w:t>单</w:t>
            </w:r>
          </w:p>
          <w:p>
            <w:pPr>
              <w:jc w:val="center"/>
              <w:rPr>
                <w:highlight w:val="none"/>
              </w:rPr>
            </w:pPr>
            <w:r>
              <w:rPr>
                <w:rFonts w:hint="eastAsia"/>
                <w:highlight w:val="none"/>
              </w:rPr>
              <w:t>价</w:t>
            </w:r>
          </w:p>
        </w:tc>
        <w:tc>
          <w:tcPr>
            <w:tcW w:w="840" w:type="dxa"/>
            <w:vAlign w:val="center"/>
          </w:tcPr>
          <w:p>
            <w:pPr>
              <w:jc w:val="center"/>
              <w:rPr>
                <w:highlight w:val="none"/>
              </w:rPr>
            </w:pPr>
            <w:r>
              <w:rPr>
                <w:rFonts w:hint="eastAsia"/>
                <w:highlight w:val="none"/>
              </w:rPr>
              <w:t>交货</w:t>
            </w:r>
          </w:p>
          <w:p>
            <w:pPr>
              <w:jc w:val="center"/>
              <w:rPr>
                <w:highlight w:val="none"/>
              </w:rPr>
            </w:pPr>
            <w:r>
              <w:rPr>
                <w:rFonts w:hint="eastAsia"/>
                <w:highlight w:val="none"/>
              </w:rPr>
              <w:t>方式</w:t>
            </w:r>
          </w:p>
        </w:tc>
        <w:tc>
          <w:tcPr>
            <w:tcW w:w="840" w:type="dxa"/>
            <w:vAlign w:val="center"/>
          </w:tcPr>
          <w:p>
            <w:pPr>
              <w:jc w:val="center"/>
              <w:rPr>
                <w:highlight w:val="none"/>
              </w:rPr>
            </w:pPr>
            <w:r>
              <w:rPr>
                <w:rFonts w:hint="eastAsia"/>
                <w:highlight w:val="none"/>
              </w:rPr>
              <w:t>交货</w:t>
            </w:r>
          </w:p>
          <w:p>
            <w:pPr>
              <w:jc w:val="center"/>
              <w:rPr>
                <w:highlight w:val="none"/>
              </w:rPr>
            </w:pPr>
            <w:r>
              <w:rPr>
                <w:rFonts w:hint="eastAsia"/>
                <w:highlight w:val="none"/>
              </w:rPr>
              <w:t>地点</w:t>
            </w:r>
          </w:p>
        </w:tc>
        <w:tc>
          <w:tcPr>
            <w:tcW w:w="735" w:type="dxa"/>
            <w:vAlign w:val="center"/>
          </w:tcPr>
          <w:p>
            <w:pPr>
              <w:jc w:val="center"/>
              <w:rPr>
                <w:highlight w:val="none"/>
              </w:rPr>
            </w:pPr>
            <w:r>
              <w:rPr>
                <w:rFonts w:hint="eastAsia"/>
                <w:highlight w:val="none"/>
              </w:rPr>
              <w:t>计划交货</w:t>
            </w:r>
          </w:p>
          <w:p>
            <w:pPr>
              <w:jc w:val="center"/>
              <w:rPr>
                <w:highlight w:val="none"/>
              </w:rPr>
            </w:pPr>
            <w:r>
              <w:rPr>
                <w:rFonts w:hint="eastAsia"/>
                <w:highlight w:val="none"/>
              </w:rPr>
              <w:t>时间</w:t>
            </w:r>
          </w:p>
        </w:tc>
        <w:tc>
          <w:tcPr>
            <w:tcW w:w="945" w:type="dxa"/>
            <w:vAlign w:val="center"/>
          </w:tcPr>
          <w:p>
            <w:pPr>
              <w:jc w:val="center"/>
              <w:rPr>
                <w:highlight w:val="none"/>
              </w:rPr>
            </w:pPr>
            <w:r>
              <w:rPr>
                <w:rFonts w:hint="eastAsia"/>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bl>
    <w:p>
      <w:pPr>
        <w:pStyle w:val="199"/>
        <w:rPr>
          <w:rFonts w:ascii="宋体" w:hAnsi="宋体"/>
          <w:bCs/>
          <w:sz w:val="28"/>
          <w:highlight w:val="none"/>
        </w:rPr>
      </w:pPr>
      <w:r>
        <w:rPr>
          <w:rFonts w:cs="Arial"/>
          <w:highlight w:val="none"/>
        </w:rPr>
        <w:br w:type="page"/>
      </w:r>
      <w:bookmarkStart w:id="2161" w:name="_Toc241459753"/>
      <w:bookmarkStart w:id="2162" w:name="_Toc342296512"/>
      <w:bookmarkStart w:id="2163" w:name="_Toc111445452"/>
      <w:bookmarkStart w:id="2164" w:name="_Toc434331469"/>
      <w:bookmarkStart w:id="2165" w:name="_Toc25965"/>
      <w:r>
        <w:rPr>
          <w:rFonts w:hint="eastAsia"/>
          <w:highlight w:val="none"/>
        </w:rPr>
        <w:t>附件三：发包人提供的材料和工程设备一览表</w:t>
      </w:r>
      <w:bookmarkEnd w:id="2161"/>
      <w:bookmarkEnd w:id="2162"/>
      <w:bookmarkEnd w:id="2163"/>
      <w:bookmarkEnd w:id="2164"/>
      <w:bookmarkEnd w:id="2165"/>
    </w:p>
    <w:p>
      <w:pPr>
        <w:rPr>
          <w:highlight w:val="none"/>
        </w:rPr>
      </w:pP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0"/>
        <w:gridCol w:w="1155"/>
        <w:gridCol w:w="1050"/>
        <w:gridCol w:w="630"/>
        <w:gridCol w:w="525"/>
        <w:gridCol w:w="735"/>
        <w:gridCol w:w="840"/>
        <w:gridCol w:w="840"/>
        <w:gridCol w:w="735"/>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480" w:type="dxa"/>
            <w:vAlign w:val="center"/>
          </w:tcPr>
          <w:p>
            <w:pPr>
              <w:jc w:val="center"/>
              <w:rPr>
                <w:highlight w:val="none"/>
              </w:rPr>
            </w:pPr>
            <w:r>
              <w:rPr>
                <w:rFonts w:hint="eastAsia"/>
                <w:highlight w:val="none"/>
              </w:rPr>
              <w:t>序</w:t>
            </w:r>
          </w:p>
          <w:p>
            <w:pPr>
              <w:jc w:val="center"/>
              <w:rPr>
                <w:highlight w:val="none"/>
              </w:rPr>
            </w:pPr>
            <w:r>
              <w:rPr>
                <w:rFonts w:hint="eastAsia"/>
                <w:highlight w:val="none"/>
              </w:rPr>
              <w:t>号</w:t>
            </w:r>
          </w:p>
        </w:tc>
        <w:tc>
          <w:tcPr>
            <w:tcW w:w="1155" w:type="dxa"/>
            <w:vAlign w:val="center"/>
          </w:tcPr>
          <w:p>
            <w:pPr>
              <w:jc w:val="center"/>
              <w:rPr>
                <w:highlight w:val="none"/>
              </w:rPr>
            </w:pPr>
            <w:r>
              <w:rPr>
                <w:rFonts w:hint="eastAsia"/>
                <w:highlight w:val="none"/>
              </w:rPr>
              <w:t>材料设备</w:t>
            </w:r>
          </w:p>
          <w:p>
            <w:pPr>
              <w:jc w:val="center"/>
              <w:rPr>
                <w:highlight w:val="none"/>
              </w:rPr>
            </w:pPr>
            <w:r>
              <w:rPr>
                <w:rFonts w:hint="eastAsia"/>
                <w:highlight w:val="none"/>
              </w:rPr>
              <w:t>名    称</w:t>
            </w:r>
          </w:p>
        </w:tc>
        <w:tc>
          <w:tcPr>
            <w:tcW w:w="1050" w:type="dxa"/>
            <w:vAlign w:val="center"/>
          </w:tcPr>
          <w:p>
            <w:pPr>
              <w:jc w:val="center"/>
              <w:rPr>
                <w:highlight w:val="none"/>
              </w:rPr>
            </w:pPr>
            <w:r>
              <w:rPr>
                <w:rFonts w:hint="eastAsia"/>
                <w:highlight w:val="none"/>
              </w:rPr>
              <w:t>规格</w:t>
            </w:r>
          </w:p>
          <w:p>
            <w:pPr>
              <w:jc w:val="center"/>
              <w:rPr>
                <w:highlight w:val="none"/>
              </w:rPr>
            </w:pPr>
            <w:r>
              <w:rPr>
                <w:rFonts w:hint="eastAsia"/>
                <w:highlight w:val="none"/>
              </w:rPr>
              <w:t>型号</w:t>
            </w:r>
          </w:p>
        </w:tc>
        <w:tc>
          <w:tcPr>
            <w:tcW w:w="630" w:type="dxa"/>
            <w:vAlign w:val="center"/>
          </w:tcPr>
          <w:p>
            <w:pPr>
              <w:jc w:val="center"/>
              <w:rPr>
                <w:highlight w:val="none"/>
              </w:rPr>
            </w:pPr>
            <w:r>
              <w:rPr>
                <w:rFonts w:hint="eastAsia"/>
                <w:highlight w:val="none"/>
              </w:rPr>
              <w:t>单</w:t>
            </w:r>
          </w:p>
          <w:p>
            <w:pPr>
              <w:jc w:val="center"/>
              <w:rPr>
                <w:highlight w:val="none"/>
              </w:rPr>
            </w:pPr>
            <w:r>
              <w:rPr>
                <w:rFonts w:hint="eastAsia"/>
                <w:highlight w:val="none"/>
              </w:rPr>
              <w:t>位</w:t>
            </w:r>
          </w:p>
        </w:tc>
        <w:tc>
          <w:tcPr>
            <w:tcW w:w="525" w:type="dxa"/>
            <w:vAlign w:val="center"/>
          </w:tcPr>
          <w:p>
            <w:pPr>
              <w:jc w:val="center"/>
              <w:rPr>
                <w:highlight w:val="none"/>
              </w:rPr>
            </w:pPr>
            <w:r>
              <w:rPr>
                <w:rFonts w:hint="eastAsia"/>
                <w:highlight w:val="none"/>
              </w:rPr>
              <w:t>数</w:t>
            </w:r>
          </w:p>
          <w:p>
            <w:pPr>
              <w:jc w:val="center"/>
              <w:rPr>
                <w:highlight w:val="none"/>
              </w:rPr>
            </w:pPr>
            <w:r>
              <w:rPr>
                <w:rFonts w:hint="eastAsia"/>
                <w:highlight w:val="none"/>
              </w:rPr>
              <w:t>量</w:t>
            </w:r>
          </w:p>
        </w:tc>
        <w:tc>
          <w:tcPr>
            <w:tcW w:w="735" w:type="dxa"/>
            <w:vAlign w:val="center"/>
          </w:tcPr>
          <w:p>
            <w:pPr>
              <w:jc w:val="center"/>
              <w:rPr>
                <w:highlight w:val="none"/>
              </w:rPr>
            </w:pPr>
            <w:r>
              <w:rPr>
                <w:rFonts w:hint="eastAsia"/>
                <w:highlight w:val="none"/>
              </w:rPr>
              <w:t>单</w:t>
            </w:r>
          </w:p>
          <w:p>
            <w:pPr>
              <w:jc w:val="center"/>
              <w:rPr>
                <w:highlight w:val="none"/>
              </w:rPr>
            </w:pPr>
            <w:r>
              <w:rPr>
                <w:rFonts w:hint="eastAsia"/>
                <w:highlight w:val="none"/>
              </w:rPr>
              <w:t>价</w:t>
            </w:r>
          </w:p>
        </w:tc>
        <w:tc>
          <w:tcPr>
            <w:tcW w:w="840" w:type="dxa"/>
            <w:vAlign w:val="center"/>
          </w:tcPr>
          <w:p>
            <w:pPr>
              <w:jc w:val="center"/>
              <w:rPr>
                <w:highlight w:val="none"/>
              </w:rPr>
            </w:pPr>
            <w:r>
              <w:rPr>
                <w:rFonts w:hint="eastAsia"/>
                <w:highlight w:val="none"/>
              </w:rPr>
              <w:t>交货</w:t>
            </w:r>
          </w:p>
          <w:p>
            <w:pPr>
              <w:jc w:val="center"/>
              <w:rPr>
                <w:highlight w:val="none"/>
              </w:rPr>
            </w:pPr>
            <w:r>
              <w:rPr>
                <w:rFonts w:hint="eastAsia"/>
                <w:highlight w:val="none"/>
              </w:rPr>
              <w:t>方式</w:t>
            </w:r>
          </w:p>
        </w:tc>
        <w:tc>
          <w:tcPr>
            <w:tcW w:w="840" w:type="dxa"/>
            <w:vAlign w:val="center"/>
          </w:tcPr>
          <w:p>
            <w:pPr>
              <w:jc w:val="center"/>
              <w:rPr>
                <w:highlight w:val="none"/>
              </w:rPr>
            </w:pPr>
            <w:r>
              <w:rPr>
                <w:rFonts w:hint="eastAsia"/>
                <w:highlight w:val="none"/>
              </w:rPr>
              <w:t>交货</w:t>
            </w:r>
          </w:p>
          <w:p>
            <w:pPr>
              <w:jc w:val="center"/>
              <w:rPr>
                <w:highlight w:val="none"/>
              </w:rPr>
            </w:pPr>
            <w:r>
              <w:rPr>
                <w:rFonts w:hint="eastAsia"/>
                <w:highlight w:val="none"/>
              </w:rPr>
              <w:t>地点</w:t>
            </w:r>
          </w:p>
        </w:tc>
        <w:tc>
          <w:tcPr>
            <w:tcW w:w="735" w:type="dxa"/>
            <w:vAlign w:val="center"/>
          </w:tcPr>
          <w:p>
            <w:pPr>
              <w:jc w:val="center"/>
              <w:rPr>
                <w:highlight w:val="none"/>
              </w:rPr>
            </w:pPr>
            <w:r>
              <w:rPr>
                <w:rFonts w:hint="eastAsia"/>
                <w:highlight w:val="none"/>
              </w:rPr>
              <w:t>计划交货</w:t>
            </w:r>
          </w:p>
          <w:p>
            <w:pPr>
              <w:jc w:val="center"/>
              <w:rPr>
                <w:highlight w:val="none"/>
              </w:rPr>
            </w:pPr>
            <w:r>
              <w:rPr>
                <w:rFonts w:hint="eastAsia"/>
                <w:highlight w:val="none"/>
              </w:rPr>
              <w:t>时间</w:t>
            </w:r>
          </w:p>
        </w:tc>
        <w:tc>
          <w:tcPr>
            <w:tcW w:w="945" w:type="dxa"/>
            <w:vAlign w:val="center"/>
          </w:tcPr>
          <w:p>
            <w:pPr>
              <w:jc w:val="center"/>
              <w:rPr>
                <w:highlight w:val="none"/>
              </w:rPr>
            </w:pPr>
            <w:r>
              <w:rPr>
                <w:rFonts w:hint="eastAsia"/>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0" w:type="dxa"/>
          </w:tcPr>
          <w:p>
            <w:pPr>
              <w:jc w:val="center"/>
              <w:rPr>
                <w:sz w:val="28"/>
                <w:szCs w:val="28"/>
                <w:highlight w:val="none"/>
              </w:rPr>
            </w:pPr>
          </w:p>
        </w:tc>
        <w:tc>
          <w:tcPr>
            <w:tcW w:w="1155" w:type="dxa"/>
          </w:tcPr>
          <w:p>
            <w:pPr>
              <w:jc w:val="center"/>
              <w:rPr>
                <w:sz w:val="28"/>
                <w:szCs w:val="28"/>
                <w:highlight w:val="none"/>
              </w:rPr>
            </w:pPr>
          </w:p>
        </w:tc>
        <w:tc>
          <w:tcPr>
            <w:tcW w:w="1050" w:type="dxa"/>
          </w:tcPr>
          <w:p>
            <w:pPr>
              <w:jc w:val="center"/>
              <w:rPr>
                <w:sz w:val="28"/>
                <w:szCs w:val="28"/>
                <w:highlight w:val="none"/>
              </w:rPr>
            </w:pPr>
          </w:p>
        </w:tc>
        <w:tc>
          <w:tcPr>
            <w:tcW w:w="630" w:type="dxa"/>
          </w:tcPr>
          <w:p>
            <w:pPr>
              <w:jc w:val="center"/>
              <w:rPr>
                <w:sz w:val="28"/>
                <w:szCs w:val="28"/>
                <w:highlight w:val="none"/>
              </w:rPr>
            </w:pPr>
          </w:p>
        </w:tc>
        <w:tc>
          <w:tcPr>
            <w:tcW w:w="525" w:type="dxa"/>
          </w:tcPr>
          <w:p>
            <w:pPr>
              <w:jc w:val="center"/>
              <w:rPr>
                <w:sz w:val="28"/>
                <w:szCs w:val="28"/>
                <w:highlight w:val="none"/>
              </w:rPr>
            </w:pPr>
          </w:p>
        </w:tc>
        <w:tc>
          <w:tcPr>
            <w:tcW w:w="735" w:type="dxa"/>
          </w:tcPr>
          <w:p>
            <w:pPr>
              <w:jc w:val="center"/>
              <w:rPr>
                <w:sz w:val="28"/>
                <w:szCs w:val="28"/>
                <w:highlight w:val="none"/>
              </w:rPr>
            </w:pPr>
          </w:p>
        </w:tc>
        <w:tc>
          <w:tcPr>
            <w:tcW w:w="840" w:type="dxa"/>
          </w:tcPr>
          <w:p>
            <w:pPr>
              <w:jc w:val="center"/>
              <w:rPr>
                <w:sz w:val="28"/>
                <w:szCs w:val="28"/>
                <w:highlight w:val="none"/>
              </w:rPr>
            </w:pPr>
          </w:p>
        </w:tc>
        <w:tc>
          <w:tcPr>
            <w:tcW w:w="840" w:type="dxa"/>
          </w:tcPr>
          <w:p>
            <w:pPr>
              <w:jc w:val="center"/>
              <w:rPr>
                <w:sz w:val="28"/>
                <w:szCs w:val="28"/>
                <w:highlight w:val="none"/>
              </w:rPr>
            </w:pPr>
          </w:p>
        </w:tc>
        <w:tc>
          <w:tcPr>
            <w:tcW w:w="735" w:type="dxa"/>
          </w:tcPr>
          <w:p>
            <w:pPr>
              <w:jc w:val="center"/>
              <w:rPr>
                <w:sz w:val="28"/>
                <w:szCs w:val="28"/>
                <w:highlight w:val="none"/>
              </w:rPr>
            </w:pPr>
          </w:p>
        </w:tc>
        <w:tc>
          <w:tcPr>
            <w:tcW w:w="945" w:type="dxa"/>
          </w:tcPr>
          <w:p>
            <w:pPr>
              <w:jc w:val="center"/>
              <w:rPr>
                <w:sz w:val="28"/>
                <w:szCs w:val="28"/>
                <w:highlight w:val="none"/>
              </w:rPr>
            </w:pPr>
          </w:p>
        </w:tc>
      </w:tr>
    </w:tbl>
    <w:p>
      <w:pPr>
        <w:tabs>
          <w:tab w:val="left" w:pos="1440"/>
        </w:tabs>
        <w:rPr>
          <w:szCs w:val="21"/>
          <w:highlight w:val="none"/>
        </w:rPr>
      </w:pPr>
      <w:r>
        <w:rPr>
          <w:rFonts w:hint="eastAsia"/>
          <w:szCs w:val="21"/>
          <w:highlight w:val="none"/>
        </w:rPr>
        <w:t>备注：除合同另有约定外，本表所列发包人供应材料和工程设备的数量不考虑施工损耗，施工损耗被认为已经包括在承包人的投标价格中。</w:t>
      </w:r>
    </w:p>
    <w:p>
      <w:pPr>
        <w:pStyle w:val="199"/>
        <w:rPr>
          <w:highlight w:val="none"/>
        </w:rPr>
      </w:pPr>
      <w:r>
        <w:rPr>
          <w:highlight w:val="none"/>
        </w:rPr>
        <w:br w:type="page"/>
      </w:r>
      <w:bookmarkStart w:id="2166" w:name="_Toc179632788"/>
      <w:bookmarkStart w:id="2167" w:name="_Toc342296513"/>
      <w:bookmarkStart w:id="2168" w:name="_Toc152042553"/>
      <w:bookmarkStart w:id="2169" w:name="_Toc434331470"/>
      <w:bookmarkStart w:id="2170" w:name="_Toc152045771"/>
      <w:bookmarkStart w:id="2171" w:name="_Toc241459754"/>
      <w:bookmarkStart w:id="2172" w:name="_Toc144974833"/>
      <w:bookmarkStart w:id="2173" w:name="_Toc15515"/>
      <w:bookmarkStart w:id="2174" w:name="_Toc179632787"/>
      <w:bookmarkStart w:id="2175" w:name="_Toc152045769"/>
      <w:bookmarkStart w:id="2176" w:name="_Toc152042551"/>
      <w:r>
        <w:rPr>
          <w:rFonts w:hint="eastAsia"/>
          <w:highlight w:val="none"/>
        </w:rPr>
        <w:t>附件四：预付款担保格式</w:t>
      </w:r>
      <w:bookmarkEnd w:id="2166"/>
      <w:bookmarkEnd w:id="2167"/>
      <w:bookmarkEnd w:id="2168"/>
      <w:bookmarkEnd w:id="2169"/>
      <w:bookmarkEnd w:id="2170"/>
      <w:bookmarkEnd w:id="2171"/>
      <w:bookmarkEnd w:id="2172"/>
      <w:bookmarkEnd w:id="2173"/>
    </w:p>
    <w:p>
      <w:pPr>
        <w:spacing w:line="400" w:lineRule="exact"/>
        <w:jc w:val="center"/>
        <w:rPr>
          <w:rFonts w:eastAsia="黑体"/>
          <w:sz w:val="28"/>
          <w:highlight w:val="none"/>
        </w:rPr>
      </w:pPr>
      <w:r>
        <w:rPr>
          <w:rFonts w:eastAsia="黑体"/>
          <w:sz w:val="28"/>
          <w:highlight w:val="none"/>
        </w:rPr>
        <w:t>预付款</w:t>
      </w:r>
      <w:r>
        <w:rPr>
          <w:rFonts w:hint="eastAsia" w:eastAsia="黑体"/>
          <w:sz w:val="28"/>
          <w:highlight w:val="none"/>
        </w:rPr>
        <w:t>担保</w:t>
      </w:r>
    </w:p>
    <w:p>
      <w:pPr>
        <w:spacing w:line="320" w:lineRule="exact"/>
        <w:ind w:right="420"/>
        <w:jc w:val="center"/>
        <w:rPr>
          <w:rFonts w:ascii="Arial" w:hAnsi="Arial" w:cs="Arial"/>
          <w:highlight w:val="none"/>
        </w:rPr>
      </w:pPr>
      <w:r>
        <w:rPr>
          <w:rFonts w:hint="eastAsia" w:ascii="Arial" w:hAnsi="Arial" w:cs="Arial"/>
          <w:highlight w:val="none"/>
        </w:rPr>
        <w:t xml:space="preserve">                                              </w:t>
      </w:r>
    </w:p>
    <w:p>
      <w:pPr>
        <w:spacing w:line="360" w:lineRule="exact"/>
        <w:ind w:right="420"/>
        <w:jc w:val="center"/>
        <w:rPr>
          <w:rFonts w:eastAsia="黑体"/>
          <w:sz w:val="20"/>
          <w:szCs w:val="20"/>
          <w:highlight w:val="none"/>
        </w:rPr>
      </w:pPr>
    </w:p>
    <w:p>
      <w:pPr>
        <w:spacing w:line="400" w:lineRule="exact"/>
        <w:rPr>
          <w:szCs w:val="21"/>
          <w:highlight w:val="none"/>
        </w:rPr>
      </w:pPr>
      <w:r>
        <w:rPr>
          <w:szCs w:val="21"/>
          <w:highlight w:val="none"/>
          <w:u w:val="single"/>
        </w:rPr>
        <w:t xml:space="preserve">            </w:t>
      </w:r>
      <w:r>
        <w:rPr>
          <w:szCs w:val="21"/>
          <w:highlight w:val="none"/>
          <w:u w:val="single"/>
        </w:rPr>
        <w:tab/>
      </w:r>
      <w:r>
        <w:rPr>
          <w:szCs w:val="21"/>
          <w:highlight w:val="none"/>
          <w:u w:val="single"/>
        </w:rPr>
        <w:tab/>
      </w:r>
      <w:r>
        <w:rPr>
          <w:szCs w:val="21"/>
          <w:highlight w:val="none"/>
          <w:u w:val="single"/>
        </w:rPr>
        <w:t xml:space="preserve"> </w:t>
      </w:r>
      <w:r>
        <w:rPr>
          <w:szCs w:val="21"/>
          <w:highlight w:val="none"/>
        </w:rPr>
        <w:t xml:space="preserve"> （发包人名称）：</w:t>
      </w:r>
      <w:r>
        <w:rPr>
          <w:rFonts w:cs="Arial"/>
          <w:highlight w:val="none"/>
        </w:rPr>
        <w:t xml:space="preserve"> </w:t>
      </w:r>
    </w:p>
    <w:p>
      <w:pPr>
        <w:spacing w:line="400" w:lineRule="exact"/>
        <w:ind w:firstLine="420"/>
        <w:rPr>
          <w:rFonts w:cs="Arial"/>
          <w:szCs w:val="21"/>
          <w:highlight w:val="none"/>
        </w:rPr>
      </w:pPr>
      <w:r>
        <w:rPr>
          <w:rFonts w:cs="Arial"/>
          <w:szCs w:val="21"/>
          <w:highlight w:val="none"/>
        </w:rPr>
        <w:t xml:space="preserve">                                                      </w:t>
      </w:r>
    </w:p>
    <w:p>
      <w:pPr>
        <w:spacing w:line="400" w:lineRule="exact"/>
        <w:ind w:firstLine="420"/>
        <w:rPr>
          <w:rFonts w:cs="Arial"/>
          <w:szCs w:val="21"/>
          <w:highlight w:val="none"/>
        </w:rPr>
      </w:pPr>
      <w:r>
        <w:rPr>
          <w:rFonts w:hint="eastAsia" w:cs="Arial"/>
          <w:szCs w:val="21"/>
          <w:highlight w:val="none"/>
        </w:rPr>
        <w:t>根据</w:t>
      </w:r>
      <w:r>
        <w:rPr>
          <w:rFonts w:hint="eastAsia" w:cs="Arial"/>
          <w:szCs w:val="21"/>
          <w:highlight w:val="none"/>
          <w:u w:val="single"/>
        </w:rPr>
        <w:t xml:space="preserve">                  </w:t>
      </w:r>
      <w:r>
        <w:rPr>
          <w:rFonts w:hint="eastAsia" w:cs="Arial"/>
          <w:szCs w:val="21"/>
          <w:highlight w:val="none"/>
        </w:rPr>
        <w:t>（承包人名称）（以下简称“承包人”）与</w:t>
      </w:r>
      <w:r>
        <w:rPr>
          <w:rFonts w:hint="eastAsia" w:cs="Arial"/>
          <w:szCs w:val="21"/>
          <w:highlight w:val="none"/>
          <w:u w:val="single"/>
        </w:rPr>
        <w:t xml:space="preserve">               </w:t>
      </w:r>
      <w:r>
        <w:rPr>
          <w:rFonts w:hint="eastAsia" w:cs="Arial"/>
          <w:szCs w:val="21"/>
          <w:highlight w:val="none"/>
        </w:rPr>
        <w:t>（发包人名称）（以下简称“发包人”）于</w:t>
      </w:r>
      <w:r>
        <w:rPr>
          <w:rFonts w:hint="eastAsia" w:cs="Arial"/>
          <w:szCs w:val="21"/>
          <w:highlight w:val="none"/>
          <w:u w:val="single"/>
        </w:rPr>
        <w:t xml:space="preserve">    </w:t>
      </w:r>
      <w:r>
        <w:rPr>
          <w:rFonts w:hint="eastAsia" w:cs="Arial"/>
          <w:szCs w:val="21"/>
          <w:highlight w:val="none"/>
        </w:rPr>
        <w:t>年</w:t>
      </w:r>
      <w:r>
        <w:rPr>
          <w:rFonts w:hint="eastAsia" w:cs="Arial"/>
          <w:szCs w:val="21"/>
          <w:highlight w:val="none"/>
          <w:u w:val="single"/>
        </w:rPr>
        <w:t xml:space="preserve">    </w:t>
      </w:r>
      <w:r>
        <w:rPr>
          <w:rFonts w:hint="eastAsia" w:cs="Arial"/>
          <w:szCs w:val="21"/>
          <w:highlight w:val="none"/>
        </w:rPr>
        <w:t>月</w:t>
      </w:r>
      <w:r>
        <w:rPr>
          <w:rFonts w:hint="eastAsia" w:cs="Arial"/>
          <w:szCs w:val="21"/>
          <w:highlight w:val="none"/>
          <w:u w:val="single"/>
        </w:rPr>
        <w:t xml:space="preserve">   </w:t>
      </w:r>
      <w:r>
        <w:rPr>
          <w:rFonts w:hint="eastAsia" w:cs="Arial"/>
          <w:szCs w:val="21"/>
          <w:highlight w:val="none"/>
        </w:rPr>
        <w:t>日签订的</w:t>
      </w:r>
      <w:r>
        <w:rPr>
          <w:rFonts w:hint="eastAsia" w:cs="Arial"/>
          <w:szCs w:val="21"/>
          <w:highlight w:val="none"/>
          <w:u w:val="single"/>
        </w:rPr>
        <w:t xml:space="preserve">                 </w:t>
      </w:r>
      <w:r>
        <w:rPr>
          <w:rFonts w:hint="eastAsia" w:cs="Arial"/>
          <w:szCs w:val="21"/>
          <w:highlight w:val="none"/>
        </w:rPr>
        <w:t xml:space="preserve"> （项目名称）施工总承包合同，承包人按约定的金额向发包人提交一份预付款担保，即有权得到发包人支付相等金额的预付款。我方愿意就你方提供给承包人的预付款提供担保。</w:t>
      </w:r>
    </w:p>
    <w:p>
      <w:pPr>
        <w:spacing w:line="400" w:lineRule="exact"/>
        <w:ind w:firstLine="420"/>
        <w:rPr>
          <w:rFonts w:cs="Arial"/>
          <w:szCs w:val="21"/>
          <w:highlight w:val="none"/>
        </w:rPr>
      </w:pPr>
      <w:r>
        <w:rPr>
          <w:rFonts w:hint="eastAsia" w:cs="Arial"/>
          <w:szCs w:val="21"/>
          <w:highlight w:val="none"/>
        </w:rPr>
        <w:t>1．担保金额人民币（大写）</w:t>
      </w:r>
      <w:r>
        <w:rPr>
          <w:rFonts w:hint="eastAsia" w:cs="Arial"/>
          <w:szCs w:val="21"/>
          <w:highlight w:val="none"/>
          <w:u w:val="single"/>
        </w:rPr>
        <w:t xml:space="preserve">                       </w:t>
      </w:r>
      <w:r>
        <w:rPr>
          <w:rFonts w:hint="eastAsia" w:cs="Arial"/>
          <w:szCs w:val="21"/>
          <w:highlight w:val="none"/>
        </w:rPr>
        <w:t>（￥</w:t>
      </w:r>
      <w:r>
        <w:rPr>
          <w:rFonts w:hint="eastAsia" w:cs="Arial"/>
          <w:szCs w:val="21"/>
          <w:highlight w:val="none"/>
          <w:u w:val="single"/>
        </w:rPr>
        <w:t xml:space="preserve">               </w:t>
      </w:r>
      <w:r>
        <w:rPr>
          <w:rFonts w:hint="eastAsia" w:cs="Arial"/>
          <w:szCs w:val="21"/>
          <w:highlight w:val="none"/>
        </w:rPr>
        <w:t>）。</w:t>
      </w:r>
    </w:p>
    <w:p>
      <w:pPr>
        <w:spacing w:line="400" w:lineRule="exact"/>
        <w:ind w:firstLine="420"/>
        <w:rPr>
          <w:rFonts w:cs="Arial"/>
          <w:szCs w:val="21"/>
          <w:highlight w:val="none"/>
        </w:rPr>
      </w:pPr>
      <w:r>
        <w:rPr>
          <w:rFonts w:hint="eastAsia" w:cs="Arial"/>
          <w:szCs w:val="21"/>
          <w:highlight w:val="none"/>
        </w:rPr>
        <w:t>2．担保有效期自预付款支付给承包人起生效，至发包人签发的进度付款证书说明预付款已完全扣清止。</w:t>
      </w:r>
    </w:p>
    <w:p>
      <w:pPr>
        <w:spacing w:line="400" w:lineRule="exact"/>
        <w:ind w:firstLine="420"/>
        <w:rPr>
          <w:rFonts w:cs="Arial"/>
          <w:szCs w:val="21"/>
          <w:highlight w:val="none"/>
        </w:rPr>
      </w:pPr>
      <w:r>
        <w:rPr>
          <w:rFonts w:hint="eastAsia" w:cs="Arial"/>
          <w:szCs w:val="21"/>
          <w:highlight w:val="none"/>
        </w:rPr>
        <w:t>3．在本保函有效期内，因承包人违反合同约定的义务而要求收回预付款时，我方在收到你方的书面通知后，在7天内支付。但本保函的担保金额，在任何时候不应超过预付款金额减去发包人按合同约定在向承包人签发的进度付款证书中扣除的金额。</w:t>
      </w:r>
    </w:p>
    <w:p>
      <w:pPr>
        <w:spacing w:line="400" w:lineRule="exact"/>
        <w:ind w:firstLine="420"/>
        <w:rPr>
          <w:rFonts w:cs="Arial"/>
          <w:szCs w:val="21"/>
          <w:highlight w:val="none"/>
        </w:rPr>
      </w:pPr>
      <w:r>
        <w:rPr>
          <w:rFonts w:hint="eastAsia" w:cs="Arial"/>
          <w:szCs w:val="21"/>
          <w:highlight w:val="none"/>
        </w:rPr>
        <w:t>4．发包人和承包人按《通用合同条款》第15条变更合同时，我方承担本保函规定的义务和责任不变。</w:t>
      </w:r>
    </w:p>
    <w:p>
      <w:pPr>
        <w:spacing w:line="400" w:lineRule="exact"/>
        <w:ind w:firstLine="420"/>
        <w:rPr>
          <w:rFonts w:cs="Arial"/>
          <w:szCs w:val="21"/>
          <w:highlight w:val="none"/>
        </w:rPr>
      </w:pPr>
    </w:p>
    <w:p>
      <w:pPr>
        <w:spacing w:line="400" w:lineRule="exact"/>
        <w:rPr>
          <w:szCs w:val="21"/>
          <w:highlight w:val="none"/>
        </w:rPr>
      </w:pPr>
    </w:p>
    <w:p>
      <w:pPr>
        <w:spacing w:line="400" w:lineRule="exact"/>
        <w:ind w:firstLine="2940" w:firstLineChars="1400"/>
        <w:jc w:val="left"/>
        <w:rPr>
          <w:szCs w:val="21"/>
          <w:highlight w:val="none"/>
        </w:rPr>
      </w:pPr>
      <w:r>
        <w:rPr>
          <w:rFonts w:hint="eastAsia"/>
          <w:szCs w:val="21"/>
          <w:highlight w:val="none"/>
        </w:rPr>
        <w:t>担保人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（盖单位章）</w:t>
      </w:r>
    </w:p>
    <w:p>
      <w:pPr>
        <w:spacing w:line="400" w:lineRule="exact"/>
        <w:ind w:firstLine="2940" w:firstLineChars="1400"/>
        <w:jc w:val="left"/>
        <w:rPr>
          <w:szCs w:val="21"/>
          <w:highlight w:val="none"/>
        </w:rPr>
      </w:pPr>
      <w:r>
        <w:rPr>
          <w:rFonts w:hint="eastAsia"/>
          <w:szCs w:val="21"/>
          <w:highlight w:val="none"/>
        </w:rPr>
        <w:t>法定代表人或授权人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（签字）</w:t>
      </w:r>
    </w:p>
    <w:p>
      <w:pPr>
        <w:spacing w:line="400" w:lineRule="exact"/>
        <w:ind w:firstLine="2940" w:firstLineChars="1400"/>
        <w:jc w:val="left"/>
        <w:rPr>
          <w:szCs w:val="21"/>
          <w:highlight w:val="none"/>
        </w:rPr>
      </w:pPr>
      <w:r>
        <w:rPr>
          <w:rFonts w:hint="eastAsia"/>
          <w:szCs w:val="21"/>
          <w:highlight w:val="none"/>
        </w:rPr>
        <w:t>地    址</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 xml:space="preserve">    </w:t>
      </w:r>
      <w:r>
        <w:rPr>
          <w:szCs w:val="21"/>
          <w:highlight w:val="none"/>
          <w:u w:val="single"/>
        </w:rPr>
        <w:tab/>
      </w:r>
      <w:r>
        <w:rPr>
          <w:szCs w:val="21"/>
          <w:highlight w:val="none"/>
          <w:u w:val="single"/>
        </w:rPr>
        <w:t xml:space="preserve">      </w:t>
      </w:r>
    </w:p>
    <w:p>
      <w:pPr>
        <w:spacing w:line="400" w:lineRule="exact"/>
        <w:ind w:firstLine="2940" w:firstLineChars="1400"/>
        <w:jc w:val="left"/>
        <w:rPr>
          <w:szCs w:val="21"/>
          <w:highlight w:val="none"/>
          <w:u w:val="single"/>
        </w:rPr>
      </w:pPr>
      <w:r>
        <w:rPr>
          <w:rFonts w:hint="eastAsia"/>
          <w:szCs w:val="21"/>
          <w:highlight w:val="none"/>
        </w:rPr>
        <w:t>邮政编码</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ab/>
      </w:r>
      <w:r>
        <w:rPr>
          <w:szCs w:val="21"/>
          <w:highlight w:val="none"/>
          <w:u w:val="single"/>
        </w:rPr>
        <w:tab/>
      </w:r>
      <w:r>
        <w:rPr>
          <w:szCs w:val="21"/>
          <w:highlight w:val="none"/>
          <w:u w:val="single"/>
        </w:rPr>
        <w:tab/>
      </w:r>
      <w:r>
        <w:rPr>
          <w:rFonts w:hint="eastAsia"/>
          <w:szCs w:val="21"/>
          <w:highlight w:val="none"/>
          <w:u w:val="single"/>
        </w:rPr>
        <w:t xml:space="preserve">          </w:t>
      </w:r>
    </w:p>
    <w:p>
      <w:pPr>
        <w:spacing w:line="400" w:lineRule="exact"/>
        <w:ind w:firstLine="2940" w:firstLineChars="1400"/>
        <w:jc w:val="left"/>
        <w:rPr>
          <w:szCs w:val="21"/>
          <w:highlight w:val="none"/>
          <w:u w:val="single"/>
        </w:rPr>
      </w:pPr>
      <w:r>
        <w:rPr>
          <w:rFonts w:hint="eastAsia"/>
          <w:szCs w:val="21"/>
          <w:highlight w:val="none"/>
        </w:rPr>
        <w:t>电    话</w:t>
      </w:r>
      <w:r>
        <w:rPr>
          <w:szCs w:val="21"/>
          <w:highlight w:val="none"/>
        </w:rPr>
        <w:t>：</w:t>
      </w:r>
      <w:r>
        <w:rPr>
          <w:szCs w:val="21"/>
          <w:highlight w:val="none"/>
          <w:u w:val="single"/>
        </w:rPr>
        <w:t xml:space="preserve">                          </w:t>
      </w:r>
      <w:r>
        <w:rPr>
          <w:rFonts w:hint="eastAsia"/>
          <w:szCs w:val="21"/>
          <w:highlight w:val="none"/>
          <w:u w:val="single"/>
        </w:rPr>
        <w:t xml:space="preserve">          </w:t>
      </w:r>
    </w:p>
    <w:p>
      <w:pPr>
        <w:spacing w:line="400" w:lineRule="exact"/>
        <w:ind w:firstLine="4620" w:firstLineChars="2200"/>
        <w:jc w:val="left"/>
        <w:rPr>
          <w:szCs w:val="21"/>
          <w:highlight w:val="none"/>
        </w:rPr>
      </w:pPr>
      <w:r>
        <w:rPr>
          <w:rFonts w:hint="eastAsia"/>
          <w:szCs w:val="21"/>
          <w:highlight w:val="none"/>
          <w:u w:val="single"/>
        </w:rPr>
        <w:t xml:space="preserve">     </w:t>
      </w:r>
      <w:r>
        <w:rPr>
          <w:szCs w:val="21"/>
          <w:highlight w:val="none"/>
          <w:u w:val="single"/>
        </w:rPr>
        <w:t xml:space="preserve">        </w:t>
      </w:r>
      <w:r>
        <w:rPr>
          <w:szCs w:val="21"/>
          <w:highlight w:val="none"/>
        </w:rPr>
        <w:t>年</w:t>
      </w:r>
      <w:r>
        <w:rPr>
          <w:szCs w:val="21"/>
          <w:highlight w:val="none"/>
          <w:u w:val="single"/>
        </w:rPr>
        <w:t xml:space="preserve">      </w:t>
      </w:r>
      <w:r>
        <w:rPr>
          <w:szCs w:val="21"/>
          <w:highlight w:val="none"/>
        </w:rPr>
        <w:t>月</w:t>
      </w:r>
      <w:r>
        <w:rPr>
          <w:szCs w:val="21"/>
          <w:highlight w:val="none"/>
          <w:u w:val="single"/>
        </w:rPr>
        <w:t xml:space="preserve">      </w:t>
      </w:r>
      <w:r>
        <w:rPr>
          <w:szCs w:val="21"/>
          <w:highlight w:val="none"/>
        </w:rPr>
        <w:t>日</w:t>
      </w:r>
    </w:p>
    <w:p>
      <w:pPr>
        <w:spacing w:line="400" w:lineRule="exact"/>
        <w:rPr>
          <w:szCs w:val="21"/>
          <w:highlight w:val="none"/>
        </w:rPr>
      </w:pPr>
    </w:p>
    <w:p>
      <w:pPr>
        <w:spacing w:line="400" w:lineRule="exact"/>
        <w:rPr>
          <w:bCs/>
          <w:szCs w:val="21"/>
          <w:highlight w:val="none"/>
        </w:rPr>
      </w:pPr>
      <w:r>
        <w:rPr>
          <w:rFonts w:hint="eastAsia"/>
          <w:szCs w:val="21"/>
          <w:highlight w:val="none"/>
        </w:rPr>
        <w:t>备注：</w:t>
      </w:r>
      <w:r>
        <w:rPr>
          <w:rFonts w:hint="eastAsia"/>
          <w:bCs/>
          <w:szCs w:val="21"/>
          <w:highlight w:val="none"/>
        </w:rPr>
        <w:t>本预付款担保格式可采用经发包人认可的其他格式，但相关内容不得违背合同文件约定的实质性内容。</w:t>
      </w:r>
      <w:r>
        <w:rPr>
          <w:bCs/>
          <w:szCs w:val="21"/>
          <w:highlight w:val="none"/>
        </w:rPr>
        <w:br w:type="textWrapping"/>
      </w:r>
      <w:r>
        <w:rPr>
          <w:bCs/>
          <w:szCs w:val="21"/>
          <w:highlight w:val="none"/>
        </w:rPr>
        <w:br w:type="page"/>
      </w:r>
    </w:p>
    <w:p>
      <w:pPr>
        <w:pStyle w:val="199"/>
        <w:rPr>
          <w:highlight w:val="none"/>
        </w:rPr>
      </w:pPr>
      <w:bookmarkStart w:id="2177" w:name="_Toc29508"/>
      <w:bookmarkStart w:id="2178" w:name="_Toc241459755"/>
      <w:bookmarkStart w:id="2179" w:name="_Toc434331471"/>
      <w:bookmarkStart w:id="2180" w:name="_Toc342296514"/>
      <w:r>
        <w:rPr>
          <w:rFonts w:hint="eastAsia"/>
          <w:highlight w:val="none"/>
        </w:rPr>
        <w:t>附件五：履约担保格式</w:t>
      </w:r>
      <w:bookmarkEnd w:id="2156"/>
      <w:bookmarkEnd w:id="2174"/>
      <w:bookmarkEnd w:id="2175"/>
      <w:bookmarkEnd w:id="2176"/>
      <w:bookmarkEnd w:id="2177"/>
      <w:bookmarkEnd w:id="2178"/>
      <w:bookmarkEnd w:id="2179"/>
      <w:bookmarkEnd w:id="2180"/>
      <w:bookmarkStart w:id="2181" w:name="_Toc111445488"/>
    </w:p>
    <w:p>
      <w:pPr>
        <w:jc w:val="center"/>
        <w:rPr>
          <w:highlight w:val="none"/>
          <w:u w:val="single"/>
        </w:rPr>
      </w:pPr>
      <w:r>
        <w:rPr>
          <w:rFonts w:hint="eastAsia" w:eastAsia="黑体"/>
          <w:sz w:val="28"/>
          <w:highlight w:val="none"/>
        </w:rPr>
        <w:t>承包人履约保函</w:t>
      </w:r>
      <w:bookmarkEnd w:id="2181"/>
    </w:p>
    <w:p>
      <w:pPr>
        <w:spacing w:line="400" w:lineRule="exact"/>
        <w:rPr>
          <w:highlight w:val="none"/>
        </w:rPr>
      </w:pPr>
      <w:r>
        <w:rPr>
          <w:rFonts w:hint="eastAsia"/>
          <w:highlight w:val="none"/>
          <w:u w:val="single"/>
        </w:rPr>
        <w:t xml:space="preserve">                       </w:t>
      </w:r>
      <w:r>
        <w:rPr>
          <w:rFonts w:hint="eastAsia"/>
          <w:highlight w:val="none"/>
        </w:rPr>
        <w:t>（发包人名称）：</w:t>
      </w:r>
    </w:p>
    <w:p>
      <w:pPr>
        <w:spacing w:line="400" w:lineRule="exact"/>
        <w:rPr>
          <w:highlight w:val="none"/>
        </w:rPr>
      </w:pPr>
    </w:p>
    <w:p>
      <w:pPr>
        <w:spacing w:line="400" w:lineRule="exact"/>
        <w:rPr>
          <w:szCs w:val="21"/>
          <w:highlight w:val="none"/>
        </w:rPr>
      </w:pPr>
      <w:r>
        <w:rPr>
          <w:rFonts w:hint="eastAsia" w:ascii="Arial" w:hAnsi="Arial" w:cs="Arial"/>
          <w:szCs w:val="21"/>
          <w:highlight w:val="none"/>
        </w:rPr>
        <w:t xml:space="preserve">    </w:t>
      </w:r>
      <w:r>
        <w:rPr>
          <w:rFonts w:ascii="Arial" w:hAnsi="Arial" w:cs="Arial"/>
          <w:szCs w:val="21"/>
          <w:highlight w:val="none"/>
        </w:rPr>
        <w:t>鉴于你方作为发包人已经与</w:t>
      </w:r>
      <w:r>
        <w:rPr>
          <w:rFonts w:ascii="Arial" w:hAnsi="Arial" w:cs="Arial"/>
          <w:szCs w:val="21"/>
          <w:highlight w:val="none"/>
          <w:u w:val="single"/>
        </w:rPr>
        <w:t xml:space="preserve">                 </w:t>
      </w:r>
      <w:r>
        <w:rPr>
          <w:rFonts w:hint="eastAsia" w:ascii="Arial" w:hAnsi="Arial" w:eastAsia="楷体_GB2312" w:cs="Arial"/>
          <w:szCs w:val="21"/>
          <w:highlight w:val="none"/>
        </w:rPr>
        <w:t>（</w:t>
      </w:r>
      <w:r>
        <w:rPr>
          <w:rFonts w:cs="Arial"/>
          <w:szCs w:val="21"/>
          <w:highlight w:val="none"/>
        </w:rPr>
        <w:t>承包人名称</w:t>
      </w:r>
      <w:r>
        <w:rPr>
          <w:rFonts w:ascii="Arial" w:hAnsi="Arial" w:eastAsia="楷体_GB2312" w:cs="Arial"/>
          <w:szCs w:val="21"/>
          <w:highlight w:val="none"/>
        </w:rPr>
        <w:t>）</w:t>
      </w:r>
      <w:r>
        <w:rPr>
          <w:rFonts w:hint="eastAsia" w:ascii="Arial" w:hAnsi="Arial" w:eastAsia="楷体_GB2312" w:cs="Arial"/>
          <w:szCs w:val="21"/>
          <w:highlight w:val="none"/>
        </w:rPr>
        <w:t>（</w:t>
      </w:r>
      <w:r>
        <w:rPr>
          <w:rFonts w:ascii="Arial" w:hAnsi="Arial" w:cs="Arial"/>
          <w:szCs w:val="21"/>
          <w:highlight w:val="none"/>
        </w:rPr>
        <w:t>以下称</w:t>
      </w:r>
      <w:r>
        <w:rPr>
          <w:rFonts w:hint="eastAsia" w:ascii="Arial" w:hAnsi="Arial" w:cs="Arial"/>
          <w:szCs w:val="21"/>
          <w:highlight w:val="none"/>
        </w:rPr>
        <w:t>“</w:t>
      </w:r>
      <w:r>
        <w:rPr>
          <w:rFonts w:ascii="Arial" w:hAnsi="Arial" w:cs="Arial"/>
          <w:szCs w:val="21"/>
          <w:highlight w:val="none"/>
        </w:rPr>
        <w:t>承包人</w:t>
      </w:r>
      <w:r>
        <w:rPr>
          <w:rFonts w:hint="eastAsia" w:ascii="Arial" w:hAnsi="Arial" w:cs="Arial"/>
          <w:szCs w:val="21"/>
          <w:highlight w:val="none"/>
        </w:rPr>
        <w:t>”</w:t>
      </w:r>
      <w:r>
        <w:rPr>
          <w:rFonts w:hint="eastAsia"/>
          <w:szCs w:val="21"/>
          <w:highlight w:val="none"/>
        </w:rPr>
        <w:t>）</w:t>
      </w:r>
      <w:r>
        <w:rPr>
          <w:szCs w:val="21"/>
          <w:highlight w:val="none"/>
        </w:rPr>
        <w:t>于</w:t>
      </w:r>
      <w:r>
        <w:rPr>
          <w:szCs w:val="21"/>
          <w:highlight w:val="none"/>
          <w:u w:val="single"/>
        </w:rPr>
        <w:t xml:space="preserve">     </w:t>
      </w:r>
      <w:r>
        <w:rPr>
          <w:szCs w:val="21"/>
          <w:highlight w:val="none"/>
        </w:rPr>
        <w:t xml:space="preserve"> </w:t>
      </w:r>
    </w:p>
    <w:p>
      <w:pPr>
        <w:spacing w:line="400" w:lineRule="exact"/>
        <w:rPr>
          <w:highlight w:val="none"/>
        </w:rPr>
      </w:pPr>
      <w:r>
        <w:rPr>
          <w:rFonts w:hint="eastAsia"/>
          <w:szCs w:val="21"/>
          <w:highlight w:val="none"/>
          <w:u w:val="single"/>
        </w:rPr>
        <w:t xml:space="preserve">        </w:t>
      </w:r>
      <w:r>
        <w:rPr>
          <w:szCs w:val="21"/>
          <w:highlight w:val="none"/>
        </w:rPr>
        <w:t>年</w:t>
      </w:r>
      <w:r>
        <w:rPr>
          <w:szCs w:val="21"/>
          <w:highlight w:val="none"/>
          <w:u w:val="single"/>
        </w:rPr>
        <w:t xml:space="preserve">    </w:t>
      </w:r>
      <w:r>
        <w:rPr>
          <w:szCs w:val="21"/>
          <w:highlight w:val="none"/>
        </w:rPr>
        <w:t>月</w:t>
      </w:r>
      <w:r>
        <w:rPr>
          <w:szCs w:val="21"/>
          <w:highlight w:val="none"/>
          <w:u w:val="single"/>
        </w:rPr>
        <w:t xml:space="preserve">    </w:t>
      </w:r>
      <w:r>
        <w:rPr>
          <w:szCs w:val="21"/>
          <w:highlight w:val="none"/>
        </w:rPr>
        <w:t>日签订</w:t>
      </w:r>
      <w:r>
        <w:rPr>
          <w:rFonts w:hint="eastAsia"/>
          <w:szCs w:val="21"/>
          <w:highlight w:val="none"/>
        </w:rPr>
        <w:t>了</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w:t>
      </w:r>
      <w:r>
        <w:rPr>
          <w:rFonts w:hint="eastAsia"/>
          <w:szCs w:val="21"/>
          <w:highlight w:val="none"/>
        </w:rPr>
        <w:t>工程</w:t>
      </w:r>
      <w:r>
        <w:rPr>
          <w:szCs w:val="21"/>
          <w:highlight w:val="none"/>
        </w:rPr>
        <w:t>名称）</w:t>
      </w:r>
      <w:r>
        <w:rPr>
          <w:rFonts w:hint="eastAsia"/>
          <w:szCs w:val="21"/>
          <w:highlight w:val="none"/>
        </w:rPr>
        <w:t>施工承包</w:t>
      </w:r>
      <w:r>
        <w:rPr>
          <w:szCs w:val="21"/>
          <w:highlight w:val="none"/>
        </w:rPr>
        <w:t>合同</w:t>
      </w:r>
      <w:r>
        <w:rPr>
          <w:rFonts w:hint="eastAsia"/>
          <w:szCs w:val="21"/>
          <w:highlight w:val="none"/>
        </w:rPr>
        <w:t>（以下称“主合同”），</w:t>
      </w:r>
      <w:r>
        <w:rPr>
          <w:rFonts w:hint="eastAsia"/>
          <w:highlight w:val="none"/>
        </w:rPr>
        <w:t>应承包人申请，我方愿就承包人履行主合同约定的义务以保证的方式向你方提供如下担保：</w:t>
      </w:r>
    </w:p>
    <w:p>
      <w:pPr>
        <w:spacing w:line="400" w:lineRule="exact"/>
        <w:ind w:firstLine="420" w:firstLineChars="200"/>
        <w:outlineLvl w:val="0"/>
        <w:rPr>
          <w:rFonts w:ascii="黑体" w:eastAsia="黑体"/>
          <w:highlight w:val="none"/>
        </w:rPr>
      </w:pPr>
      <w:bookmarkStart w:id="2182" w:name="_Toc434331472"/>
      <w:bookmarkStart w:id="2183" w:name="_Toc395691537"/>
      <w:bookmarkStart w:id="2184" w:name="_Toc395689464"/>
      <w:bookmarkStart w:id="2185" w:name="_Toc111445489"/>
      <w:bookmarkStart w:id="2186" w:name="_Toc395689951"/>
      <w:bookmarkStart w:id="2187" w:name="_Toc542"/>
      <w:r>
        <w:rPr>
          <w:rFonts w:hint="eastAsia" w:ascii="黑体" w:eastAsia="黑体"/>
          <w:highlight w:val="none"/>
        </w:rPr>
        <w:t>一、保证的范围及保证金额</w:t>
      </w:r>
      <w:bookmarkEnd w:id="2182"/>
      <w:bookmarkEnd w:id="2183"/>
      <w:bookmarkEnd w:id="2184"/>
      <w:bookmarkEnd w:id="2185"/>
      <w:bookmarkEnd w:id="2186"/>
      <w:bookmarkEnd w:id="2187"/>
    </w:p>
    <w:p>
      <w:pPr>
        <w:spacing w:line="400" w:lineRule="exact"/>
        <w:ind w:firstLine="420" w:firstLineChars="200"/>
        <w:rPr>
          <w:highlight w:val="none"/>
        </w:rPr>
      </w:pPr>
      <w:r>
        <w:rPr>
          <w:rFonts w:hint="eastAsia"/>
          <w:highlight w:val="none"/>
        </w:rPr>
        <w:t>我方的保证范围是承包人未按照主合同的约定履行义务，给你方造成的实际损失。</w:t>
      </w:r>
    </w:p>
    <w:p>
      <w:pPr>
        <w:spacing w:line="400" w:lineRule="exact"/>
        <w:ind w:firstLine="420" w:firstLineChars="200"/>
        <w:rPr>
          <w:highlight w:val="none"/>
        </w:rPr>
      </w:pPr>
      <w:r>
        <w:rPr>
          <w:rFonts w:hint="eastAsia"/>
          <w:highlight w:val="none"/>
        </w:rPr>
        <w:t xml:space="preserve">我方保证的金额是主合同约定的合同总价款 </w:t>
      </w:r>
      <w:r>
        <w:rPr>
          <w:rFonts w:hint="eastAsia"/>
          <w:highlight w:val="none"/>
          <w:u w:val="single"/>
        </w:rPr>
        <w:t xml:space="preserve">   </w:t>
      </w:r>
      <w:r>
        <w:rPr>
          <w:rFonts w:hint="eastAsia"/>
          <w:highlight w:val="none"/>
        </w:rPr>
        <w:t>%，数额最高不超过人民币</w:t>
      </w:r>
      <w:r>
        <w:rPr>
          <w:rFonts w:hint="eastAsia"/>
          <w:highlight w:val="none"/>
          <w:u w:val="single"/>
        </w:rPr>
        <w:t xml:space="preserve">     </w:t>
      </w:r>
      <w:r>
        <w:rPr>
          <w:rFonts w:hint="eastAsia"/>
          <w:highlight w:val="none"/>
        </w:rPr>
        <w:t>元（大写）。</w:t>
      </w:r>
    </w:p>
    <w:p>
      <w:pPr>
        <w:spacing w:line="400" w:lineRule="exact"/>
        <w:ind w:firstLine="420" w:firstLineChars="200"/>
        <w:outlineLvl w:val="0"/>
        <w:rPr>
          <w:rFonts w:ascii="黑体" w:eastAsia="黑体"/>
          <w:highlight w:val="none"/>
        </w:rPr>
      </w:pPr>
      <w:bookmarkStart w:id="2188" w:name="_Toc395691538"/>
      <w:bookmarkStart w:id="2189" w:name="_Toc395689465"/>
      <w:bookmarkStart w:id="2190" w:name="_Toc111445490"/>
      <w:bookmarkStart w:id="2191" w:name="_Toc434331473"/>
      <w:bookmarkStart w:id="2192" w:name="_Toc18108"/>
      <w:bookmarkStart w:id="2193" w:name="_Toc395689952"/>
      <w:r>
        <w:rPr>
          <w:rFonts w:hint="eastAsia" w:ascii="黑体" w:eastAsia="黑体"/>
          <w:highlight w:val="none"/>
        </w:rPr>
        <w:t>二、保证的方式及保证期间</w:t>
      </w:r>
      <w:bookmarkEnd w:id="2188"/>
      <w:bookmarkEnd w:id="2189"/>
      <w:bookmarkEnd w:id="2190"/>
      <w:bookmarkEnd w:id="2191"/>
      <w:bookmarkEnd w:id="2192"/>
      <w:bookmarkEnd w:id="2193"/>
    </w:p>
    <w:p>
      <w:pPr>
        <w:spacing w:line="400" w:lineRule="exact"/>
        <w:ind w:firstLine="420" w:firstLineChars="200"/>
        <w:rPr>
          <w:highlight w:val="none"/>
        </w:rPr>
      </w:pPr>
      <w:r>
        <w:rPr>
          <w:rFonts w:hint="eastAsia"/>
          <w:highlight w:val="none"/>
        </w:rPr>
        <w:t>我方保证的方式为：连带责任保证。</w:t>
      </w:r>
    </w:p>
    <w:p>
      <w:pPr>
        <w:spacing w:line="400" w:lineRule="exact"/>
        <w:ind w:firstLine="420" w:firstLineChars="200"/>
        <w:rPr>
          <w:highlight w:val="none"/>
        </w:rPr>
      </w:pPr>
      <w:r>
        <w:rPr>
          <w:rFonts w:hint="eastAsia"/>
          <w:highlight w:val="none"/>
        </w:rPr>
        <w:t>我方保证的期间为：自本合同生效之日起至主合同约定的工程竣工日期后</w:t>
      </w:r>
      <w:r>
        <w:rPr>
          <w:rFonts w:hint="eastAsia"/>
          <w:highlight w:val="none"/>
          <w:u w:val="single"/>
        </w:rPr>
        <w:t xml:space="preserve">     </w:t>
      </w:r>
      <w:r>
        <w:rPr>
          <w:rFonts w:hint="eastAsia"/>
          <w:highlight w:val="none"/>
        </w:rPr>
        <w:t>日内。</w:t>
      </w:r>
    </w:p>
    <w:p>
      <w:pPr>
        <w:spacing w:line="400" w:lineRule="exact"/>
        <w:ind w:firstLine="420" w:firstLineChars="200"/>
        <w:rPr>
          <w:highlight w:val="none"/>
        </w:rPr>
      </w:pPr>
      <w:r>
        <w:rPr>
          <w:rFonts w:hint="eastAsia"/>
          <w:highlight w:val="none"/>
        </w:rPr>
        <w:t>你方与承包人协议变更工程竣工日期的，经我方书面同意后，保证期间按照变更后的竣工日期做相应调整。</w:t>
      </w:r>
    </w:p>
    <w:p>
      <w:pPr>
        <w:spacing w:line="400" w:lineRule="exact"/>
        <w:ind w:firstLine="420" w:firstLineChars="200"/>
        <w:outlineLvl w:val="0"/>
        <w:rPr>
          <w:rFonts w:ascii="黑体" w:eastAsia="黑体"/>
          <w:highlight w:val="none"/>
        </w:rPr>
      </w:pPr>
      <w:bookmarkStart w:id="2194" w:name="_Toc434331474"/>
      <w:bookmarkStart w:id="2195" w:name="_Toc111445491"/>
      <w:bookmarkStart w:id="2196" w:name="_Toc395689466"/>
      <w:bookmarkStart w:id="2197" w:name="_Toc395689953"/>
      <w:bookmarkStart w:id="2198" w:name="_Toc18510"/>
      <w:bookmarkStart w:id="2199" w:name="_Toc395691539"/>
      <w:r>
        <w:rPr>
          <w:rFonts w:hint="eastAsia" w:ascii="黑体" w:eastAsia="黑体"/>
          <w:highlight w:val="none"/>
        </w:rPr>
        <w:t>三、承担保证责任的形式</w:t>
      </w:r>
      <w:bookmarkEnd w:id="2194"/>
      <w:bookmarkEnd w:id="2195"/>
      <w:bookmarkEnd w:id="2196"/>
      <w:bookmarkEnd w:id="2197"/>
      <w:bookmarkEnd w:id="2198"/>
      <w:bookmarkEnd w:id="2199"/>
    </w:p>
    <w:p>
      <w:pPr>
        <w:spacing w:line="400" w:lineRule="exact"/>
        <w:ind w:firstLine="420" w:firstLineChars="200"/>
        <w:rPr>
          <w:highlight w:val="none"/>
          <w:shd w:val="pct10" w:color="auto" w:fill="FFFFFF"/>
        </w:rPr>
      </w:pPr>
      <w:r>
        <w:rPr>
          <w:rFonts w:hint="eastAsia"/>
          <w:highlight w:val="none"/>
        </w:rPr>
        <w:t>我方按照你方的要求以下列方式之一承担保证责任：</w:t>
      </w:r>
    </w:p>
    <w:p>
      <w:pPr>
        <w:spacing w:line="400" w:lineRule="exact"/>
        <w:ind w:firstLine="315" w:firstLineChars="150"/>
        <w:rPr>
          <w:highlight w:val="none"/>
        </w:rPr>
      </w:pPr>
      <w:r>
        <w:rPr>
          <w:rFonts w:hint="eastAsia"/>
          <w:highlight w:val="none"/>
        </w:rPr>
        <w:t>（1）由我方提供资金及技术援助，使承包人继续履行主合同义务，支付金额不超过本保函第一条规定的保证金额。</w:t>
      </w:r>
    </w:p>
    <w:p>
      <w:pPr>
        <w:spacing w:line="400" w:lineRule="exact"/>
        <w:ind w:firstLine="315" w:firstLineChars="150"/>
        <w:rPr>
          <w:highlight w:val="none"/>
        </w:rPr>
      </w:pPr>
      <w:r>
        <w:rPr>
          <w:rFonts w:hint="eastAsia"/>
          <w:highlight w:val="none"/>
        </w:rPr>
        <w:t>（2）由我方在本保函第一条规定的保证金额内赔偿你方的损失。</w:t>
      </w:r>
    </w:p>
    <w:p>
      <w:pPr>
        <w:spacing w:line="400" w:lineRule="exact"/>
        <w:ind w:firstLine="420" w:firstLineChars="200"/>
        <w:outlineLvl w:val="0"/>
        <w:rPr>
          <w:rFonts w:ascii="黑体" w:eastAsia="黑体"/>
          <w:highlight w:val="none"/>
        </w:rPr>
      </w:pPr>
      <w:bookmarkStart w:id="2200" w:name="_Toc395691540"/>
      <w:bookmarkStart w:id="2201" w:name="_Toc11396"/>
      <w:bookmarkStart w:id="2202" w:name="_Toc395689954"/>
      <w:bookmarkStart w:id="2203" w:name="_Toc111445492"/>
      <w:bookmarkStart w:id="2204" w:name="_Toc395689467"/>
      <w:bookmarkStart w:id="2205" w:name="_Toc434331475"/>
      <w:r>
        <w:rPr>
          <w:rFonts w:hint="eastAsia" w:ascii="黑体" w:eastAsia="黑体"/>
          <w:highlight w:val="none"/>
        </w:rPr>
        <w:t>四、代偿的安排</w:t>
      </w:r>
      <w:bookmarkEnd w:id="2200"/>
      <w:bookmarkEnd w:id="2201"/>
      <w:bookmarkEnd w:id="2202"/>
      <w:bookmarkEnd w:id="2203"/>
      <w:bookmarkEnd w:id="2204"/>
      <w:bookmarkEnd w:id="2205"/>
    </w:p>
    <w:p>
      <w:pPr>
        <w:spacing w:line="400" w:lineRule="exact"/>
        <w:ind w:firstLine="420" w:firstLineChars="200"/>
        <w:rPr>
          <w:highlight w:val="none"/>
        </w:rPr>
      </w:pPr>
      <w:r>
        <w:rPr>
          <w:rFonts w:hint="eastAsia"/>
          <w:highlight w:val="none"/>
        </w:rPr>
        <w:t>你方要求我方承担保证责任的，应向我方发出书面索赔通知及承包人未履行主合同约定义务的证明材料。索赔通知应写明要求索赔的金额，支付款项应到达的帐号，并附有说明承包人违反主合同造成你方损失情况的证明材料。</w:t>
      </w:r>
    </w:p>
    <w:p>
      <w:pPr>
        <w:spacing w:line="400" w:lineRule="exact"/>
        <w:ind w:firstLine="420" w:firstLineChars="200"/>
        <w:rPr>
          <w:highlight w:val="none"/>
        </w:rPr>
      </w:pPr>
      <w:r>
        <w:rPr>
          <w:rFonts w:hint="eastAsia"/>
          <w:highlight w:val="none"/>
        </w:rPr>
        <w:t>你方以工程质量不符合主合同约定标准为由，向我方提出违约索赔的，还需同时提供符合相应条件要求的工程质量检测部门出具的质量说明材料。</w:t>
      </w:r>
    </w:p>
    <w:p>
      <w:pPr>
        <w:spacing w:line="400" w:lineRule="exact"/>
        <w:ind w:firstLine="420" w:firstLineChars="200"/>
        <w:rPr>
          <w:highlight w:val="none"/>
        </w:rPr>
      </w:pPr>
      <w:r>
        <w:rPr>
          <w:rFonts w:hint="eastAsia"/>
          <w:highlight w:val="none"/>
        </w:rPr>
        <w:t>我方收到你方的书面索赔通知及相应证明材料后，在</w:t>
      </w:r>
      <w:r>
        <w:rPr>
          <w:rFonts w:hint="eastAsia"/>
          <w:highlight w:val="none"/>
          <w:u w:val="single"/>
        </w:rPr>
        <w:t xml:space="preserve">   </w:t>
      </w:r>
      <w:r>
        <w:rPr>
          <w:rFonts w:hint="eastAsia"/>
          <w:highlight w:val="none"/>
        </w:rPr>
        <w:t>工作日内进行核定后按照本保函的承诺承担保证责任。</w:t>
      </w:r>
    </w:p>
    <w:p>
      <w:pPr>
        <w:spacing w:line="400" w:lineRule="exact"/>
        <w:ind w:firstLine="420" w:firstLineChars="200"/>
        <w:outlineLvl w:val="0"/>
        <w:rPr>
          <w:rFonts w:ascii="黑体" w:eastAsia="黑体"/>
          <w:highlight w:val="none"/>
        </w:rPr>
      </w:pPr>
      <w:bookmarkStart w:id="2206" w:name="_Toc395691541"/>
      <w:bookmarkStart w:id="2207" w:name="_Toc434331476"/>
      <w:bookmarkStart w:id="2208" w:name="_Toc32656"/>
      <w:bookmarkStart w:id="2209" w:name="_Toc395689955"/>
      <w:bookmarkStart w:id="2210" w:name="_Toc395689468"/>
      <w:bookmarkStart w:id="2211" w:name="_Toc111445493"/>
      <w:r>
        <w:rPr>
          <w:rFonts w:hint="eastAsia" w:ascii="黑体" w:eastAsia="黑体"/>
          <w:highlight w:val="none"/>
        </w:rPr>
        <w:t>五、保证责任的解除</w:t>
      </w:r>
      <w:bookmarkEnd w:id="2206"/>
      <w:bookmarkEnd w:id="2207"/>
      <w:bookmarkEnd w:id="2208"/>
      <w:bookmarkEnd w:id="2209"/>
      <w:bookmarkEnd w:id="2210"/>
      <w:bookmarkEnd w:id="2211"/>
    </w:p>
    <w:p>
      <w:pPr>
        <w:spacing w:line="400" w:lineRule="exact"/>
        <w:ind w:firstLine="420" w:firstLineChars="200"/>
        <w:rPr>
          <w:highlight w:val="none"/>
        </w:rPr>
      </w:pPr>
      <w:r>
        <w:rPr>
          <w:rFonts w:hint="eastAsia"/>
          <w:highlight w:val="none"/>
        </w:rPr>
        <w:t>1、在本保函承诺的保证期间内，你方未书面向我方主张保证责任的，自保证期间届满次日起，我方保证责任解除。</w:t>
      </w:r>
    </w:p>
    <w:p>
      <w:pPr>
        <w:spacing w:line="400" w:lineRule="exact"/>
        <w:ind w:firstLine="420" w:firstLineChars="200"/>
        <w:rPr>
          <w:highlight w:val="none"/>
        </w:rPr>
      </w:pPr>
      <w:r>
        <w:rPr>
          <w:rFonts w:hint="eastAsia"/>
          <w:highlight w:val="none"/>
        </w:rPr>
        <w:t>2、承包人按主合同约定履行了义务的，自本保函承诺的保证期间届满次日起，我方保证责任解除。</w:t>
      </w:r>
    </w:p>
    <w:p>
      <w:pPr>
        <w:spacing w:line="400" w:lineRule="exact"/>
        <w:ind w:firstLine="420" w:firstLineChars="200"/>
        <w:rPr>
          <w:highlight w:val="none"/>
        </w:rPr>
      </w:pPr>
      <w:r>
        <w:rPr>
          <w:rFonts w:hint="eastAsia"/>
          <w:highlight w:val="none"/>
        </w:rPr>
        <w:t>3、我方按照本保函向你方履行保证责任所支付的金额达到本保函保证金额时，自我方向你方支付（支付款项从我方帐户划出）之日起，保证责任即解除。</w:t>
      </w:r>
    </w:p>
    <w:p>
      <w:pPr>
        <w:spacing w:line="400" w:lineRule="exact"/>
        <w:ind w:firstLine="420" w:firstLineChars="200"/>
        <w:rPr>
          <w:highlight w:val="none"/>
        </w:rPr>
      </w:pPr>
      <w:r>
        <w:rPr>
          <w:rFonts w:hint="eastAsia"/>
          <w:highlight w:val="none"/>
        </w:rPr>
        <w:t>4、按照法律法规的规定或出现应解除我方保证责任的其它情形的，我方在本保函项下的保证责任亦解除。</w:t>
      </w:r>
    </w:p>
    <w:p>
      <w:pPr>
        <w:spacing w:line="400" w:lineRule="exact"/>
        <w:ind w:firstLine="420" w:firstLineChars="200"/>
        <w:rPr>
          <w:highlight w:val="none"/>
        </w:rPr>
      </w:pPr>
      <w:r>
        <w:rPr>
          <w:rFonts w:hint="eastAsia"/>
          <w:highlight w:val="none"/>
        </w:rPr>
        <w:t>我方解除保证责任后，你方应自我方保证责任解除之日起</w:t>
      </w:r>
      <w:r>
        <w:rPr>
          <w:rFonts w:hint="eastAsia"/>
          <w:highlight w:val="none"/>
          <w:u w:val="single"/>
        </w:rPr>
        <w:t xml:space="preserve">   </w:t>
      </w:r>
      <w:r>
        <w:rPr>
          <w:rFonts w:hint="eastAsia"/>
          <w:highlight w:val="none"/>
        </w:rPr>
        <w:t>个工作日内，将本保函原件返还我方。</w:t>
      </w:r>
    </w:p>
    <w:p>
      <w:pPr>
        <w:spacing w:line="400" w:lineRule="exact"/>
        <w:ind w:firstLine="420" w:firstLineChars="200"/>
        <w:outlineLvl w:val="0"/>
        <w:rPr>
          <w:rFonts w:ascii="黑体" w:eastAsia="黑体"/>
          <w:highlight w:val="none"/>
        </w:rPr>
      </w:pPr>
      <w:bookmarkStart w:id="2212" w:name="_Toc395691542"/>
      <w:bookmarkStart w:id="2213" w:name="_Toc111445494"/>
      <w:bookmarkStart w:id="2214" w:name="_Toc395689956"/>
      <w:bookmarkStart w:id="2215" w:name="_Toc395689469"/>
      <w:bookmarkStart w:id="2216" w:name="_Toc6165"/>
      <w:bookmarkStart w:id="2217" w:name="_Toc434331477"/>
      <w:r>
        <w:rPr>
          <w:rFonts w:hint="eastAsia" w:ascii="黑体" w:eastAsia="黑体"/>
          <w:highlight w:val="none"/>
        </w:rPr>
        <w:t>六、免责条款</w:t>
      </w:r>
      <w:bookmarkEnd w:id="2212"/>
      <w:bookmarkEnd w:id="2213"/>
      <w:bookmarkEnd w:id="2214"/>
      <w:bookmarkEnd w:id="2215"/>
      <w:bookmarkEnd w:id="2216"/>
      <w:bookmarkEnd w:id="2217"/>
    </w:p>
    <w:p>
      <w:pPr>
        <w:spacing w:line="400" w:lineRule="exact"/>
        <w:ind w:firstLine="420" w:firstLineChars="200"/>
        <w:rPr>
          <w:highlight w:val="none"/>
        </w:rPr>
      </w:pPr>
      <w:r>
        <w:rPr>
          <w:rFonts w:hint="eastAsia"/>
          <w:highlight w:val="none"/>
        </w:rPr>
        <w:t>1、因你方违约致使承包人不能履行义务的，我方不承担保证责任。</w:t>
      </w:r>
    </w:p>
    <w:p>
      <w:pPr>
        <w:spacing w:line="400" w:lineRule="exact"/>
        <w:ind w:firstLine="420" w:firstLineChars="200"/>
        <w:rPr>
          <w:highlight w:val="none"/>
        </w:rPr>
      </w:pPr>
      <w:r>
        <w:rPr>
          <w:rFonts w:hint="eastAsia"/>
          <w:highlight w:val="none"/>
        </w:rPr>
        <w:t>2、依照法律法规的规定或你方与承包人的另行约定，免除承包人部分或全部义务的，我方亦免除其相应的保证责任。</w:t>
      </w:r>
    </w:p>
    <w:p>
      <w:pPr>
        <w:spacing w:line="400" w:lineRule="exact"/>
        <w:ind w:firstLine="420" w:firstLineChars="200"/>
        <w:rPr>
          <w:highlight w:val="none"/>
        </w:rPr>
      </w:pPr>
      <w:r>
        <w:rPr>
          <w:rFonts w:hint="eastAsia"/>
          <w:highlight w:val="none"/>
        </w:rPr>
        <w:t>3、你方与承包人协议变更主合同（符合主合同合同条款第15条约定的变更除外），如加重承包人责任致使我方保证责任加重的，需征得我方书面同意，否则我方不再承担因此而加重部分的保证责任。</w:t>
      </w:r>
    </w:p>
    <w:p>
      <w:pPr>
        <w:spacing w:line="400" w:lineRule="exact"/>
        <w:ind w:firstLine="420" w:firstLineChars="200"/>
        <w:rPr>
          <w:highlight w:val="none"/>
        </w:rPr>
      </w:pPr>
      <w:r>
        <w:rPr>
          <w:rFonts w:hint="eastAsia"/>
          <w:highlight w:val="none"/>
        </w:rPr>
        <w:t>4、因不可抗力造成承包人不能履行义务的，我方不承担保证责任。</w:t>
      </w:r>
    </w:p>
    <w:p>
      <w:pPr>
        <w:spacing w:line="400" w:lineRule="exact"/>
        <w:ind w:firstLine="420" w:firstLineChars="200"/>
        <w:outlineLvl w:val="0"/>
        <w:rPr>
          <w:rFonts w:ascii="黑体" w:eastAsia="黑体"/>
          <w:highlight w:val="none"/>
        </w:rPr>
      </w:pPr>
      <w:bookmarkStart w:id="2218" w:name="_Toc395691543"/>
      <w:bookmarkStart w:id="2219" w:name="_Toc395689957"/>
      <w:bookmarkStart w:id="2220" w:name="_Toc10102"/>
      <w:bookmarkStart w:id="2221" w:name="_Toc434331478"/>
      <w:bookmarkStart w:id="2222" w:name="_Toc111445495"/>
      <w:bookmarkStart w:id="2223" w:name="_Toc395689470"/>
      <w:r>
        <w:rPr>
          <w:rFonts w:hint="eastAsia" w:ascii="黑体" w:eastAsia="黑体"/>
          <w:highlight w:val="none"/>
        </w:rPr>
        <w:t>七、争议的解决</w:t>
      </w:r>
      <w:bookmarkEnd w:id="2218"/>
      <w:bookmarkEnd w:id="2219"/>
      <w:bookmarkEnd w:id="2220"/>
      <w:bookmarkEnd w:id="2221"/>
      <w:bookmarkEnd w:id="2222"/>
      <w:bookmarkEnd w:id="2223"/>
    </w:p>
    <w:p>
      <w:pPr>
        <w:spacing w:line="400" w:lineRule="exact"/>
        <w:ind w:firstLine="420" w:firstLineChars="200"/>
        <w:rPr>
          <w:highlight w:val="none"/>
        </w:rPr>
      </w:pPr>
      <w:r>
        <w:rPr>
          <w:rFonts w:hint="eastAsia"/>
          <w:highlight w:val="none"/>
        </w:rPr>
        <w:t>因本保函发生的纠纷，由贵我双方协商解决，协商不成的，任何一方均可提请</w:t>
      </w:r>
      <w:r>
        <w:rPr>
          <w:rFonts w:hint="eastAsia"/>
          <w:highlight w:val="none"/>
          <w:u w:val="single"/>
        </w:rPr>
        <w:t xml:space="preserve">        </w:t>
      </w:r>
      <w:r>
        <w:rPr>
          <w:rFonts w:hint="eastAsia"/>
          <w:highlight w:val="none"/>
        </w:rPr>
        <w:t>仲裁委员会仲裁。</w:t>
      </w:r>
    </w:p>
    <w:p>
      <w:pPr>
        <w:spacing w:line="400" w:lineRule="exact"/>
        <w:ind w:firstLine="420" w:firstLineChars="200"/>
        <w:outlineLvl w:val="0"/>
        <w:rPr>
          <w:rFonts w:ascii="黑体" w:eastAsia="黑体"/>
          <w:highlight w:val="none"/>
        </w:rPr>
      </w:pPr>
      <w:bookmarkStart w:id="2224" w:name="_Toc395689958"/>
      <w:bookmarkStart w:id="2225" w:name="_Toc434331479"/>
      <w:bookmarkStart w:id="2226" w:name="_Toc395689471"/>
      <w:bookmarkStart w:id="2227" w:name="_Toc1204"/>
      <w:bookmarkStart w:id="2228" w:name="_Toc395691544"/>
      <w:bookmarkStart w:id="2229" w:name="_Toc111445496"/>
      <w:r>
        <w:rPr>
          <w:rFonts w:hint="eastAsia" w:ascii="黑体" w:eastAsia="黑体"/>
          <w:highlight w:val="none"/>
        </w:rPr>
        <w:t>八、保函的生效</w:t>
      </w:r>
      <w:bookmarkEnd w:id="2224"/>
      <w:bookmarkEnd w:id="2225"/>
      <w:bookmarkEnd w:id="2226"/>
      <w:bookmarkEnd w:id="2227"/>
      <w:bookmarkEnd w:id="2228"/>
      <w:bookmarkEnd w:id="2229"/>
    </w:p>
    <w:p>
      <w:pPr>
        <w:spacing w:line="400" w:lineRule="exact"/>
        <w:ind w:firstLine="420" w:firstLineChars="200"/>
        <w:rPr>
          <w:highlight w:val="none"/>
        </w:rPr>
      </w:pPr>
      <w:r>
        <w:rPr>
          <w:rFonts w:hint="eastAsia"/>
          <w:highlight w:val="none"/>
        </w:rPr>
        <w:t>本保函自我方法定代表人（或其授权代理人）签字或加盖公章并交付你方之日起生效。</w:t>
      </w:r>
    </w:p>
    <w:p>
      <w:pPr>
        <w:spacing w:line="400" w:lineRule="exact"/>
        <w:ind w:firstLine="420" w:firstLineChars="200"/>
        <w:rPr>
          <w:highlight w:val="none"/>
        </w:rPr>
      </w:pPr>
      <w:r>
        <w:rPr>
          <w:rFonts w:hint="eastAsia"/>
          <w:highlight w:val="none"/>
        </w:rPr>
        <w:t>本条所称交付是指：</w:t>
      </w:r>
      <w:r>
        <w:rPr>
          <w:rFonts w:hint="eastAsia"/>
          <w:highlight w:val="none"/>
          <w:u w:val="single"/>
        </w:rPr>
        <w:t xml:space="preserve">                                                    </w:t>
      </w:r>
      <w:r>
        <w:rPr>
          <w:rFonts w:hint="eastAsia"/>
          <w:highlight w:val="none"/>
        </w:rPr>
        <w:t xml:space="preserve"> 。</w:t>
      </w:r>
    </w:p>
    <w:p>
      <w:pPr>
        <w:spacing w:line="400" w:lineRule="exact"/>
        <w:rPr>
          <w:highlight w:val="none"/>
        </w:rPr>
      </w:pPr>
    </w:p>
    <w:p>
      <w:pPr>
        <w:spacing w:line="400" w:lineRule="exact"/>
        <w:ind w:firstLine="2940" w:firstLineChars="1400"/>
        <w:jc w:val="left"/>
        <w:rPr>
          <w:szCs w:val="21"/>
          <w:highlight w:val="none"/>
        </w:rPr>
      </w:pPr>
      <w:r>
        <w:rPr>
          <w:rFonts w:hint="eastAsia" w:ascii="黑体" w:eastAsia="黑体"/>
          <w:szCs w:val="21"/>
          <w:highlight w:val="none"/>
        </w:rPr>
        <w:t>担保人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（盖单位章）</w:t>
      </w:r>
    </w:p>
    <w:p>
      <w:pPr>
        <w:spacing w:line="400" w:lineRule="exact"/>
        <w:ind w:firstLine="2940" w:firstLineChars="1400"/>
        <w:jc w:val="left"/>
        <w:rPr>
          <w:szCs w:val="21"/>
          <w:highlight w:val="none"/>
        </w:rPr>
      </w:pPr>
      <w:r>
        <w:rPr>
          <w:rFonts w:hint="eastAsia" w:ascii="黑体" w:eastAsia="黑体"/>
          <w:szCs w:val="21"/>
          <w:highlight w:val="none"/>
        </w:rPr>
        <w:t>法定代表人或其委托代理人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（签字）</w:t>
      </w:r>
    </w:p>
    <w:p>
      <w:pPr>
        <w:spacing w:line="400" w:lineRule="exact"/>
        <w:ind w:firstLine="2940" w:firstLineChars="1400"/>
        <w:jc w:val="left"/>
        <w:rPr>
          <w:szCs w:val="21"/>
          <w:highlight w:val="none"/>
        </w:rPr>
      </w:pPr>
      <w:r>
        <w:rPr>
          <w:rFonts w:hint="eastAsia" w:ascii="黑体" w:eastAsia="黑体"/>
          <w:szCs w:val="21"/>
          <w:highlight w:val="none"/>
        </w:rPr>
        <w:t>地    址</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 xml:space="preserve">    </w:t>
      </w:r>
      <w:r>
        <w:rPr>
          <w:szCs w:val="21"/>
          <w:highlight w:val="none"/>
          <w:u w:val="single"/>
        </w:rPr>
        <w:tab/>
      </w:r>
      <w:r>
        <w:rPr>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邮政编码</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ab/>
      </w:r>
      <w:r>
        <w:rPr>
          <w:szCs w:val="21"/>
          <w:highlight w:val="none"/>
          <w:u w:val="single"/>
        </w:rPr>
        <w:tab/>
      </w:r>
      <w:r>
        <w:rPr>
          <w:szCs w:val="21"/>
          <w:highlight w:val="none"/>
          <w:u w:val="single"/>
        </w:rPr>
        <w:tab/>
      </w:r>
      <w:r>
        <w:rPr>
          <w:rFonts w:hint="eastAsia"/>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电    话</w:t>
      </w:r>
      <w:r>
        <w:rPr>
          <w:szCs w:val="21"/>
          <w:highlight w:val="none"/>
        </w:rPr>
        <w:t>：</w:t>
      </w:r>
      <w:r>
        <w:rPr>
          <w:szCs w:val="21"/>
          <w:highlight w:val="none"/>
          <w:u w:val="single"/>
        </w:rPr>
        <w:t xml:space="preserve">                          </w:t>
      </w:r>
      <w:r>
        <w:rPr>
          <w:rFonts w:hint="eastAsia"/>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传    真</w:t>
      </w:r>
      <w:r>
        <w:rPr>
          <w:szCs w:val="21"/>
          <w:highlight w:val="none"/>
        </w:rPr>
        <w:t>：</w:t>
      </w:r>
      <w:r>
        <w:rPr>
          <w:szCs w:val="21"/>
          <w:highlight w:val="none"/>
          <w:u w:val="single"/>
        </w:rPr>
        <w:t xml:space="preserve">                          </w:t>
      </w:r>
      <w:r>
        <w:rPr>
          <w:rFonts w:hint="eastAsia"/>
          <w:szCs w:val="21"/>
          <w:highlight w:val="none"/>
          <w:u w:val="single"/>
        </w:rPr>
        <w:t xml:space="preserve">          </w:t>
      </w:r>
    </w:p>
    <w:p>
      <w:pPr>
        <w:spacing w:line="400" w:lineRule="exact"/>
        <w:ind w:firstLine="4515" w:firstLineChars="2150"/>
        <w:jc w:val="left"/>
        <w:rPr>
          <w:szCs w:val="21"/>
          <w:highlight w:val="none"/>
          <w:u w:val="single"/>
        </w:rPr>
      </w:pPr>
      <w:r>
        <w:rPr>
          <w:rFonts w:hint="eastAsia"/>
          <w:szCs w:val="21"/>
          <w:highlight w:val="none"/>
          <w:u w:val="single"/>
        </w:rPr>
        <w:t xml:space="preserve">     </w:t>
      </w:r>
      <w:r>
        <w:rPr>
          <w:szCs w:val="21"/>
          <w:highlight w:val="none"/>
          <w:u w:val="single"/>
        </w:rPr>
        <w:t xml:space="preserve">       </w:t>
      </w:r>
      <w:r>
        <w:rPr>
          <w:szCs w:val="21"/>
          <w:highlight w:val="none"/>
        </w:rPr>
        <w:t xml:space="preserve"> 年</w:t>
      </w:r>
      <w:r>
        <w:rPr>
          <w:szCs w:val="21"/>
          <w:highlight w:val="none"/>
          <w:u w:val="single"/>
        </w:rPr>
        <w:t xml:space="preserve">      </w:t>
      </w:r>
      <w:r>
        <w:rPr>
          <w:szCs w:val="21"/>
          <w:highlight w:val="none"/>
        </w:rPr>
        <w:t>月</w:t>
      </w:r>
      <w:r>
        <w:rPr>
          <w:szCs w:val="21"/>
          <w:highlight w:val="none"/>
          <w:u w:val="single"/>
        </w:rPr>
        <w:t xml:space="preserve">      </w:t>
      </w:r>
      <w:r>
        <w:rPr>
          <w:szCs w:val="21"/>
          <w:highlight w:val="none"/>
        </w:rPr>
        <w:t>日</w:t>
      </w:r>
    </w:p>
    <w:p>
      <w:pPr>
        <w:spacing w:line="400" w:lineRule="exact"/>
        <w:rPr>
          <w:szCs w:val="21"/>
          <w:highlight w:val="none"/>
        </w:rPr>
      </w:pPr>
    </w:p>
    <w:p>
      <w:pPr>
        <w:spacing w:line="400" w:lineRule="exact"/>
        <w:rPr>
          <w:szCs w:val="21"/>
          <w:highlight w:val="none"/>
        </w:rPr>
      </w:pPr>
      <w:r>
        <w:rPr>
          <w:rFonts w:hint="eastAsia" w:ascii="黑体" w:eastAsia="黑体"/>
          <w:szCs w:val="21"/>
          <w:highlight w:val="none"/>
        </w:rPr>
        <w:t>备注：</w:t>
      </w:r>
      <w:r>
        <w:rPr>
          <w:rFonts w:hint="eastAsia"/>
          <w:szCs w:val="21"/>
          <w:highlight w:val="none"/>
        </w:rPr>
        <w:t>本履约担保格式可以采用经发包人同意的其他格式，但相关内容不得违背合同约定的实质性内容。</w:t>
      </w:r>
    </w:p>
    <w:p>
      <w:pPr>
        <w:pStyle w:val="199"/>
        <w:rPr>
          <w:rFonts w:ascii="黑体"/>
          <w:b/>
          <w:szCs w:val="24"/>
          <w:highlight w:val="none"/>
        </w:rPr>
      </w:pPr>
      <w:r>
        <w:rPr>
          <w:sz w:val="21"/>
          <w:highlight w:val="none"/>
        </w:rPr>
        <w:br w:type="page"/>
      </w:r>
      <w:bookmarkStart w:id="2230" w:name="_Toc342296515"/>
      <w:bookmarkStart w:id="2231" w:name="_Toc395689472"/>
      <w:bookmarkStart w:id="2232" w:name="_Toc241459756"/>
      <w:bookmarkStart w:id="2233" w:name="_Toc18504"/>
      <w:bookmarkStart w:id="2234" w:name="_Toc434331480"/>
      <w:r>
        <w:rPr>
          <w:rFonts w:hint="eastAsia"/>
          <w:highlight w:val="none"/>
        </w:rPr>
        <w:t>附件六：支付担保格式</w:t>
      </w:r>
      <w:bookmarkEnd w:id="2230"/>
      <w:bookmarkEnd w:id="2231"/>
      <w:bookmarkEnd w:id="2232"/>
      <w:r>
        <w:rPr>
          <w:rFonts w:hint="eastAsia"/>
          <w:highlight w:val="none"/>
        </w:rPr>
        <w:t>（本附件不适用于本合同）</w:t>
      </w:r>
      <w:bookmarkEnd w:id="2233"/>
      <w:bookmarkEnd w:id="2234"/>
    </w:p>
    <w:p>
      <w:pPr>
        <w:jc w:val="center"/>
        <w:rPr>
          <w:rFonts w:eastAsia="黑体"/>
          <w:sz w:val="28"/>
          <w:highlight w:val="none"/>
        </w:rPr>
      </w:pPr>
      <w:bookmarkStart w:id="2235" w:name="_Toc111445466"/>
    </w:p>
    <w:p>
      <w:pPr>
        <w:spacing w:line="400" w:lineRule="exact"/>
        <w:jc w:val="center"/>
        <w:rPr>
          <w:rFonts w:eastAsia="黑体"/>
          <w:sz w:val="28"/>
          <w:highlight w:val="none"/>
        </w:rPr>
      </w:pPr>
      <w:r>
        <w:rPr>
          <w:rFonts w:hint="eastAsia" w:eastAsia="黑体"/>
          <w:sz w:val="28"/>
          <w:highlight w:val="none"/>
        </w:rPr>
        <w:t>发包人支付保函</w:t>
      </w:r>
      <w:bookmarkEnd w:id="2235"/>
    </w:p>
    <w:p>
      <w:pPr>
        <w:spacing w:line="400" w:lineRule="exact"/>
        <w:rPr>
          <w:highlight w:val="none"/>
        </w:rPr>
      </w:pPr>
      <w:r>
        <w:rPr>
          <w:rFonts w:hint="eastAsia"/>
          <w:highlight w:val="none"/>
          <w:u w:val="single"/>
        </w:rPr>
        <w:t xml:space="preserve">                   </w:t>
      </w:r>
      <w:r>
        <w:rPr>
          <w:rFonts w:hint="eastAsia"/>
          <w:highlight w:val="none"/>
        </w:rPr>
        <w:t>（承包人）：</w:t>
      </w:r>
    </w:p>
    <w:p>
      <w:pPr>
        <w:spacing w:line="400" w:lineRule="exact"/>
        <w:ind w:firstLine="420" w:firstLineChars="200"/>
        <w:rPr>
          <w:szCs w:val="21"/>
          <w:highlight w:val="none"/>
        </w:rPr>
      </w:pPr>
      <w:r>
        <w:rPr>
          <w:rFonts w:ascii="Arial" w:hAnsi="Arial" w:cs="Arial"/>
          <w:szCs w:val="21"/>
          <w:highlight w:val="none"/>
        </w:rPr>
        <w:t>鉴于你方</w:t>
      </w:r>
      <w:r>
        <w:rPr>
          <w:rFonts w:hint="eastAsia" w:ascii="Arial" w:hAnsi="Arial" w:cs="Arial"/>
          <w:szCs w:val="21"/>
          <w:highlight w:val="none"/>
        </w:rPr>
        <w:t>作为承</w:t>
      </w:r>
      <w:r>
        <w:rPr>
          <w:rFonts w:ascii="Arial" w:hAnsi="Arial" w:cs="Arial"/>
          <w:szCs w:val="21"/>
          <w:highlight w:val="none"/>
        </w:rPr>
        <w:t>包人已经与</w:t>
      </w:r>
      <w:r>
        <w:rPr>
          <w:rFonts w:ascii="Arial" w:hAnsi="Arial" w:cs="Arial"/>
          <w:szCs w:val="21"/>
          <w:highlight w:val="none"/>
          <w:u w:val="single"/>
        </w:rPr>
        <w:t xml:space="preserve">                 </w:t>
      </w:r>
      <w:r>
        <w:rPr>
          <w:rFonts w:hint="eastAsia" w:ascii="Arial" w:hAnsi="Arial" w:eastAsia="楷体_GB2312" w:cs="Arial"/>
          <w:szCs w:val="21"/>
          <w:highlight w:val="none"/>
        </w:rPr>
        <w:t>（</w:t>
      </w:r>
      <w:r>
        <w:rPr>
          <w:rFonts w:hint="eastAsia" w:cs="Arial"/>
          <w:szCs w:val="21"/>
          <w:highlight w:val="none"/>
        </w:rPr>
        <w:t>发包人</w:t>
      </w:r>
      <w:r>
        <w:rPr>
          <w:rFonts w:cs="Arial"/>
          <w:szCs w:val="21"/>
          <w:highlight w:val="none"/>
        </w:rPr>
        <w:t>名称</w:t>
      </w:r>
      <w:r>
        <w:rPr>
          <w:rFonts w:ascii="Arial" w:hAnsi="Arial" w:eastAsia="楷体_GB2312" w:cs="Arial"/>
          <w:szCs w:val="21"/>
          <w:highlight w:val="none"/>
        </w:rPr>
        <w:t>）</w:t>
      </w:r>
      <w:r>
        <w:rPr>
          <w:rFonts w:hint="eastAsia" w:ascii="Arial" w:hAnsi="Arial" w:eastAsia="楷体_GB2312" w:cs="Arial"/>
          <w:szCs w:val="21"/>
          <w:highlight w:val="none"/>
        </w:rPr>
        <w:t>（</w:t>
      </w:r>
      <w:r>
        <w:rPr>
          <w:rFonts w:ascii="Arial" w:hAnsi="Arial" w:cs="Arial"/>
          <w:szCs w:val="21"/>
          <w:highlight w:val="none"/>
        </w:rPr>
        <w:t>以下称</w:t>
      </w:r>
      <w:r>
        <w:rPr>
          <w:rFonts w:hint="eastAsia" w:ascii="Arial" w:hAnsi="Arial" w:cs="Arial"/>
          <w:szCs w:val="21"/>
          <w:highlight w:val="none"/>
        </w:rPr>
        <w:t>“发</w:t>
      </w:r>
      <w:r>
        <w:rPr>
          <w:rFonts w:ascii="Arial" w:hAnsi="Arial" w:cs="Arial"/>
          <w:szCs w:val="21"/>
          <w:highlight w:val="none"/>
        </w:rPr>
        <w:t>包人</w:t>
      </w:r>
      <w:r>
        <w:rPr>
          <w:rFonts w:hint="eastAsia" w:ascii="Arial" w:hAnsi="Arial" w:cs="Arial"/>
          <w:szCs w:val="21"/>
          <w:highlight w:val="none"/>
        </w:rPr>
        <w:t>”</w:t>
      </w:r>
      <w:r>
        <w:rPr>
          <w:rFonts w:hint="eastAsia"/>
          <w:szCs w:val="21"/>
          <w:highlight w:val="none"/>
        </w:rPr>
        <w:t>）</w:t>
      </w:r>
      <w:r>
        <w:rPr>
          <w:szCs w:val="21"/>
          <w:highlight w:val="none"/>
        </w:rPr>
        <w:t>于</w:t>
      </w:r>
      <w:r>
        <w:rPr>
          <w:szCs w:val="21"/>
          <w:highlight w:val="none"/>
          <w:u w:val="single"/>
        </w:rPr>
        <w:t xml:space="preserve">     </w:t>
      </w:r>
      <w:r>
        <w:rPr>
          <w:szCs w:val="21"/>
          <w:highlight w:val="none"/>
        </w:rPr>
        <w:t xml:space="preserve"> </w:t>
      </w:r>
    </w:p>
    <w:p>
      <w:pPr>
        <w:spacing w:line="400" w:lineRule="exact"/>
        <w:rPr>
          <w:highlight w:val="none"/>
        </w:rPr>
      </w:pPr>
      <w:r>
        <w:rPr>
          <w:rFonts w:hint="eastAsia"/>
          <w:szCs w:val="21"/>
          <w:highlight w:val="none"/>
          <w:u w:val="single"/>
        </w:rPr>
        <w:t xml:space="preserve">        </w:t>
      </w:r>
      <w:r>
        <w:rPr>
          <w:szCs w:val="21"/>
          <w:highlight w:val="none"/>
        </w:rPr>
        <w:t>年</w:t>
      </w:r>
      <w:r>
        <w:rPr>
          <w:szCs w:val="21"/>
          <w:highlight w:val="none"/>
          <w:u w:val="single"/>
        </w:rPr>
        <w:t xml:space="preserve">    </w:t>
      </w:r>
      <w:r>
        <w:rPr>
          <w:szCs w:val="21"/>
          <w:highlight w:val="none"/>
        </w:rPr>
        <w:t>月</w:t>
      </w:r>
      <w:r>
        <w:rPr>
          <w:szCs w:val="21"/>
          <w:highlight w:val="none"/>
          <w:u w:val="single"/>
        </w:rPr>
        <w:t xml:space="preserve">    </w:t>
      </w:r>
      <w:r>
        <w:rPr>
          <w:szCs w:val="21"/>
          <w:highlight w:val="none"/>
        </w:rPr>
        <w:t>日签订</w:t>
      </w:r>
      <w:r>
        <w:rPr>
          <w:rFonts w:hint="eastAsia"/>
          <w:szCs w:val="21"/>
          <w:highlight w:val="none"/>
        </w:rPr>
        <w:t>了</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w:t>
      </w:r>
      <w:r>
        <w:rPr>
          <w:rFonts w:hint="eastAsia"/>
          <w:szCs w:val="21"/>
          <w:highlight w:val="none"/>
        </w:rPr>
        <w:t>工程</w:t>
      </w:r>
      <w:r>
        <w:rPr>
          <w:szCs w:val="21"/>
          <w:highlight w:val="none"/>
        </w:rPr>
        <w:t>名称）</w:t>
      </w:r>
      <w:r>
        <w:rPr>
          <w:rFonts w:hint="eastAsia"/>
          <w:szCs w:val="21"/>
          <w:highlight w:val="none"/>
        </w:rPr>
        <w:t>施工承包</w:t>
      </w:r>
      <w:r>
        <w:rPr>
          <w:szCs w:val="21"/>
          <w:highlight w:val="none"/>
        </w:rPr>
        <w:t>合同</w:t>
      </w:r>
      <w:r>
        <w:rPr>
          <w:rFonts w:hint="eastAsia"/>
          <w:szCs w:val="21"/>
          <w:highlight w:val="none"/>
        </w:rPr>
        <w:t>（以下称“主合同”），</w:t>
      </w:r>
      <w:r>
        <w:rPr>
          <w:rFonts w:hint="eastAsia"/>
          <w:highlight w:val="none"/>
        </w:rPr>
        <w:t>应发包人的申请，我方愿就发包人履行主合同约定的工程款支付义务以保证的方式向你方提供如下担保：</w:t>
      </w:r>
    </w:p>
    <w:p>
      <w:pPr>
        <w:spacing w:line="400" w:lineRule="exact"/>
        <w:ind w:firstLine="420" w:firstLineChars="200"/>
        <w:outlineLvl w:val="0"/>
        <w:rPr>
          <w:rFonts w:ascii="黑体" w:eastAsia="黑体"/>
          <w:highlight w:val="none"/>
        </w:rPr>
      </w:pPr>
      <w:bookmarkStart w:id="2236" w:name="_Toc13139"/>
      <w:bookmarkStart w:id="2237" w:name="_Toc111445467"/>
      <w:bookmarkStart w:id="2238" w:name="_Toc395691546"/>
      <w:bookmarkStart w:id="2239" w:name="_Toc434331481"/>
      <w:bookmarkStart w:id="2240" w:name="_Toc395689960"/>
      <w:bookmarkStart w:id="2241" w:name="_Toc395689473"/>
      <w:r>
        <w:rPr>
          <w:rFonts w:hint="eastAsia" w:ascii="黑体" w:eastAsia="黑体"/>
          <w:highlight w:val="none"/>
        </w:rPr>
        <w:t>一、保证的范围及保证金额</w:t>
      </w:r>
      <w:bookmarkEnd w:id="2236"/>
      <w:bookmarkEnd w:id="2237"/>
      <w:bookmarkEnd w:id="2238"/>
      <w:bookmarkEnd w:id="2239"/>
      <w:bookmarkEnd w:id="2240"/>
      <w:bookmarkEnd w:id="2241"/>
    </w:p>
    <w:p>
      <w:pPr>
        <w:spacing w:line="400" w:lineRule="exact"/>
        <w:ind w:firstLine="420" w:firstLineChars="200"/>
        <w:rPr>
          <w:highlight w:val="none"/>
        </w:rPr>
      </w:pPr>
      <w:r>
        <w:rPr>
          <w:rFonts w:hint="eastAsia"/>
          <w:highlight w:val="none"/>
        </w:rPr>
        <w:t>我方的保证范围是承包人未按照主合同的约定履行义务，给你方造成的实际损失。是主合同约定的工程款。</w:t>
      </w:r>
    </w:p>
    <w:p>
      <w:pPr>
        <w:spacing w:line="400" w:lineRule="exact"/>
        <w:ind w:firstLine="420" w:firstLineChars="200"/>
        <w:rPr>
          <w:highlight w:val="none"/>
        </w:rPr>
      </w:pPr>
      <w:r>
        <w:rPr>
          <w:rFonts w:hint="eastAsia"/>
          <w:highlight w:val="none"/>
        </w:rPr>
        <w:t>本保函所称主合同约定的工程款是指主合同约定的除工程质量保证金以外的合同价款。</w:t>
      </w:r>
    </w:p>
    <w:p>
      <w:pPr>
        <w:spacing w:line="400" w:lineRule="exact"/>
        <w:ind w:firstLine="420" w:firstLineChars="200"/>
        <w:rPr>
          <w:highlight w:val="none"/>
        </w:rPr>
      </w:pPr>
      <w:r>
        <w:rPr>
          <w:rFonts w:hint="eastAsia"/>
          <w:highlight w:val="none"/>
        </w:rPr>
        <w:t xml:space="preserve">我方保证的金额是主合同约定的工程款的 </w:t>
      </w:r>
      <w:r>
        <w:rPr>
          <w:rFonts w:hint="eastAsia"/>
          <w:highlight w:val="none"/>
          <w:u w:val="single"/>
        </w:rPr>
        <w:t xml:space="preserve">       </w:t>
      </w:r>
      <w:r>
        <w:rPr>
          <w:rFonts w:hint="eastAsia"/>
          <w:highlight w:val="none"/>
        </w:rPr>
        <w:t>%，数额最高不超过人民币</w:t>
      </w:r>
      <w:r>
        <w:rPr>
          <w:highlight w:val="none"/>
        </w:rPr>
        <w:softHyphen/>
      </w:r>
      <w:r>
        <w:rPr>
          <w:rFonts w:hint="eastAsia"/>
          <w:highlight w:val="none"/>
          <w:u w:val="single"/>
        </w:rPr>
        <w:t xml:space="preserve">           </w:t>
      </w:r>
      <w:r>
        <w:rPr>
          <w:rFonts w:hint="eastAsia"/>
          <w:highlight w:val="none"/>
        </w:rPr>
        <w:t>元（大写：</w:t>
      </w:r>
      <w:r>
        <w:rPr>
          <w:rFonts w:hint="eastAsia"/>
          <w:highlight w:val="none"/>
          <w:u w:val="single"/>
        </w:rPr>
        <w:t xml:space="preserve">              </w:t>
      </w:r>
      <w:r>
        <w:rPr>
          <w:rFonts w:hint="eastAsia"/>
          <w:highlight w:val="none"/>
        </w:rPr>
        <w:t>）。</w:t>
      </w:r>
    </w:p>
    <w:p>
      <w:pPr>
        <w:spacing w:line="400" w:lineRule="exact"/>
        <w:ind w:firstLine="420" w:firstLineChars="200"/>
        <w:outlineLvl w:val="0"/>
        <w:rPr>
          <w:rFonts w:ascii="黑体" w:eastAsia="黑体"/>
          <w:highlight w:val="none"/>
        </w:rPr>
      </w:pPr>
      <w:bookmarkStart w:id="2242" w:name="_Toc395689474"/>
      <w:bookmarkStart w:id="2243" w:name="_Toc395691547"/>
      <w:bookmarkStart w:id="2244" w:name="_Toc395689961"/>
      <w:bookmarkStart w:id="2245" w:name="_Toc14800"/>
      <w:bookmarkStart w:id="2246" w:name="_Toc434331482"/>
      <w:bookmarkStart w:id="2247" w:name="_Toc111445468"/>
      <w:r>
        <w:rPr>
          <w:rFonts w:hint="eastAsia" w:ascii="黑体" w:eastAsia="黑体"/>
          <w:highlight w:val="none"/>
        </w:rPr>
        <w:t>二、保证的方式及保证期间</w:t>
      </w:r>
      <w:bookmarkEnd w:id="2242"/>
      <w:bookmarkEnd w:id="2243"/>
      <w:bookmarkEnd w:id="2244"/>
      <w:bookmarkEnd w:id="2245"/>
      <w:bookmarkEnd w:id="2246"/>
      <w:bookmarkEnd w:id="2247"/>
    </w:p>
    <w:p>
      <w:pPr>
        <w:spacing w:line="400" w:lineRule="exact"/>
        <w:ind w:firstLine="420" w:firstLineChars="200"/>
        <w:rPr>
          <w:highlight w:val="none"/>
        </w:rPr>
      </w:pPr>
      <w:r>
        <w:rPr>
          <w:rFonts w:hint="eastAsia"/>
          <w:highlight w:val="none"/>
        </w:rPr>
        <w:t>我方保证的方式为：连带责任保证。</w:t>
      </w:r>
    </w:p>
    <w:p>
      <w:pPr>
        <w:spacing w:line="400" w:lineRule="exact"/>
        <w:ind w:firstLine="420" w:firstLineChars="200"/>
        <w:rPr>
          <w:highlight w:val="none"/>
        </w:rPr>
      </w:pPr>
      <w:r>
        <w:rPr>
          <w:rFonts w:hint="eastAsia"/>
          <w:highlight w:val="none"/>
        </w:rPr>
        <w:t>我方保证的期间为：自本合同生效之日起至主合同约定的工程款支付之日后</w:t>
      </w:r>
      <w:r>
        <w:rPr>
          <w:rFonts w:hint="eastAsia"/>
          <w:highlight w:val="none"/>
          <w:u w:val="single"/>
        </w:rPr>
        <w:t xml:space="preserve">      </w:t>
      </w:r>
      <w:r>
        <w:rPr>
          <w:rFonts w:hint="eastAsia"/>
          <w:highlight w:val="none"/>
        </w:rPr>
        <w:t>日内。</w:t>
      </w:r>
    </w:p>
    <w:p>
      <w:pPr>
        <w:spacing w:line="400" w:lineRule="exact"/>
        <w:ind w:firstLine="420" w:firstLineChars="200"/>
        <w:rPr>
          <w:b/>
          <w:highlight w:val="none"/>
        </w:rPr>
      </w:pPr>
      <w:r>
        <w:rPr>
          <w:rFonts w:hint="eastAsia"/>
          <w:highlight w:val="none"/>
        </w:rPr>
        <w:t>你方与发包人协议变更工程款支付日期的，经我方书面同意后，保证期间按照变更后的支付日期做相应调整。</w:t>
      </w:r>
    </w:p>
    <w:p>
      <w:pPr>
        <w:spacing w:line="400" w:lineRule="exact"/>
        <w:ind w:firstLine="420" w:firstLineChars="200"/>
        <w:outlineLvl w:val="0"/>
        <w:rPr>
          <w:rFonts w:ascii="黑体" w:eastAsia="黑体"/>
          <w:highlight w:val="none"/>
        </w:rPr>
      </w:pPr>
      <w:bookmarkStart w:id="2248" w:name="_Toc395689962"/>
      <w:bookmarkStart w:id="2249" w:name="_Toc111445469"/>
      <w:bookmarkStart w:id="2250" w:name="_Toc395689475"/>
      <w:bookmarkStart w:id="2251" w:name="_Toc21674"/>
      <w:bookmarkStart w:id="2252" w:name="_Toc434331483"/>
      <w:bookmarkStart w:id="2253" w:name="_Toc395691548"/>
      <w:r>
        <w:rPr>
          <w:rFonts w:hint="eastAsia" w:ascii="黑体" w:eastAsia="黑体"/>
          <w:highlight w:val="none"/>
        </w:rPr>
        <w:t>三、承担保证责任的形式</w:t>
      </w:r>
      <w:bookmarkEnd w:id="2248"/>
      <w:bookmarkEnd w:id="2249"/>
      <w:bookmarkEnd w:id="2250"/>
      <w:bookmarkEnd w:id="2251"/>
      <w:bookmarkEnd w:id="2252"/>
      <w:bookmarkEnd w:id="2253"/>
    </w:p>
    <w:p>
      <w:pPr>
        <w:spacing w:line="400" w:lineRule="exact"/>
        <w:ind w:firstLine="411" w:firstLineChars="196"/>
        <w:rPr>
          <w:highlight w:val="none"/>
        </w:rPr>
      </w:pPr>
      <w:r>
        <w:rPr>
          <w:rFonts w:hint="eastAsia"/>
          <w:highlight w:val="none"/>
        </w:rPr>
        <w:t>我方承担保证责任的形式是代为支付。发包人未按主合同约定向你方支付工程款的，由我方在保证金额内代为支付。</w:t>
      </w:r>
    </w:p>
    <w:p>
      <w:pPr>
        <w:spacing w:line="400" w:lineRule="exact"/>
        <w:ind w:firstLine="420" w:firstLineChars="200"/>
        <w:outlineLvl w:val="0"/>
        <w:rPr>
          <w:rFonts w:ascii="黑体" w:eastAsia="黑体"/>
          <w:highlight w:val="none"/>
        </w:rPr>
      </w:pPr>
      <w:bookmarkStart w:id="2254" w:name="_Toc395689963"/>
      <w:bookmarkStart w:id="2255" w:name="_Toc434331484"/>
      <w:bookmarkStart w:id="2256" w:name="_Toc111445470"/>
      <w:bookmarkStart w:id="2257" w:name="_Toc395689476"/>
      <w:bookmarkStart w:id="2258" w:name="_Toc395691549"/>
      <w:bookmarkStart w:id="2259" w:name="_Toc10649"/>
      <w:r>
        <w:rPr>
          <w:rFonts w:hint="eastAsia" w:ascii="黑体" w:eastAsia="黑体"/>
          <w:highlight w:val="none"/>
        </w:rPr>
        <w:t>四、代偿的安排</w:t>
      </w:r>
      <w:bookmarkEnd w:id="2254"/>
      <w:bookmarkEnd w:id="2255"/>
      <w:bookmarkEnd w:id="2256"/>
      <w:bookmarkEnd w:id="2257"/>
      <w:bookmarkEnd w:id="2258"/>
      <w:bookmarkEnd w:id="2259"/>
    </w:p>
    <w:p>
      <w:pPr>
        <w:spacing w:line="400" w:lineRule="exact"/>
        <w:ind w:firstLine="420" w:firstLineChars="200"/>
        <w:rPr>
          <w:highlight w:val="none"/>
        </w:rPr>
      </w:pPr>
      <w:r>
        <w:rPr>
          <w:rFonts w:hint="eastAsia"/>
          <w:highlight w:val="none"/>
        </w:rPr>
        <w:t>你方要求我方承担保证责任的，应向我方发出书面索赔通知及发包人未支付主合同约定工程款的证明材料。索赔通知应写明要求索赔的金额，支付款项应到达的帐号。</w:t>
      </w:r>
    </w:p>
    <w:p>
      <w:pPr>
        <w:spacing w:line="400" w:lineRule="exact"/>
        <w:ind w:firstLine="420" w:firstLineChars="200"/>
        <w:rPr>
          <w:highlight w:val="none"/>
        </w:rPr>
      </w:pPr>
    </w:p>
    <w:p>
      <w:pPr>
        <w:spacing w:line="400" w:lineRule="exact"/>
        <w:ind w:firstLine="420" w:firstLineChars="200"/>
        <w:rPr>
          <w:highlight w:val="none"/>
        </w:rPr>
      </w:pPr>
      <w:r>
        <w:rPr>
          <w:rFonts w:hint="eastAsia"/>
          <w:highlight w:val="none"/>
        </w:rPr>
        <w:t>在出现你方与发包人因工程质量发生争议，发包人拒绝向你方支付工程款的情形时，你方要求我方履行保证责任代为支付的，还需提供项目总监理工程师、监理人或符合相应条件要求的工程质量检测机构出具的质量说明材料。</w:t>
      </w:r>
    </w:p>
    <w:p>
      <w:pPr>
        <w:spacing w:line="400" w:lineRule="exact"/>
        <w:ind w:firstLine="420" w:firstLineChars="200"/>
        <w:rPr>
          <w:highlight w:val="none"/>
        </w:rPr>
      </w:pPr>
      <w:r>
        <w:rPr>
          <w:rFonts w:hint="eastAsia"/>
          <w:highlight w:val="none"/>
        </w:rPr>
        <w:t>我方收到你方的书面索赔通知及相应证明材料后，在</w:t>
      </w:r>
      <w:r>
        <w:rPr>
          <w:rFonts w:hint="eastAsia"/>
          <w:highlight w:val="none"/>
          <w:u w:val="single"/>
        </w:rPr>
        <w:t xml:space="preserve">   </w:t>
      </w:r>
      <w:r>
        <w:rPr>
          <w:rFonts w:hint="eastAsia"/>
          <w:highlight w:val="none"/>
        </w:rPr>
        <w:t>个工作日内进行核定后按照本保函的承诺承担保证责任。</w:t>
      </w:r>
    </w:p>
    <w:p>
      <w:pPr>
        <w:spacing w:line="400" w:lineRule="exact"/>
        <w:ind w:firstLine="420" w:firstLineChars="200"/>
        <w:outlineLvl w:val="0"/>
        <w:rPr>
          <w:rFonts w:ascii="黑体" w:eastAsia="黑体"/>
          <w:highlight w:val="none"/>
        </w:rPr>
      </w:pPr>
      <w:bookmarkStart w:id="2260" w:name="_Toc395689964"/>
      <w:bookmarkStart w:id="2261" w:name="_Toc111445471"/>
      <w:bookmarkStart w:id="2262" w:name="_Toc434331485"/>
      <w:bookmarkStart w:id="2263" w:name="_Toc395689477"/>
      <w:bookmarkStart w:id="2264" w:name="_Toc26887"/>
      <w:bookmarkStart w:id="2265" w:name="_Toc395691550"/>
      <w:r>
        <w:rPr>
          <w:rFonts w:hint="eastAsia" w:ascii="黑体" w:eastAsia="黑体"/>
          <w:highlight w:val="none"/>
        </w:rPr>
        <w:t>五、保证责任的解除</w:t>
      </w:r>
      <w:bookmarkEnd w:id="2260"/>
      <w:bookmarkEnd w:id="2261"/>
      <w:bookmarkEnd w:id="2262"/>
      <w:bookmarkEnd w:id="2263"/>
      <w:bookmarkEnd w:id="2264"/>
      <w:bookmarkEnd w:id="2265"/>
    </w:p>
    <w:p>
      <w:pPr>
        <w:spacing w:line="400" w:lineRule="exact"/>
        <w:ind w:firstLine="420" w:firstLineChars="200"/>
        <w:rPr>
          <w:highlight w:val="none"/>
        </w:rPr>
      </w:pPr>
      <w:r>
        <w:rPr>
          <w:rFonts w:hint="eastAsia"/>
          <w:highlight w:val="none"/>
        </w:rPr>
        <w:t>1、在本保函承诺的保证期间内，你方未书面向我方主张保证责任的，自保证期间届满次日起，我方保证责任解除。</w:t>
      </w:r>
    </w:p>
    <w:p>
      <w:pPr>
        <w:spacing w:line="400" w:lineRule="exact"/>
        <w:ind w:firstLine="420" w:firstLineChars="200"/>
        <w:rPr>
          <w:highlight w:val="none"/>
        </w:rPr>
      </w:pPr>
      <w:r>
        <w:rPr>
          <w:rFonts w:hint="eastAsia"/>
          <w:highlight w:val="none"/>
        </w:rPr>
        <w:t>2、发包人按主合同约定履行了工程款的全部支付义务的，自本保函承诺的保证期间届满次日起，我方保证责任解除。</w:t>
      </w:r>
    </w:p>
    <w:p>
      <w:pPr>
        <w:spacing w:line="400" w:lineRule="exact"/>
        <w:ind w:firstLine="420" w:firstLineChars="200"/>
        <w:rPr>
          <w:highlight w:val="none"/>
        </w:rPr>
      </w:pPr>
      <w:r>
        <w:rPr>
          <w:rFonts w:hint="eastAsia"/>
          <w:highlight w:val="none"/>
        </w:rPr>
        <w:t>3、我方按照本保函向你方履行保证责任所支付金额达到本保函保证金额时，自我方向你方支付（支付款项从我方帐户划出）之日起，保证责任即解除。</w:t>
      </w:r>
    </w:p>
    <w:p>
      <w:pPr>
        <w:spacing w:line="400" w:lineRule="exact"/>
        <w:ind w:firstLine="420" w:firstLineChars="200"/>
        <w:rPr>
          <w:highlight w:val="none"/>
        </w:rPr>
      </w:pPr>
      <w:r>
        <w:rPr>
          <w:rFonts w:hint="eastAsia"/>
          <w:highlight w:val="none"/>
        </w:rPr>
        <w:t>4、按照法律法规的规定或出现应解除我方保证责任的其它情形的，我方在本保函项下的保证责任亦解除。</w:t>
      </w:r>
    </w:p>
    <w:p>
      <w:pPr>
        <w:spacing w:line="400" w:lineRule="exact"/>
        <w:ind w:firstLine="420" w:firstLineChars="200"/>
        <w:rPr>
          <w:highlight w:val="none"/>
        </w:rPr>
      </w:pPr>
      <w:r>
        <w:rPr>
          <w:rFonts w:hint="eastAsia"/>
          <w:highlight w:val="none"/>
        </w:rPr>
        <w:t>我方解除保证责任后，你方应自我方保证责任解除之日起</w:t>
      </w:r>
      <w:r>
        <w:rPr>
          <w:rFonts w:hint="eastAsia"/>
          <w:highlight w:val="none"/>
          <w:u w:val="single"/>
        </w:rPr>
        <w:t xml:space="preserve">   </w:t>
      </w:r>
      <w:r>
        <w:rPr>
          <w:rFonts w:hint="eastAsia"/>
          <w:highlight w:val="none"/>
        </w:rPr>
        <w:t>个工作日内，将本保函原件返还我方。</w:t>
      </w:r>
    </w:p>
    <w:p>
      <w:pPr>
        <w:spacing w:line="400" w:lineRule="exact"/>
        <w:ind w:firstLine="420" w:firstLineChars="200"/>
        <w:outlineLvl w:val="0"/>
        <w:rPr>
          <w:rFonts w:ascii="黑体" w:eastAsia="黑体"/>
          <w:highlight w:val="none"/>
        </w:rPr>
      </w:pPr>
      <w:bookmarkStart w:id="2266" w:name="_Toc111445472"/>
      <w:bookmarkStart w:id="2267" w:name="_Toc395691551"/>
      <w:bookmarkStart w:id="2268" w:name="_Toc434331486"/>
      <w:bookmarkStart w:id="2269" w:name="_Toc395689965"/>
      <w:bookmarkStart w:id="2270" w:name="_Toc9209"/>
      <w:bookmarkStart w:id="2271" w:name="_Toc395689478"/>
      <w:r>
        <w:rPr>
          <w:rFonts w:hint="eastAsia" w:ascii="黑体" w:eastAsia="黑体"/>
          <w:highlight w:val="none"/>
        </w:rPr>
        <w:t>六、免责条款</w:t>
      </w:r>
      <w:bookmarkEnd w:id="2266"/>
      <w:bookmarkEnd w:id="2267"/>
      <w:bookmarkEnd w:id="2268"/>
      <w:bookmarkEnd w:id="2269"/>
      <w:bookmarkEnd w:id="2270"/>
      <w:bookmarkEnd w:id="2271"/>
    </w:p>
    <w:p>
      <w:pPr>
        <w:spacing w:line="400" w:lineRule="exact"/>
        <w:ind w:firstLine="420" w:firstLineChars="200"/>
        <w:rPr>
          <w:highlight w:val="none"/>
        </w:rPr>
      </w:pPr>
      <w:r>
        <w:rPr>
          <w:rFonts w:hint="eastAsia"/>
          <w:highlight w:val="none"/>
        </w:rPr>
        <w:t>1、因你方违约致使发包人不能履行义务的，我方不承担保证责任。</w:t>
      </w:r>
    </w:p>
    <w:p>
      <w:pPr>
        <w:spacing w:line="400" w:lineRule="exact"/>
        <w:ind w:firstLine="420" w:firstLineChars="200"/>
        <w:rPr>
          <w:highlight w:val="none"/>
        </w:rPr>
      </w:pPr>
      <w:r>
        <w:rPr>
          <w:rFonts w:hint="eastAsia"/>
          <w:highlight w:val="none"/>
        </w:rPr>
        <w:t>2、依照法律法规的规定或你方与发包人的另行约定，免除发包人部分或全部义务的，我方亦免除其相应的保证责任。</w:t>
      </w:r>
    </w:p>
    <w:p>
      <w:pPr>
        <w:spacing w:line="400" w:lineRule="exact"/>
        <w:ind w:firstLine="420" w:firstLineChars="200"/>
        <w:rPr>
          <w:highlight w:val="none"/>
        </w:rPr>
      </w:pPr>
      <w:r>
        <w:rPr>
          <w:rFonts w:hint="eastAsia"/>
          <w:highlight w:val="none"/>
        </w:rPr>
        <w:t>3、你方与发包人协议变更主合同的（符合主合同合同条款第15条约定的变更除外），如加重发包人责任致使我方保证责任加重的，需征得我方书面同意，否则我方不再承担因此而加重部分的保证责任。</w:t>
      </w:r>
    </w:p>
    <w:p>
      <w:pPr>
        <w:spacing w:line="400" w:lineRule="exact"/>
        <w:ind w:firstLine="420" w:firstLineChars="200"/>
        <w:rPr>
          <w:highlight w:val="none"/>
        </w:rPr>
      </w:pPr>
      <w:r>
        <w:rPr>
          <w:rFonts w:hint="eastAsia"/>
          <w:highlight w:val="none"/>
        </w:rPr>
        <w:t>4、因不可抗力造成发包人不能履行义务的，我方不承担保证责任。</w:t>
      </w:r>
    </w:p>
    <w:p>
      <w:pPr>
        <w:spacing w:line="400" w:lineRule="exact"/>
        <w:ind w:firstLine="420" w:firstLineChars="200"/>
        <w:outlineLvl w:val="0"/>
        <w:rPr>
          <w:rFonts w:ascii="黑体" w:eastAsia="黑体"/>
          <w:highlight w:val="none"/>
        </w:rPr>
      </w:pPr>
      <w:bookmarkStart w:id="2272" w:name="_Toc434331487"/>
      <w:bookmarkStart w:id="2273" w:name="_Toc395689479"/>
      <w:bookmarkStart w:id="2274" w:name="_Toc111445473"/>
      <w:bookmarkStart w:id="2275" w:name="_Toc395689966"/>
      <w:bookmarkStart w:id="2276" w:name="_Toc395691552"/>
      <w:bookmarkStart w:id="2277" w:name="_Toc11168"/>
      <w:r>
        <w:rPr>
          <w:rFonts w:hint="eastAsia" w:ascii="黑体" w:eastAsia="黑体"/>
          <w:highlight w:val="none"/>
        </w:rPr>
        <w:t>七、争议的解决</w:t>
      </w:r>
      <w:bookmarkEnd w:id="2272"/>
      <w:bookmarkEnd w:id="2273"/>
      <w:bookmarkEnd w:id="2274"/>
      <w:bookmarkEnd w:id="2275"/>
      <w:bookmarkEnd w:id="2276"/>
      <w:bookmarkEnd w:id="2277"/>
    </w:p>
    <w:p>
      <w:pPr>
        <w:spacing w:line="400" w:lineRule="exact"/>
        <w:ind w:firstLine="420" w:firstLineChars="200"/>
        <w:rPr>
          <w:highlight w:val="none"/>
        </w:rPr>
      </w:pPr>
      <w:r>
        <w:rPr>
          <w:rFonts w:hint="eastAsia"/>
          <w:highlight w:val="none"/>
        </w:rPr>
        <w:t>因本保函发生的纠纷，由贵我双方协商解决，协商不成的，任何一方均可提请</w:t>
      </w:r>
      <w:r>
        <w:rPr>
          <w:rFonts w:hint="eastAsia"/>
          <w:highlight w:val="none"/>
          <w:u w:val="single"/>
        </w:rPr>
        <w:t xml:space="preserve"> 项目所在地的人民法院提起诉讼解决  </w:t>
      </w:r>
      <w:r>
        <w:rPr>
          <w:rFonts w:hint="eastAsia"/>
          <w:highlight w:val="none"/>
        </w:rPr>
        <w:t>仲裁委员会仲裁。</w:t>
      </w:r>
    </w:p>
    <w:p>
      <w:pPr>
        <w:spacing w:line="400" w:lineRule="exact"/>
        <w:ind w:firstLine="420" w:firstLineChars="200"/>
        <w:outlineLvl w:val="0"/>
        <w:rPr>
          <w:rFonts w:ascii="黑体" w:eastAsia="黑体"/>
          <w:highlight w:val="none"/>
        </w:rPr>
      </w:pPr>
      <w:bookmarkStart w:id="2278" w:name="_Toc16034"/>
      <w:bookmarkStart w:id="2279" w:name="_Toc395689967"/>
      <w:bookmarkStart w:id="2280" w:name="_Toc395691553"/>
      <w:bookmarkStart w:id="2281" w:name="_Toc434331488"/>
      <w:bookmarkStart w:id="2282" w:name="_Toc111445474"/>
      <w:bookmarkStart w:id="2283" w:name="_Toc395689480"/>
      <w:r>
        <w:rPr>
          <w:rFonts w:hint="eastAsia" w:ascii="黑体" w:eastAsia="黑体"/>
          <w:highlight w:val="none"/>
        </w:rPr>
        <w:t>八、保函的生效</w:t>
      </w:r>
      <w:bookmarkEnd w:id="2278"/>
      <w:bookmarkEnd w:id="2279"/>
      <w:bookmarkEnd w:id="2280"/>
      <w:bookmarkEnd w:id="2281"/>
      <w:bookmarkEnd w:id="2282"/>
      <w:bookmarkEnd w:id="2283"/>
    </w:p>
    <w:p>
      <w:pPr>
        <w:spacing w:line="400" w:lineRule="exact"/>
        <w:ind w:firstLine="420" w:firstLineChars="200"/>
        <w:rPr>
          <w:highlight w:val="none"/>
        </w:rPr>
      </w:pPr>
      <w:r>
        <w:rPr>
          <w:rFonts w:hint="eastAsia"/>
          <w:highlight w:val="none"/>
        </w:rPr>
        <w:t>本保函自我方法定代表人（或其授权代理人）签字或加盖公章并交付你方之日起生效。</w:t>
      </w:r>
    </w:p>
    <w:p>
      <w:pPr>
        <w:spacing w:line="400" w:lineRule="exact"/>
        <w:ind w:firstLine="420" w:firstLineChars="200"/>
        <w:rPr>
          <w:highlight w:val="none"/>
        </w:rPr>
      </w:pPr>
      <w:r>
        <w:rPr>
          <w:rFonts w:hint="eastAsia"/>
          <w:highlight w:val="none"/>
        </w:rPr>
        <w:t>本条所称交付是指：</w:t>
      </w:r>
      <w:r>
        <w:rPr>
          <w:rFonts w:hint="eastAsia"/>
          <w:highlight w:val="none"/>
          <w:u w:val="single"/>
        </w:rPr>
        <w:t xml:space="preserve">                                                    </w:t>
      </w:r>
      <w:r>
        <w:rPr>
          <w:rFonts w:hint="eastAsia"/>
          <w:highlight w:val="none"/>
        </w:rPr>
        <w:t xml:space="preserve"> 。</w:t>
      </w:r>
    </w:p>
    <w:p>
      <w:pPr>
        <w:spacing w:line="400" w:lineRule="exact"/>
        <w:ind w:firstLine="720"/>
        <w:rPr>
          <w:highlight w:val="none"/>
        </w:rPr>
      </w:pPr>
    </w:p>
    <w:p>
      <w:pPr>
        <w:spacing w:line="400" w:lineRule="exact"/>
        <w:ind w:firstLine="2940" w:firstLineChars="1400"/>
        <w:jc w:val="left"/>
        <w:rPr>
          <w:szCs w:val="21"/>
          <w:highlight w:val="none"/>
        </w:rPr>
      </w:pPr>
      <w:r>
        <w:rPr>
          <w:rFonts w:hint="eastAsia" w:ascii="黑体" w:eastAsia="黑体"/>
          <w:szCs w:val="21"/>
          <w:highlight w:val="none"/>
        </w:rPr>
        <w:t>担保人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（盖单位章）</w:t>
      </w:r>
    </w:p>
    <w:p>
      <w:pPr>
        <w:spacing w:line="400" w:lineRule="exact"/>
        <w:ind w:firstLine="2940" w:firstLineChars="1400"/>
        <w:jc w:val="left"/>
        <w:rPr>
          <w:szCs w:val="21"/>
          <w:highlight w:val="none"/>
        </w:rPr>
      </w:pPr>
      <w:r>
        <w:rPr>
          <w:rFonts w:hint="eastAsia" w:ascii="黑体" w:eastAsia="黑体"/>
          <w:szCs w:val="21"/>
          <w:highlight w:val="none"/>
        </w:rPr>
        <w:t>法定代表人或其委托代理人</w:t>
      </w:r>
      <w:r>
        <w:rPr>
          <w:szCs w:val="21"/>
          <w:highlight w:val="none"/>
        </w:rPr>
        <w:t>：</w:t>
      </w:r>
      <w:r>
        <w:rPr>
          <w:szCs w:val="21"/>
          <w:highlight w:val="none"/>
          <w:u w:val="single"/>
        </w:rPr>
        <w:t xml:space="preserve">  </w:t>
      </w:r>
      <w:r>
        <w:rPr>
          <w:rFonts w:hint="eastAsia"/>
          <w:szCs w:val="21"/>
          <w:highlight w:val="none"/>
          <w:u w:val="single"/>
        </w:rPr>
        <w:t xml:space="preserve">                </w:t>
      </w:r>
      <w:r>
        <w:rPr>
          <w:szCs w:val="21"/>
          <w:highlight w:val="none"/>
          <w:u w:val="single"/>
        </w:rPr>
        <w:t xml:space="preserve">  </w:t>
      </w:r>
      <w:r>
        <w:rPr>
          <w:szCs w:val="21"/>
          <w:highlight w:val="none"/>
        </w:rPr>
        <w:t>（签字）</w:t>
      </w:r>
    </w:p>
    <w:p>
      <w:pPr>
        <w:spacing w:line="400" w:lineRule="exact"/>
        <w:ind w:firstLine="2940" w:firstLineChars="1400"/>
        <w:jc w:val="left"/>
        <w:rPr>
          <w:szCs w:val="21"/>
          <w:highlight w:val="none"/>
        </w:rPr>
      </w:pPr>
      <w:r>
        <w:rPr>
          <w:rFonts w:hint="eastAsia" w:ascii="黑体" w:eastAsia="黑体"/>
          <w:szCs w:val="21"/>
          <w:highlight w:val="none"/>
        </w:rPr>
        <w:t>地    址</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 xml:space="preserve">    </w:t>
      </w:r>
      <w:r>
        <w:rPr>
          <w:szCs w:val="21"/>
          <w:highlight w:val="none"/>
          <w:u w:val="single"/>
        </w:rPr>
        <w:tab/>
      </w:r>
      <w:r>
        <w:rPr>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邮政编码</w:t>
      </w:r>
      <w:r>
        <w:rPr>
          <w:szCs w:val="21"/>
          <w:highlight w:val="none"/>
        </w:rPr>
        <w:t>：</w:t>
      </w:r>
      <w:r>
        <w:rPr>
          <w:szCs w:val="21"/>
          <w:highlight w:val="none"/>
          <w:u w:val="single"/>
        </w:rPr>
        <w:tab/>
      </w:r>
      <w:r>
        <w:rPr>
          <w:szCs w:val="21"/>
          <w:highlight w:val="none"/>
          <w:u w:val="single"/>
        </w:rPr>
        <w:tab/>
      </w:r>
      <w:r>
        <w:rPr>
          <w:rFonts w:hint="eastAsia"/>
          <w:szCs w:val="21"/>
          <w:highlight w:val="none"/>
          <w:u w:val="single"/>
        </w:rPr>
        <w:t xml:space="preserve">       </w:t>
      </w:r>
      <w:r>
        <w:rPr>
          <w:szCs w:val="21"/>
          <w:highlight w:val="none"/>
          <w:u w:val="single"/>
        </w:rPr>
        <w:tab/>
      </w:r>
      <w:r>
        <w:rPr>
          <w:szCs w:val="21"/>
          <w:highlight w:val="none"/>
          <w:u w:val="single"/>
        </w:rPr>
        <w:tab/>
      </w:r>
      <w:r>
        <w:rPr>
          <w:szCs w:val="21"/>
          <w:highlight w:val="none"/>
          <w:u w:val="single"/>
        </w:rPr>
        <w:tab/>
      </w:r>
      <w:r>
        <w:rPr>
          <w:szCs w:val="21"/>
          <w:highlight w:val="none"/>
          <w:u w:val="single"/>
        </w:rPr>
        <w:tab/>
      </w:r>
      <w:r>
        <w:rPr>
          <w:rFonts w:hint="eastAsia"/>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电    话</w:t>
      </w:r>
      <w:r>
        <w:rPr>
          <w:szCs w:val="21"/>
          <w:highlight w:val="none"/>
        </w:rPr>
        <w:t>：</w:t>
      </w:r>
      <w:r>
        <w:rPr>
          <w:szCs w:val="21"/>
          <w:highlight w:val="none"/>
          <w:u w:val="single"/>
        </w:rPr>
        <w:t xml:space="preserve">                          </w:t>
      </w:r>
      <w:r>
        <w:rPr>
          <w:rFonts w:hint="eastAsia"/>
          <w:szCs w:val="21"/>
          <w:highlight w:val="none"/>
          <w:u w:val="single"/>
        </w:rPr>
        <w:t xml:space="preserve">          </w:t>
      </w:r>
    </w:p>
    <w:p>
      <w:pPr>
        <w:spacing w:line="400" w:lineRule="exact"/>
        <w:ind w:firstLine="2940" w:firstLineChars="1400"/>
        <w:jc w:val="left"/>
        <w:rPr>
          <w:szCs w:val="21"/>
          <w:highlight w:val="none"/>
          <w:u w:val="single"/>
        </w:rPr>
      </w:pPr>
      <w:r>
        <w:rPr>
          <w:rFonts w:hint="eastAsia" w:ascii="黑体" w:eastAsia="黑体"/>
          <w:szCs w:val="21"/>
          <w:highlight w:val="none"/>
        </w:rPr>
        <w:t>传    真</w:t>
      </w:r>
      <w:r>
        <w:rPr>
          <w:szCs w:val="21"/>
          <w:highlight w:val="none"/>
        </w:rPr>
        <w:t>：</w:t>
      </w:r>
      <w:r>
        <w:rPr>
          <w:szCs w:val="21"/>
          <w:highlight w:val="none"/>
          <w:u w:val="single"/>
        </w:rPr>
        <w:t xml:space="preserve">                          </w:t>
      </w:r>
      <w:r>
        <w:rPr>
          <w:rFonts w:hint="eastAsia"/>
          <w:szCs w:val="21"/>
          <w:highlight w:val="none"/>
          <w:u w:val="single"/>
        </w:rPr>
        <w:t xml:space="preserve">          </w:t>
      </w:r>
    </w:p>
    <w:p>
      <w:pPr>
        <w:spacing w:line="400" w:lineRule="exact"/>
        <w:ind w:firstLine="4620" w:firstLineChars="2200"/>
        <w:jc w:val="left"/>
        <w:rPr>
          <w:szCs w:val="21"/>
          <w:highlight w:val="none"/>
          <w:u w:val="single"/>
        </w:rPr>
      </w:pPr>
      <w:r>
        <w:rPr>
          <w:rFonts w:hint="eastAsia"/>
          <w:szCs w:val="21"/>
          <w:highlight w:val="none"/>
          <w:u w:val="single"/>
        </w:rPr>
        <w:t xml:space="preserve">     </w:t>
      </w:r>
      <w:r>
        <w:rPr>
          <w:szCs w:val="21"/>
          <w:highlight w:val="none"/>
          <w:u w:val="single"/>
        </w:rPr>
        <w:t xml:space="preserve">        </w:t>
      </w:r>
      <w:r>
        <w:rPr>
          <w:szCs w:val="21"/>
          <w:highlight w:val="none"/>
        </w:rPr>
        <w:t>年</w:t>
      </w:r>
      <w:r>
        <w:rPr>
          <w:szCs w:val="21"/>
          <w:highlight w:val="none"/>
          <w:u w:val="single"/>
        </w:rPr>
        <w:t xml:space="preserve">      </w:t>
      </w:r>
      <w:r>
        <w:rPr>
          <w:szCs w:val="21"/>
          <w:highlight w:val="none"/>
        </w:rPr>
        <w:t>月</w:t>
      </w:r>
      <w:r>
        <w:rPr>
          <w:szCs w:val="21"/>
          <w:highlight w:val="none"/>
          <w:u w:val="single"/>
        </w:rPr>
        <w:t xml:space="preserve">      </w:t>
      </w:r>
      <w:r>
        <w:rPr>
          <w:szCs w:val="21"/>
          <w:highlight w:val="none"/>
        </w:rPr>
        <w:t>日</w:t>
      </w:r>
    </w:p>
    <w:p>
      <w:pPr>
        <w:spacing w:line="400" w:lineRule="exact"/>
        <w:rPr>
          <w:szCs w:val="21"/>
          <w:highlight w:val="none"/>
        </w:rPr>
      </w:pPr>
      <w:r>
        <w:rPr>
          <w:rFonts w:hint="eastAsia" w:ascii="黑体" w:eastAsia="黑体"/>
          <w:szCs w:val="21"/>
          <w:highlight w:val="none"/>
        </w:rPr>
        <w:t>备注：</w:t>
      </w:r>
      <w:r>
        <w:rPr>
          <w:rFonts w:hint="eastAsia"/>
          <w:szCs w:val="21"/>
          <w:highlight w:val="none"/>
        </w:rPr>
        <w:t>本支付担保格式可采用经承包人同意的其他格式，但相关约定应当与履约担保对等。</w:t>
      </w:r>
    </w:p>
    <w:p>
      <w:pPr>
        <w:pStyle w:val="199"/>
        <w:rPr>
          <w:rFonts w:ascii="黑体"/>
          <w:b/>
          <w:szCs w:val="24"/>
          <w:highlight w:val="none"/>
        </w:rPr>
      </w:pPr>
      <w:r>
        <w:rPr>
          <w:highlight w:val="none"/>
        </w:rPr>
        <w:br w:type="page"/>
      </w:r>
      <w:bookmarkStart w:id="2284" w:name="_Toc19821"/>
      <w:bookmarkStart w:id="2285" w:name="_Toc342296516"/>
      <w:bookmarkStart w:id="2286" w:name="_Toc241459757"/>
      <w:bookmarkStart w:id="2287" w:name="_Toc434331489"/>
      <w:bookmarkStart w:id="2288" w:name="_Toc111445497"/>
      <w:r>
        <w:rPr>
          <w:rFonts w:hint="eastAsia"/>
          <w:highlight w:val="none"/>
        </w:rPr>
        <w:t>附件七：质量保修书格式</w:t>
      </w:r>
      <w:bookmarkEnd w:id="2284"/>
      <w:bookmarkEnd w:id="2285"/>
      <w:bookmarkEnd w:id="2286"/>
      <w:bookmarkEnd w:id="2287"/>
    </w:p>
    <w:p>
      <w:pPr>
        <w:tabs>
          <w:tab w:val="left" w:pos="3855"/>
        </w:tabs>
        <w:spacing w:line="400" w:lineRule="exact"/>
        <w:ind w:firstLine="560" w:firstLineChars="200"/>
        <w:jc w:val="center"/>
        <w:rPr>
          <w:rFonts w:eastAsia="黑体"/>
          <w:sz w:val="28"/>
          <w:highlight w:val="none"/>
        </w:rPr>
      </w:pPr>
    </w:p>
    <w:p>
      <w:pPr>
        <w:tabs>
          <w:tab w:val="left" w:pos="3855"/>
        </w:tabs>
        <w:spacing w:line="400" w:lineRule="exact"/>
        <w:ind w:firstLine="560" w:firstLineChars="200"/>
        <w:rPr>
          <w:rFonts w:eastAsia="黑体"/>
          <w:sz w:val="28"/>
          <w:highlight w:val="none"/>
        </w:rPr>
      </w:pPr>
      <w:r>
        <w:rPr>
          <w:rFonts w:hint="eastAsia" w:eastAsia="黑体"/>
          <w:sz w:val="28"/>
          <w:highlight w:val="none"/>
        </w:rPr>
        <w:t xml:space="preserve">                建筑工程质量保修书</w:t>
      </w:r>
      <w:bookmarkEnd w:id="2288"/>
    </w:p>
    <w:p>
      <w:pPr>
        <w:spacing w:line="400" w:lineRule="exact"/>
        <w:rPr>
          <w:highlight w:val="none"/>
        </w:rPr>
      </w:pPr>
    </w:p>
    <w:p>
      <w:pPr>
        <w:spacing w:line="400" w:lineRule="exact"/>
        <w:ind w:firstLine="488"/>
        <w:rPr>
          <w:highlight w:val="none"/>
          <w:u w:val="single"/>
        </w:rPr>
      </w:pPr>
      <w:r>
        <w:rPr>
          <w:rFonts w:hint="eastAsia"/>
          <w:highlight w:val="none"/>
        </w:rPr>
        <w:t>发包人：</w:t>
      </w:r>
      <w:r>
        <w:rPr>
          <w:rFonts w:hint="eastAsia"/>
          <w:highlight w:val="none"/>
          <w:u w:val="single"/>
        </w:rPr>
        <w:t xml:space="preserve">                                               </w:t>
      </w:r>
    </w:p>
    <w:p>
      <w:pPr>
        <w:spacing w:line="400" w:lineRule="exact"/>
        <w:ind w:firstLine="488"/>
        <w:rPr>
          <w:highlight w:val="none"/>
        </w:rPr>
      </w:pPr>
      <w:r>
        <w:rPr>
          <w:rFonts w:hint="eastAsia"/>
          <w:highlight w:val="none"/>
        </w:rPr>
        <w:t>承包人：</w:t>
      </w:r>
      <w:r>
        <w:rPr>
          <w:rFonts w:hint="eastAsia"/>
          <w:highlight w:val="none"/>
          <w:u w:val="single"/>
        </w:rPr>
        <w:t xml:space="preserve">                                               </w:t>
      </w:r>
    </w:p>
    <w:p>
      <w:pPr>
        <w:spacing w:line="400" w:lineRule="exact"/>
        <w:ind w:firstLine="488"/>
        <w:rPr>
          <w:highlight w:val="none"/>
          <w:u w:val="single"/>
        </w:rPr>
      </w:pPr>
    </w:p>
    <w:p>
      <w:pPr>
        <w:spacing w:line="400" w:lineRule="exact"/>
        <w:ind w:firstLine="490"/>
        <w:rPr>
          <w:highlight w:val="none"/>
        </w:rPr>
      </w:pPr>
      <w:r>
        <w:rPr>
          <w:rFonts w:hint="eastAsia"/>
          <w:highlight w:val="none"/>
        </w:rPr>
        <w:t>发包人、承包人根据《中华人民共和国建筑法》、《建设工程质量管理条例》，经协商一致，对</w:t>
      </w:r>
      <w:r>
        <w:rPr>
          <w:rFonts w:hint="eastAsia"/>
          <w:highlight w:val="none"/>
          <w:u w:val="single"/>
        </w:rPr>
        <w:t xml:space="preserve">                           </w:t>
      </w:r>
      <w:r>
        <w:rPr>
          <w:rFonts w:hint="eastAsia"/>
          <w:highlight w:val="none"/>
        </w:rPr>
        <w:t>（工程名称）签订保修书。</w:t>
      </w:r>
    </w:p>
    <w:p>
      <w:pPr>
        <w:spacing w:line="400" w:lineRule="exact"/>
        <w:ind w:firstLine="525" w:firstLineChars="250"/>
        <w:outlineLvl w:val="0"/>
        <w:rPr>
          <w:rFonts w:ascii="黑体" w:eastAsia="黑体"/>
          <w:highlight w:val="none"/>
        </w:rPr>
      </w:pPr>
      <w:bookmarkStart w:id="2289" w:name="_Toc434331490"/>
      <w:bookmarkStart w:id="2290" w:name="_Toc395689482"/>
      <w:bookmarkStart w:id="2291" w:name="_Toc111445498"/>
      <w:bookmarkStart w:id="2292" w:name="_Toc395691555"/>
      <w:bookmarkStart w:id="2293" w:name="_Toc395689969"/>
      <w:bookmarkStart w:id="2294" w:name="_Toc14478"/>
      <w:r>
        <w:rPr>
          <w:rFonts w:hint="eastAsia" w:ascii="黑体" w:eastAsia="黑体"/>
          <w:highlight w:val="none"/>
        </w:rPr>
        <w:t>一、工程保修范围和内容</w:t>
      </w:r>
      <w:bookmarkEnd w:id="2289"/>
      <w:bookmarkEnd w:id="2290"/>
      <w:bookmarkEnd w:id="2291"/>
      <w:bookmarkEnd w:id="2292"/>
      <w:bookmarkEnd w:id="2293"/>
      <w:bookmarkEnd w:id="2294"/>
    </w:p>
    <w:p>
      <w:pPr>
        <w:spacing w:line="400" w:lineRule="exact"/>
        <w:ind w:firstLine="490"/>
        <w:rPr>
          <w:highlight w:val="none"/>
        </w:rPr>
      </w:pPr>
      <w:r>
        <w:rPr>
          <w:rFonts w:hint="eastAsia"/>
          <w:highlight w:val="none"/>
        </w:rPr>
        <w:t>承包人在保修期内，按照有关法律、法规、规章的管理规定和双方约定，承担本工程保修责任。</w:t>
      </w:r>
    </w:p>
    <w:p>
      <w:pPr>
        <w:spacing w:line="400" w:lineRule="exact"/>
        <w:ind w:firstLine="490"/>
        <w:rPr>
          <w:highlight w:val="none"/>
        </w:rPr>
      </w:pPr>
      <w:r>
        <w:rPr>
          <w:rFonts w:hint="eastAsia"/>
          <w:highlight w:val="none"/>
        </w:rPr>
        <w:t>保修责任范围包括地基基础工程、主体结构工程，屋面防水工程、有防水要求的卫生间、房间和外墙面的防渗漏，供热与供冷系统，电气管线、给排水管道、设备安装和装修工程，以及双方约定的其他项目。具体保修的内容，双方约定如下：</w:t>
      </w:r>
    </w:p>
    <w:p>
      <w:pPr>
        <w:spacing w:line="400" w:lineRule="exact"/>
        <w:rPr>
          <w:highlight w:val="none"/>
          <w:u w:val="single"/>
        </w:rPr>
      </w:pPr>
      <w:r>
        <w:rPr>
          <w:rFonts w:hint="eastAsia"/>
          <w:highlight w:val="none"/>
          <w:u w:val="single"/>
        </w:rPr>
        <w:t xml:space="preserve">                                                                                                                                                        </w:t>
      </w:r>
    </w:p>
    <w:p>
      <w:pPr>
        <w:spacing w:line="400" w:lineRule="exact"/>
        <w:rPr>
          <w:highlight w:val="none"/>
          <w:u w:val="single"/>
        </w:rPr>
      </w:pPr>
      <w:r>
        <w:rPr>
          <w:rFonts w:hint="eastAsia"/>
          <w:highlight w:val="none"/>
          <w:u w:val="single"/>
        </w:rPr>
        <w:t xml:space="preserve">                                                                                                                                                        </w:t>
      </w:r>
    </w:p>
    <w:p>
      <w:pPr>
        <w:spacing w:line="400" w:lineRule="exact"/>
        <w:rPr>
          <w:highlight w:val="none"/>
        </w:rPr>
      </w:pPr>
      <w:r>
        <w:rPr>
          <w:rFonts w:hint="eastAsia"/>
          <w:highlight w:val="none"/>
          <w:u w:val="single"/>
        </w:rPr>
        <w:t xml:space="preserve">                                                                                                                                                    </w:t>
      </w:r>
      <w:r>
        <w:rPr>
          <w:rFonts w:hint="eastAsia"/>
          <w:highlight w:val="none"/>
        </w:rPr>
        <w:t>。</w:t>
      </w:r>
    </w:p>
    <w:p>
      <w:pPr>
        <w:spacing w:line="400" w:lineRule="exact"/>
        <w:ind w:firstLine="420" w:firstLineChars="200"/>
        <w:outlineLvl w:val="0"/>
        <w:rPr>
          <w:rFonts w:ascii="黑体" w:eastAsia="黑体"/>
          <w:highlight w:val="none"/>
        </w:rPr>
      </w:pPr>
      <w:bookmarkStart w:id="2295" w:name="_Toc111445499"/>
      <w:bookmarkStart w:id="2296" w:name="_Toc9168"/>
      <w:bookmarkStart w:id="2297" w:name="_Toc395689483"/>
      <w:bookmarkStart w:id="2298" w:name="_Toc395691556"/>
      <w:bookmarkStart w:id="2299" w:name="_Toc395689970"/>
      <w:bookmarkStart w:id="2300" w:name="_Toc434331491"/>
      <w:r>
        <w:rPr>
          <w:rFonts w:hint="eastAsia" w:ascii="黑体" w:eastAsia="黑体"/>
          <w:highlight w:val="none"/>
        </w:rPr>
        <w:t>二、保修期</w:t>
      </w:r>
      <w:bookmarkEnd w:id="2295"/>
      <w:bookmarkEnd w:id="2296"/>
      <w:bookmarkEnd w:id="2297"/>
      <w:bookmarkEnd w:id="2298"/>
      <w:bookmarkEnd w:id="2299"/>
      <w:bookmarkEnd w:id="2300"/>
    </w:p>
    <w:p>
      <w:pPr>
        <w:spacing w:line="400" w:lineRule="exact"/>
        <w:ind w:left="420"/>
        <w:rPr>
          <w:highlight w:val="none"/>
        </w:rPr>
      </w:pPr>
      <w:r>
        <w:rPr>
          <w:rFonts w:hint="eastAsia"/>
          <w:highlight w:val="none"/>
        </w:rPr>
        <w:t>双方根据《建设工程质量管理条例》及有关规定，约定本工程的保修期如下：</w:t>
      </w:r>
    </w:p>
    <w:p>
      <w:pPr>
        <w:numPr>
          <w:ilvl w:val="1"/>
          <w:numId w:val="23"/>
        </w:numPr>
        <w:tabs>
          <w:tab w:val="left" w:pos="800"/>
          <w:tab w:val="left" w:pos="1740"/>
        </w:tabs>
        <w:spacing w:line="400" w:lineRule="exact"/>
        <w:rPr>
          <w:highlight w:val="none"/>
        </w:rPr>
      </w:pPr>
      <w:r>
        <w:rPr>
          <w:rFonts w:hint="eastAsia"/>
          <w:highlight w:val="none"/>
        </w:rPr>
        <w:t>地基基础工程和主体结构工程为设计文件规定的该工程合理使用年限；</w:t>
      </w:r>
    </w:p>
    <w:p>
      <w:pPr>
        <w:numPr>
          <w:ilvl w:val="1"/>
          <w:numId w:val="23"/>
        </w:numPr>
        <w:tabs>
          <w:tab w:val="left" w:pos="800"/>
          <w:tab w:val="left" w:pos="1740"/>
        </w:tabs>
        <w:spacing w:line="400" w:lineRule="exact"/>
        <w:rPr>
          <w:highlight w:val="none"/>
        </w:rPr>
      </w:pPr>
      <w:r>
        <w:rPr>
          <w:rFonts w:hint="eastAsia"/>
          <w:highlight w:val="none"/>
        </w:rPr>
        <w:t>屋面防水工程、有防水要求的卫生间、房间和外墙面的防渗漏为</w:t>
      </w:r>
      <w:r>
        <w:rPr>
          <w:rFonts w:hint="eastAsia"/>
          <w:highlight w:val="none"/>
          <w:u w:val="single"/>
        </w:rPr>
        <w:t xml:space="preserve">          </w:t>
      </w:r>
      <w:r>
        <w:rPr>
          <w:rFonts w:hint="eastAsia"/>
          <w:highlight w:val="none"/>
        </w:rPr>
        <w:t>年；</w:t>
      </w:r>
    </w:p>
    <w:p>
      <w:pPr>
        <w:numPr>
          <w:ilvl w:val="1"/>
          <w:numId w:val="23"/>
        </w:numPr>
        <w:tabs>
          <w:tab w:val="left" w:pos="800"/>
          <w:tab w:val="left" w:pos="1740"/>
        </w:tabs>
        <w:spacing w:line="400" w:lineRule="exact"/>
        <w:rPr>
          <w:highlight w:val="none"/>
        </w:rPr>
      </w:pPr>
      <w:r>
        <w:rPr>
          <w:rFonts w:hint="eastAsia"/>
          <w:highlight w:val="none"/>
        </w:rPr>
        <w:t>装修工程为</w:t>
      </w:r>
      <w:r>
        <w:rPr>
          <w:rFonts w:hint="eastAsia"/>
          <w:highlight w:val="none"/>
          <w:u w:val="single"/>
        </w:rPr>
        <w:t xml:space="preserve">          </w:t>
      </w:r>
      <w:r>
        <w:rPr>
          <w:rFonts w:hint="eastAsia"/>
          <w:highlight w:val="none"/>
        </w:rPr>
        <w:t>年；</w:t>
      </w:r>
    </w:p>
    <w:p>
      <w:pPr>
        <w:numPr>
          <w:ilvl w:val="1"/>
          <w:numId w:val="23"/>
        </w:numPr>
        <w:tabs>
          <w:tab w:val="left" w:pos="800"/>
          <w:tab w:val="left" w:pos="1740"/>
        </w:tabs>
        <w:spacing w:line="400" w:lineRule="exact"/>
        <w:rPr>
          <w:highlight w:val="none"/>
        </w:rPr>
      </w:pPr>
      <w:r>
        <w:rPr>
          <w:rFonts w:hint="eastAsia"/>
          <w:highlight w:val="none"/>
        </w:rPr>
        <w:t>电气管线、给排水管道、设备安装工程为</w:t>
      </w:r>
      <w:r>
        <w:rPr>
          <w:rFonts w:hint="eastAsia"/>
          <w:highlight w:val="none"/>
          <w:u w:val="single"/>
        </w:rPr>
        <w:t xml:space="preserve">          </w:t>
      </w:r>
      <w:r>
        <w:rPr>
          <w:rFonts w:hint="eastAsia"/>
          <w:highlight w:val="none"/>
        </w:rPr>
        <w:t>年；</w:t>
      </w:r>
    </w:p>
    <w:p>
      <w:pPr>
        <w:numPr>
          <w:ilvl w:val="1"/>
          <w:numId w:val="23"/>
        </w:numPr>
        <w:tabs>
          <w:tab w:val="left" w:pos="800"/>
          <w:tab w:val="left" w:pos="1740"/>
        </w:tabs>
        <w:spacing w:line="400" w:lineRule="exact"/>
        <w:rPr>
          <w:highlight w:val="none"/>
        </w:rPr>
      </w:pPr>
      <w:r>
        <w:rPr>
          <w:rFonts w:hint="eastAsia"/>
          <w:highlight w:val="none"/>
        </w:rPr>
        <w:t>供热与供冷系统为</w:t>
      </w:r>
      <w:r>
        <w:rPr>
          <w:rFonts w:hint="eastAsia"/>
          <w:highlight w:val="none"/>
          <w:u w:val="single"/>
        </w:rPr>
        <w:t xml:space="preserve">          </w:t>
      </w:r>
      <w:r>
        <w:rPr>
          <w:rFonts w:hint="eastAsia"/>
          <w:highlight w:val="none"/>
        </w:rPr>
        <w:t>个采暖期、供冷期；</w:t>
      </w:r>
    </w:p>
    <w:p>
      <w:pPr>
        <w:numPr>
          <w:ilvl w:val="1"/>
          <w:numId w:val="23"/>
        </w:numPr>
        <w:tabs>
          <w:tab w:val="left" w:pos="800"/>
          <w:tab w:val="left" w:pos="1740"/>
        </w:tabs>
        <w:spacing w:line="400" w:lineRule="exact"/>
        <w:rPr>
          <w:highlight w:val="none"/>
        </w:rPr>
      </w:pPr>
      <w:r>
        <w:rPr>
          <w:rFonts w:hint="eastAsia"/>
          <w:highlight w:val="none"/>
        </w:rPr>
        <w:t>给排水设施、道路等配套工程为</w:t>
      </w:r>
      <w:r>
        <w:rPr>
          <w:rFonts w:hint="eastAsia"/>
          <w:highlight w:val="none"/>
          <w:u w:val="single"/>
        </w:rPr>
        <w:t xml:space="preserve">          </w:t>
      </w:r>
      <w:r>
        <w:rPr>
          <w:rFonts w:hint="eastAsia"/>
          <w:highlight w:val="none"/>
        </w:rPr>
        <w:t>年；</w:t>
      </w:r>
    </w:p>
    <w:p>
      <w:pPr>
        <w:numPr>
          <w:ilvl w:val="1"/>
          <w:numId w:val="23"/>
        </w:numPr>
        <w:tabs>
          <w:tab w:val="left" w:pos="800"/>
          <w:tab w:val="left" w:pos="1740"/>
        </w:tabs>
        <w:spacing w:line="400" w:lineRule="exact"/>
        <w:rPr>
          <w:highlight w:val="none"/>
        </w:rPr>
      </w:pPr>
      <w:r>
        <w:rPr>
          <w:rFonts w:hint="eastAsia"/>
          <w:highlight w:val="none"/>
        </w:rPr>
        <w:t>其他项目保修期限约定如下：</w:t>
      </w:r>
    </w:p>
    <w:p>
      <w:pPr>
        <w:spacing w:line="400" w:lineRule="exact"/>
        <w:rPr>
          <w:highlight w:val="none"/>
          <w:u w:val="single"/>
        </w:rPr>
      </w:pPr>
      <w:r>
        <w:rPr>
          <w:rFonts w:hint="eastAsia"/>
          <w:highlight w:val="none"/>
          <w:u w:val="single"/>
        </w:rPr>
        <w:t xml:space="preserve">                                                                                                                                                        </w:t>
      </w:r>
    </w:p>
    <w:p>
      <w:pPr>
        <w:spacing w:line="400" w:lineRule="exact"/>
        <w:rPr>
          <w:highlight w:val="none"/>
          <w:u w:val="single"/>
        </w:rPr>
      </w:pPr>
      <w:r>
        <w:rPr>
          <w:rFonts w:hint="eastAsia"/>
          <w:highlight w:val="none"/>
          <w:u w:val="single"/>
        </w:rPr>
        <w:t xml:space="preserve">                                                                                                                                                        </w:t>
      </w:r>
    </w:p>
    <w:p>
      <w:pPr>
        <w:spacing w:line="400" w:lineRule="exact"/>
        <w:rPr>
          <w:highlight w:val="none"/>
        </w:rPr>
      </w:pPr>
      <w:r>
        <w:rPr>
          <w:rFonts w:hint="eastAsia"/>
          <w:highlight w:val="none"/>
          <w:u w:val="single"/>
        </w:rPr>
        <w:t xml:space="preserve">                                                                                                                                                    </w:t>
      </w:r>
      <w:r>
        <w:rPr>
          <w:rFonts w:hint="eastAsia"/>
          <w:highlight w:val="none"/>
        </w:rPr>
        <w:t>。</w:t>
      </w:r>
    </w:p>
    <w:p>
      <w:pPr>
        <w:spacing w:line="400" w:lineRule="exact"/>
        <w:ind w:firstLine="420" w:firstLineChars="200"/>
        <w:outlineLvl w:val="0"/>
        <w:rPr>
          <w:rFonts w:ascii="黑体" w:eastAsia="黑体"/>
          <w:highlight w:val="none"/>
        </w:rPr>
      </w:pPr>
      <w:bookmarkStart w:id="2301" w:name="_Toc111445500"/>
      <w:bookmarkStart w:id="2302" w:name="_Toc395689484"/>
      <w:bookmarkStart w:id="2303" w:name="_Toc17031"/>
      <w:bookmarkStart w:id="2304" w:name="_Toc395691557"/>
      <w:bookmarkStart w:id="2305" w:name="_Toc395689971"/>
      <w:bookmarkStart w:id="2306" w:name="_Toc434331492"/>
      <w:r>
        <w:rPr>
          <w:rFonts w:hint="eastAsia" w:ascii="黑体" w:eastAsia="黑体"/>
          <w:highlight w:val="none"/>
        </w:rPr>
        <w:t>三、保修责任</w:t>
      </w:r>
      <w:bookmarkEnd w:id="2301"/>
      <w:bookmarkEnd w:id="2302"/>
      <w:bookmarkEnd w:id="2303"/>
      <w:bookmarkEnd w:id="2304"/>
      <w:bookmarkEnd w:id="2305"/>
      <w:bookmarkEnd w:id="2306"/>
    </w:p>
    <w:p>
      <w:pPr>
        <w:tabs>
          <w:tab w:val="left" w:pos="1740"/>
        </w:tabs>
        <w:spacing w:line="400" w:lineRule="exact"/>
        <w:ind w:firstLine="420" w:firstLineChars="200"/>
        <w:rPr>
          <w:highlight w:val="none"/>
        </w:rPr>
      </w:pPr>
      <w:r>
        <w:rPr>
          <w:rFonts w:hint="eastAsia"/>
          <w:highlight w:val="none"/>
        </w:rPr>
        <w:t>1、属于责任范围、内容的项目，承包人应当在接到保修通知之日起7天内派人保修。承包人不在约定期限内派人保修的，发包人可以委托他人修理。</w:t>
      </w:r>
    </w:p>
    <w:p>
      <w:pPr>
        <w:tabs>
          <w:tab w:val="left" w:pos="1740"/>
        </w:tabs>
        <w:spacing w:line="400" w:lineRule="exact"/>
        <w:ind w:firstLine="420" w:firstLineChars="200"/>
        <w:rPr>
          <w:highlight w:val="none"/>
        </w:rPr>
      </w:pPr>
      <w:r>
        <w:rPr>
          <w:rFonts w:hint="eastAsia"/>
          <w:highlight w:val="none"/>
        </w:rPr>
        <w:t>2、发生紧急抢修事故的，承包人在接到事故通知后，应当立即到达事故现场抢修。</w:t>
      </w:r>
    </w:p>
    <w:p>
      <w:pPr>
        <w:tabs>
          <w:tab w:val="left" w:pos="1740"/>
        </w:tabs>
        <w:spacing w:line="400" w:lineRule="exact"/>
        <w:ind w:firstLine="420" w:firstLineChars="200"/>
        <w:rPr>
          <w:highlight w:val="none"/>
        </w:rPr>
      </w:pPr>
      <w:r>
        <w:rPr>
          <w:rFonts w:hint="eastAsia"/>
          <w:highlight w:val="none"/>
        </w:rPr>
        <w:t>3、对于涉及结构安全的质量问题，应当按照</w:t>
      </w:r>
      <w:r>
        <w:rPr>
          <w:rFonts w:hint="eastAsia"/>
          <w:highlight w:val="none"/>
          <w:lang w:val="en-US" w:eastAsia="zh-CN"/>
        </w:rPr>
        <w:t>相关办法</w:t>
      </w:r>
      <w:r>
        <w:rPr>
          <w:rFonts w:hint="eastAsia"/>
          <w:highlight w:val="none"/>
        </w:rPr>
        <w:t>的规定，立即向当地建设行政主管部门报告，采取安全防范措施；由原设计人或者具有相应资质等级的设计人提出保修方案，承包人实施保修</w:t>
      </w:r>
      <w:r>
        <w:rPr>
          <w:rFonts w:hint="eastAsia"/>
          <w:szCs w:val="21"/>
          <w:highlight w:val="none"/>
        </w:rPr>
        <w:t>，费用由承包人承担。</w:t>
      </w:r>
    </w:p>
    <w:p>
      <w:pPr>
        <w:tabs>
          <w:tab w:val="left" w:pos="1740"/>
        </w:tabs>
        <w:spacing w:line="400" w:lineRule="exact"/>
        <w:ind w:firstLine="420" w:firstLineChars="200"/>
        <w:rPr>
          <w:highlight w:val="none"/>
        </w:rPr>
      </w:pPr>
      <w:r>
        <w:rPr>
          <w:rFonts w:hint="eastAsia"/>
          <w:highlight w:val="none"/>
        </w:rPr>
        <w:t>4、质量保修完成后，由发包人组织验收。</w:t>
      </w:r>
    </w:p>
    <w:p>
      <w:pPr>
        <w:spacing w:line="400" w:lineRule="exact"/>
        <w:ind w:firstLine="420" w:firstLineChars="200"/>
        <w:outlineLvl w:val="0"/>
        <w:rPr>
          <w:rFonts w:ascii="黑体" w:eastAsia="黑体"/>
          <w:highlight w:val="none"/>
        </w:rPr>
      </w:pPr>
      <w:bookmarkStart w:id="2307" w:name="_Toc395691558"/>
      <w:bookmarkStart w:id="2308" w:name="_Toc111445501"/>
      <w:bookmarkStart w:id="2309" w:name="_Toc434331493"/>
      <w:bookmarkStart w:id="2310" w:name="_Toc20894"/>
      <w:bookmarkStart w:id="2311" w:name="_Toc395689485"/>
      <w:bookmarkStart w:id="2312" w:name="_Toc395689972"/>
      <w:r>
        <w:rPr>
          <w:rFonts w:hint="eastAsia" w:ascii="黑体" w:eastAsia="黑体"/>
          <w:highlight w:val="none"/>
        </w:rPr>
        <w:t>四、保修费用</w:t>
      </w:r>
      <w:bookmarkEnd w:id="2307"/>
      <w:bookmarkEnd w:id="2308"/>
      <w:bookmarkEnd w:id="2309"/>
      <w:bookmarkEnd w:id="2310"/>
      <w:bookmarkEnd w:id="2311"/>
      <w:bookmarkEnd w:id="2312"/>
    </w:p>
    <w:p>
      <w:pPr>
        <w:spacing w:line="400" w:lineRule="exact"/>
        <w:ind w:left="420"/>
        <w:rPr>
          <w:highlight w:val="none"/>
          <w:u w:val="single"/>
        </w:rPr>
      </w:pPr>
      <w:r>
        <w:rPr>
          <w:rFonts w:hint="eastAsia"/>
          <w:highlight w:val="none"/>
        </w:rPr>
        <w:t>保修费用由造成质量缺陷的责任方承担。</w:t>
      </w:r>
    </w:p>
    <w:p>
      <w:pPr>
        <w:spacing w:line="400" w:lineRule="exact"/>
        <w:ind w:firstLine="420" w:firstLineChars="200"/>
        <w:outlineLvl w:val="0"/>
        <w:rPr>
          <w:rFonts w:ascii="黑体" w:eastAsia="黑体"/>
          <w:highlight w:val="none"/>
        </w:rPr>
      </w:pPr>
      <w:bookmarkStart w:id="2313" w:name="_Toc434331494"/>
      <w:bookmarkStart w:id="2314" w:name="_Toc395691559"/>
      <w:bookmarkStart w:id="2315" w:name="_Toc395689973"/>
      <w:bookmarkStart w:id="2316" w:name="_Toc395689486"/>
      <w:bookmarkStart w:id="2317" w:name="_Toc111445502"/>
      <w:bookmarkStart w:id="2318" w:name="_Toc31890"/>
      <w:r>
        <w:rPr>
          <w:rFonts w:hint="eastAsia" w:ascii="黑体" w:eastAsia="黑体"/>
          <w:highlight w:val="none"/>
        </w:rPr>
        <w:t>五、其 他</w:t>
      </w:r>
      <w:bookmarkEnd w:id="2313"/>
      <w:bookmarkEnd w:id="2314"/>
      <w:bookmarkEnd w:id="2315"/>
      <w:bookmarkEnd w:id="2316"/>
      <w:bookmarkEnd w:id="2317"/>
      <w:bookmarkEnd w:id="2318"/>
    </w:p>
    <w:p>
      <w:pPr>
        <w:spacing w:line="400" w:lineRule="exact"/>
        <w:ind w:left="420"/>
        <w:rPr>
          <w:highlight w:val="none"/>
        </w:rPr>
      </w:pPr>
      <w:r>
        <w:rPr>
          <w:rFonts w:hint="eastAsia"/>
          <w:highlight w:val="none"/>
        </w:rPr>
        <w:t>双方约定的其他工程保修责任事项：</w:t>
      </w:r>
    </w:p>
    <w:p>
      <w:pPr>
        <w:spacing w:line="400" w:lineRule="exact"/>
        <w:rPr>
          <w:highlight w:val="none"/>
          <w:u w:val="single"/>
        </w:rPr>
      </w:pPr>
      <w:r>
        <w:rPr>
          <w:rFonts w:hint="eastAsia"/>
          <w:highlight w:val="none"/>
          <w:u w:val="single"/>
        </w:rPr>
        <w:t xml:space="preserve">                                                                                                                                                        </w:t>
      </w:r>
    </w:p>
    <w:p>
      <w:pPr>
        <w:spacing w:line="400" w:lineRule="exact"/>
        <w:rPr>
          <w:highlight w:val="none"/>
          <w:u w:val="single"/>
        </w:rPr>
      </w:pPr>
      <w:r>
        <w:rPr>
          <w:rFonts w:hint="eastAsia"/>
          <w:highlight w:val="none"/>
          <w:u w:val="single"/>
        </w:rPr>
        <w:t xml:space="preserve">                                                                                                                                                        </w:t>
      </w:r>
    </w:p>
    <w:p>
      <w:pPr>
        <w:spacing w:line="400" w:lineRule="exact"/>
        <w:rPr>
          <w:highlight w:val="none"/>
        </w:rPr>
      </w:pPr>
      <w:r>
        <w:rPr>
          <w:rFonts w:hint="eastAsia"/>
          <w:highlight w:val="none"/>
          <w:u w:val="single"/>
        </w:rPr>
        <w:t xml:space="preserve">                                                                                                                                                    </w:t>
      </w:r>
      <w:r>
        <w:rPr>
          <w:rFonts w:hint="eastAsia"/>
          <w:highlight w:val="none"/>
        </w:rPr>
        <w:t>。</w:t>
      </w:r>
    </w:p>
    <w:p>
      <w:pPr>
        <w:spacing w:line="400" w:lineRule="exact"/>
        <w:ind w:firstLine="420"/>
        <w:rPr>
          <w:highlight w:val="none"/>
        </w:rPr>
      </w:pPr>
      <w:r>
        <w:rPr>
          <w:rFonts w:hint="eastAsia"/>
          <w:highlight w:val="none"/>
        </w:rPr>
        <w:t>本工程保修书，由施工合同发包人、承包人双方在竣工验收前共同签署，作为施工合同附件，其有效期限至保修期满。</w:t>
      </w:r>
    </w:p>
    <w:p>
      <w:pPr>
        <w:spacing w:line="400" w:lineRule="exact"/>
        <w:ind w:left="420"/>
        <w:rPr>
          <w:highlight w:val="none"/>
        </w:rPr>
      </w:pPr>
    </w:p>
    <w:p>
      <w:pPr>
        <w:spacing w:line="480" w:lineRule="auto"/>
        <w:ind w:firstLine="420" w:firstLineChars="200"/>
        <w:rPr>
          <w:highlight w:val="none"/>
        </w:rPr>
      </w:pPr>
      <w:r>
        <w:rPr>
          <w:rFonts w:hint="eastAsia"/>
          <w:highlight w:val="none"/>
        </w:rPr>
        <w:t>发包人：</w:t>
      </w:r>
      <w:r>
        <w:rPr>
          <w:rFonts w:hint="eastAsia"/>
          <w:highlight w:val="none"/>
          <w:u w:val="single"/>
        </w:rPr>
        <w:t xml:space="preserve">                  </w:t>
      </w:r>
      <w:r>
        <w:rPr>
          <w:rFonts w:hint="eastAsia"/>
          <w:highlight w:val="none"/>
        </w:rPr>
        <w:t>（公章）</w:t>
      </w:r>
      <w:r>
        <w:rPr>
          <w:rFonts w:hint="eastAsia"/>
          <w:highlight w:val="none"/>
        </w:rPr>
        <w:tab/>
      </w:r>
      <w:r>
        <w:rPr>
          <w:rFonts w:hint="eastAsia"/>
          <w:highlight w:val="none"/>
        </w:rPr>
        <w:t xml:space="preserve"> 承包人：</w:t>
      </w:r>
      <w:r>
        <w:rPr>
          <w:rFonts w:hint="eastAsia"/>
          <w:highlight w:val="none"/>
          <w:u w:val="single"/>
        </w:rPr>
        <w:t xml:space="preserve">                  </w:t>
      </w:r>
      <w:r>
        <w:rPr>
          <w:rFonts w:hint="eastAsia"/>
          <w:highlight w:val="none"/>
        </w:rPr>
        <w:t xml:space="preserve">（公章） </w:t>
      </w:r>
    </w:p>
    <w:p>
      <w:pPr>
        <w:tabs>
          <w:tab w:val="left" w:pos="4275"/>
        </w:tabs>
        <w:spacing w:line="480" w:lineRule="auto"/>
        <w:ind w:firstLine="420" w:firstLineChars="200"/>
        <w:rPr>
          <w:highlight w:val="none"/>
        </w:rPr>
      </w:pPr>
      <w:r>
        <w:rPr>
          <w:rFonts w:hint="eastAsia"/>
          <w:highlight w:val="none"/>
        </w:rPr>
        <w:t>法定地址：</w:t>
      </w:r>
      <w:r>
        <w:rPr>
          <w:rFonts w:hint="eastAsia"/>
          <w:highlight w:val="none"/>
          <w:u w:val="single"/>
        </w:rPr>
        <w:t xml:space="preserve">                </w:t>
      </w:r>
      <w:r>
        <w:rPr>
          <w:rFonts w:hint="eastAsia"/>
          <w:highlight w:val="none"/>
        </w:rPr>
        <w:tab/>
      </w:r>
      <w:r>
        <w:rPr>
          <w:rFonts w:hint="eastAsia"/>
          <w:highlight w:val="none"/>
        </w:rPr>
        <w:t>法定地址：</w:t>
      </w:r>
      <w:r>
        <w:rPr>
          <w:rFonts w:hint="eastAsia"/>
          <w:highlight w:val="none"/>
          <w:u w:val="single"/>
        </w:rPr>
        <w:t xml:space="preserve">                </w:t>
      </w:r>
    </w:p>
    <w:p>
      <w:pPr>
        <w:tabs>
          <w:tab w:val="left" w:pos="4275"/>
        </w:tabs>
        <w:spacing w:line="400" w:lineRule="exact"/>
        <w:ind w:firstLine="420" w:firstLineChars="200"/>
        <w:rPr>
          <w:highlight w:val="none"/>
        </w:rPr>
      </w:pPr>
      <w:r>
        <w:rPr>
          <w:rFonts w:hint="eastAsia"/>
          <w:highlight w:val="none"/>
        </w:rPr>
        <w:t>法定代表人或其                       法定代表人或其</w:t>
      </w:r>
    </w:p>
    <w:p>
      <w:pPr>
        <w:spacing w:after="468" w:afterLines="150" w:line="400" w:lineRule="exact"/>
        <w:ind w:firstLine="420" w:firstLineChars="200"/>
        <w:rPr>
          <w:highlight w:val="none"/>
        </w:rPr>
      </w:pPr>
      <w:r>
        <w:rPr>
          <w:rFonts w:hint="eastAsia"/>
          <w:highlight w:val="none"/>
        </w:rPr>
        <w:t>委托代理人：</w:t>
      </w:r>
      <w:r>
        <w:rPr>
          <w:rFonts w:hint="eastAsia"/>
          <w:highlight w:val="none"/>
          <w:u w:val="single"/>
        </w:rPr>
        <w:t xml:space="preserve">              </w:t>
      </w:r>
      <w:r>
        <w:rPr>
          <w:rFonts w:hint="eastAsia"/>
          <w:highlight w:val="none"/>
        </w:rPr>
        <w:t>（签字）</w:t>
      </w:r>
      <w:r>
        <w:rPr>
          <w:rFonts w:hint="eastAsia"/>
          <w:highlight w:val="none"/>
        </w:rPr>
        <w:tab/>
      </w:r>
      <w:r>
        <w:rPr>
          <w:rFonts w:hint="eastAsia"/>
          <w:highlight w:val="none"/>
        </w:rPr>
        <w:t xml:space="preserve"> 委托代理人：</w:t>
      </w:r>
      <w:r>
        <w:rPr>
          <w:rFonts w:hint="eastAsia"/>
          <w:highlight w:val="none"/>
          <w:u w:val="single"/>
        </w:rPr>
        <w:t xml:space="preserve">              </w:t>
      </w:r>
      <w:r>
        <w:rPr>
          <w:rFonts w:hint="eastAsia"/>
          <w:highlight w:val="none"/>
        </w:rPr>
        <w:t>（签字）</w:t>
      </w:r>
    </w:p>
    <w:p>
      <w:pPr>
        <w:tabs>
          <w:tab w:val="left" w:pos="4275"/>
        </w:tabs>
        <w:spacing w:line="480" w:lineRule="auto"/>
        <w:ind w:firstLine="420" w:firstLineChars="200"/>
        <w:rPr>
          <w:highlight w:val="none"/>
        </w:rPr>
      </w:pPr>
      <w:r>
        <w:rPr>
          <w:rFonts w:hint="eastAsia"/>
          <w:highlight w:val="none"/>
        </w:rPr>
        <w:t>电话：</w:t>
      </w:r>
      <w:r>
        <w:rPr>
          <w:rFonts w:hint="eastAsia"/>
          <w:highlight w:val="none"/>
          <w:u w:val="single"/>
        </w:rPr>
        <w:t xml:space="preserve">                     </w:t>
      </w:r>
      <w:r>
        <w:rPr>
          <w:rFonts w:hint="eastAsia"/>
          <w:highlight w:val="none"/>
        </w:rPr>
        <w:tab/>
      </w:r>
      <w:r>
        <w:rPr>
          <w:rFonts w:hint="eastAsia"/>
          <w:highlight w:val="none"/>
        </w:rPr>
        <w:t>电话：</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传真：</w:t>
      </w:r>
      <w:r>
        <w:rPr>
          <w:rFonts w:hint="eastAsia"/>
          <w:highlight w:val="none"/>
          <w:u w:val="single"/>
        </w:rPr>
        <w:t xml:space="preserve">                     </w:t>
      </w:r>
      <w:r>
        <w:rPr>
          <w:rFonts w:hint="eastAsia"/>
          <w:highlight w:val="none"/>
        </w:rPr>
        <w:tab/>
      </w:r>
      <w:r>
        <w:rPr>
          <w:rFonts w:hint="eastAsia"/>
          <w:highlight w:val="none"/>
        </w:rPr>
        <w:t>传真：</w:t>
      </w:r>
      <w:r>
        <w:rPr>
          <w:rFonts w:hint="eastAsia"/>
          <w:highlight w:val="none"/>
          <w:u w:val="single"/>
        </w:rPr>
        <w:t xml:space="preserve">                    </w:t>
      </w:r>
    </w:p>
    <w:p>
      <w:pPr>
        <w:tabs>
          <w:tab w:val="left" w:pos="4700"/>
        </w:tabs>
        <w:spacing w:line="480" w:lineRule="auto"/>
        <w:ind w:firstLine="420" w:firstLineChars="200"/>
        <w:rPr>
          <w:highlight w:val="none"/>
        </w:rPr>
      </w:pPr>
      <w:r>
        <w:rPr>
          <w:rFonts w:hint="eastAsia"/>
          <w:highlight w:val="none"/>
        </w:rPr>
        <w:t>电子邮箱：</w:t>
      </w:r>
      <w:r>
        <w:rPr>
          <w:rFonts w:hint="eastAsia"/>
          <w:highlight w:val="none"/>
          <w:u w:val="single"/>
        </w:rPr>
        <w:t xml:space="preserve">                 </w:t>
      </w:r>
      <w:r>
        <w:rPr>
          <w:rFonts w:hint="eastAsia"/>
          <w:highlight w:val="none"/>
        </w:rPr>
        <w:t xml:space="preserve">          电子邮箱：</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开户银行：</w:t>
      </w:r>
      <w:r>
        <w:rPr>
          <w:rFonts w:hint="eastAsia"/>
          <w:highlight w:val="none"/>
          <w:u w:val="single"/>
        </w:rPr>
        <w:t xml:space="preserve">                 </w:t>
      </w:r>
      <w:r>
        <w:rPr>
          <w:rFonts w:hint="eastAsia"/>
          <w:highlight w:val="none"/>
        </w:rPr>
        <w:tab/>
      </w:r>
      <w:r>
        <w:rPr>
          <w:rFonts w:hint="eastAsia"/>
          <w:highlight w:val="none"/>
        </w:rPr>
        <w:t>开户银行：</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帐号：</w:t>
      </w:r>
      <w:r>
        <w:rPr>
          <w:rFonts w:hint="eastAsia"/>
          <w:highlight w:val="none"/>
          <w:u w:val="single"/>
        </w:rPr>
        <w:t xml:space="preserve">                     </w:t>
      </w:r>
      <w:r>
        <w:rPr>
          <w:rFonts w:hint="eastAsia"/>
          <w:highlight w:val="none"/>
        </w:rPr>
        <w:tab/>
      </w:r>
      <w:r>
        <w:rPr>
          <w:rFonts w:hint="eastAsia"/>
          <w:highlight w:val="none"/>
        </w:rPr>
        <w:t>帐号：</w:t>
      </w:r>
      <w:r>
        <w:rPr>
          <w:rFonts w:hint="eastAsia"/>
          <w:highlight w:val="none"/>
          <w:u w:val="single"/>
        </w:rPr>
        <w:t xml:space="preserve">                    </w:t>
      </w:r>
    </w:p>
    <w:p>
      <w:pPr>
        <w:pStyle w:val="21"/>
        <w:spacing w:after="0" w:line="480" w:lineRule="auto"/>
        <w:rPr>
          <w:highlight w:val="none"/>
        </w:rPr>
      </w:pPr>
      <w:r>
        <w:rPr>
          <w:rFonts w:hint="eastAsia" w:hAnsi="宋体"/>
          <w:highlight w:val="none"/>
        </w:rPr>
        <w:t>邮政编码：</w:t>
      </w:r>
      <w:r>
        <w:rPr>
          <w:rFonts w:hint="eastAsia" w:ascii="宋体" w:hAnsi="宋体"/>
          <w:highlight w:val="none"/>
          <w:u w:val="single"/>
        </w:rPr>
        <w:t xml:space="preserve">                  </w:t>
      </w:r>
      <w:r>
        <w:rPr>
          <w:rFonts w:hint="eastAsia" w:hAnsi="宋体"/>
          <w:highlight w:val="none"/>
        </w:rPr>
        <w:t xml:space="preserve">         邮政编码</w:t>
      </w:r>
      <w:r>
        <w:rPr>
          <w:rFonts w:hint="eastAsia"/>
          <w:highlight w:val="none"/>
        </w:rPr>
        <w:t>：</w:t>
      </w:r>
      <w:r>
        <w:rPr>
          <w:rFonts w:hint="eastAsia" w:ascii="宋体" w:hAnsi="宋体"/>
          <w:highlight w:val="none"/>
          <w:u w:val="single"/>
        </w:rPr>
        <w:t xml:space="preserve">                </w:t>
      </w:r>
      <w:r>
        <w:rPr>
          <w:highlight w:val="none"/>
        </w:rPr>
        <w:t xml:space="preserve"> </w:t>
      </w:r>
    </w:p>
    <w:p>
      <w:pPr>
        <w:pStyle w:val="199"/>
        <w:rPr>
          <w:highlight w:val="none"/>
        </w:rPr>
      </w:pPr>
      <w:r>
        <w:rPr>
          <w:highlight w:val="none"/>
        </w:rPr>
        <w:br w:type="page"/>
      </w:r>
      <w:bookmarkStart w:id="2319" w:name="_Toc434331495"/>
      <w:bookmarkStart w:id="2320" w:name="_Toc25921"/>
      <w:bookmarkStart w:id="2321" w:name="_Toc45652754"/>
      <w:bookmarkStart w:id="2322" w:name="_Toc342296517"/>
      <w:bookmarkStart w:id="2323" w:name="_Toc241459758"/>
      <w:bookmarkStart w:id="2324" w:name="_Toc111445503"/>
      <w:r>
        <w:rPr>
          <w:rFonts w:hint="eastAsia"/>
          <w:highlight w:val="none"/>
        </w:rPr>
        <w:t>附件八：廉政责任书格式</w:t>
      </w:r>
      <w:bookmarkEnd w:id="2319"/>
      <w:bookmarkEnd w:id="2320"/>
      <w:bookmarkEnd w:id="2321"/>
      <w:bookmarkEnd w:id="2322"/>
      <w:bookmarkEnd w:id="2323"/>
    </w:p>
    <w:p>
      <w:pPr>
        <w:ind w:firstLine="488"/>
        <w:jc w:val="center"/>
        <w:rPr>
          <w:highlight w:val="none"/>
        </w:rPr>
      </w:pPr>
    </w:p>
    <w:p>
      <w:pPr>
        <w:jc w:val="center"/>
        <w:rPr>
          <w:rFonts w:ascii="黑体" w:eastAsia="黑体"/>
          <w:sz w:val="28"/>
          <w:highlight w:val="none"/>
        </w:rPr>
      </w:pPr>
      <w:r>
        <w:rPr>
          <w:rFonts w:hint="eastAsia" w:ascii="黑体" w:eastAsia="黑体"/>
          <w:sz w:val="28"/>
          <w:highlight w:val="none"/>
        </w:rPr>
        <w:t>建设工程廉政责任书</w:t>
      </w:r>
      <w:bookmarkEnd w:id="2324"/>
    </w:p>
    <w:p>
      <w:pPr>
        <w:ind w:firstLine="420" w:firstLineChars="200"/>
        <w:rPr>
          <w:highlight w:val="none"/>
        </w:rPr>
      </w:pPr>
    </w:p>
    <w:p>
      <w:pPr>
        <w:spacing w:line="400" w:lineRule="exact"/>
        <w:ind w:firstLine="420" w:firstLineChars="200"/>
        <w:rPr>
          <w:highlight w:val="none"/>
          <w:u w:val="single"/>
        </w:rPr>
      </w:pPr>
      <w:r>
        <w:rPr>
          <w:rFonts w:hint="eastAsia"/>
          <w:highlight w:val="none"/>
        </w:rPr>
        <w:t>发包人：</w:t>
      </w:r>
      <w:r>
        <w:rPr>
          <w:rFonts w:hint="eastAsia"/>
          <w:highlight w:val="none"/>
          <w:u w:val="single"/>
        </w:rPr>
        <w:t xml:space="preserve">                                        </w:t>
      </w:r>
    </w:p>
    <w:p>
      <w:pPr>
        <w:spacing w:line="400" w:lineRule="exact"/>
        <w:ind w:firstLine="420" w:firstLineChars="200"/>
        <w:rPr>
          <w:highlight w:val="none"/>
        </w:rPr>
      </w:pPr>
      <w:r>
        <w:rPr>
          <w:rFonts w:hint="eastAsia"/>
          <w:highlight w:val="none"/>
        </w:rPr>
        <w:t>承包人：</w:t>
      </w:r>
      <w:r>
        <w:rPr>
          <w:rFonts w:hint="eastAsia"/>
          <w:highlight w:val="none"/>
          <w:u w:val="single"/>
        </w:rPr>
        <w:t xml:space="preserve">                                        </w:t>
      </w:r>
    </w:p>
    <w:p>
      <w:pPr>
        <w:spacing w:line="400" w:lineRule="exact"/>
        <w:ind w:firstLine="420" w:firstLineChars="200"/>
        <w:rPr>
          <w:highlight w:val="none"/>
        </w:rPr>
      </w:pPr>
    </w:p>
    <w:p>
      <w:pPr>
        <w:spacing w:line="400" w:lineRule="exact"/>
        <w:ind w:firstLine="420" w:firstLineChars="200"/>
        <w:rPr>
          <w:szCs w:val="28"/>
          <w:highlight w:val="none"/>
        </w:rPr>
      </w:pPr>
      <w:r>
        <w:rPr>
          <w:szCs w:val="28"/>
          <w:highlight w:val="none"/>
        </w:rPr>
        <w:t>为加强建设工程廉政建设，规范</w:t>
      </w:r>
      <w:r>
        <w:rPr>
          <w:rFonts w:hint="eastAsia"/>
          <w:szCs w:val="28"/>
          <w:highlight w:val="none"/>
        </w:rPr>
        <w:t>建设工程</w:t>
      </w:r>
      <w:r>
        <w:rPr>
          <w:szCs w:val="28"/>
          <w:highlight w:val="none"/>
        </w:rPr>
        <w:t>各项活动</w:t>
      </w:r>
      <w:r>
        <w:rPr>
          <w:rFonts w:hint="eastAsia"/>
          <w:szCs w:val="28"/>
          <w:highlight w:val="none"/>
        </w:rPr>
        <w:t>中发包人承包人双方的行为</w:t>
      </w:r>
      <w:r>
        <w:rPr>
          <w:szCs w:val="28"/>
          <w:highlight w:val="none"/>
        </w:rPr>
        <w:t>，防止谋取不正当利益的违法违纪</w:t>
      </w:r>
      <w:r>
        <w:rPr>
          <w:rFonts w:hint="eastAsia"/>
          <w:szCs w:val="28"/>
          <w:highlight w:val="none"/>
        </w:rPr>
        <w:t>现象的</w:t>
      </w:r>
      <w:r>
        <w:rPr>
          <w:szCs w:val="28"/>
          <w:highlight w:val="none"/>
        </w:rPr>
        <w:t>发生，保护国家、集体和当事人的合法权益，根据国家有关工程建设的法律法规和廉政建设</w:t>
      </w:r>
      <w:r>
        <w:rPr>
          <w:rFonts w:hint="eastAsia"/>
          <w:szCs w:val="28"/>
          <w:highlight w:val="none"/>
        </w:rPr>
        <w:t>的有关规定</w:t>
      </w:r>
      <w:r>
        <w:rPr>
          <w:szCs w:val="28"/>
          <w:highlight w:val="none"/>
        </w:rPr>
        <w:t>，订立本廉政责任书。</w:t>
      </w:r>
    </w:p>
    <w:p>
      <w:pPr>
        <w:spacing w:line="400" w:lineRule="exact"/>
        <w:ind w:firstLine="420" w:firstLineChars="200"/>
        <w:outlineLvl w:val="0"/>
        <w:rPr>
          <w:rFonts w:ascii="黑体" w:eastAsia="黑体"/>
          <w:highlight w:val="none"/>
        </w:rPr>
      </w:pPr>
      <w:bookmarkStart w:id="2325" w:name="_Toc22530"/>
      <w:bookmarkStart w:id="2326" w:name="_Toc434331496"/>
      <w:bookmarkStart w:id="2327" w:name="_Toc395689488"/>
      <w:bookmarkStart w:id="2328" w:name="_Toc111445504"/>
      <w:bookmarkStart w:id="2329" w:name="_Toc395691561"/>
      <w:bookmarkStart w:id="2330" w:name="_Toc395689975"/>
      <w:r>
        <w:rPr>
          <w:rFonts w:hint="eastAsia" w:ascii="黑体" w:eastAsia="黑体"/>
          <w:highlight w:val="none"/>
        </w:rPr>
        <w:t>一、双方的责任</w:t>
      </w:r>
      <w:bookmarkEnd w:id="2325"/>
      <w:bookmarkEnd w:id="2326"/>
      <w:bookmarkEnd w:id="2327"/>
      <w:bookmarkEnd w:id="2328"/>
      <w:bookmarkEnd w:id="2329"/>
      <w:bookmarkEnd w:id="2330"/>
    </w:p>
    <w:p>
      <w:pPr>
        <w:spacing w:line="400" w:lineRule="exact"/>
        <w:ind w:firstLine="420" w:firstLineChars="200"/>
        <w:rPr>
          <w:szCs w:val="28"/>
          <w:highlight w:val="none"/>
        </w:rPr>
      </w:pPr>
      <w:r>
        <w:rPr>
          <w:rFonts w:hint="eastAsia"/>
          <w:szCs w:val="28"/>
          <w:highlight w:val="none"/>
        </w:rPr>
        <w:t>1</w:t>
      </w:r>
      <w:r>
        <w:rPr>
          <w:szCs w:val="28"/>
          <w:highlight w:val="none"/>
        </w:rPr>
        <w:t>.1</w:t>
      </w:r>
      <w:r>
        <w:rPr>
          <w:rFonts w:hint="eastAsia"/>
          <w:szCs w:val="28"/>
          <w:highlight w:val="none"/>
        </w:rPr>
        <w:t xml:space="preserve"> </w:t>
      </w:r>
      <w:r>
        <w:rPr>
          <w:szCs w:val="28"/>
          <w:highlight w:val="none"/>
        </w:rPr>
        <w:t>应严格遵守国家关于</w:t>
      </w:r>
      <w:r>
        <w:rPr>
          <w:rFonts w:hint="eastAsia"/>
          <w:szCs w:val="28"/>
          <w:highlight w:val="none"/>
        </w:rPr>
        <w:t>建设工程</w:t>
      </w:r>
      <w:r>
        <w:rPr>
          <w:szCs w:val="28"/>
          <w:highlight w:val="none"/>
        </w:rPr>
        <w:t>的有关法律、法规，相关政策，以及廉政建设的各项规定。</w:t>
      </w:r>
    </w:p>
    <w:p>
      <w:pPr>
        <w:spacing w:line="400" w:lineRule="exact"/>
        <w:ind w:firstLine="420" w:firstLineChars="200"/>
        <w:rPr>
          <w:szCs w:val="28"/>
          <w:highlight w:val="none"/>
        </w:rPr>
      </w:pPr>
      <w:r>
        <w:rPr>
          <w:rFonts w:hint="eastAsia"/>
          <w:szCs w:val="28"/>
          <w:highlight w:val="none"/>
        </w:rPr>
        <w:t>1</w:t>
      </w:r>
      <w:r>
        <w:rPr>
          <w:szCs w:val="28"/>
          <w:highlight w:val="none"/>
        </w:rPr>
        <w:t>.</w:t>
      </w:r>
      <w:r>
        <w:rPr>
          <w:rFonts w:hint="eastAsia"/>
          <w:szCs w:val="28"/>
          <w:highlight w:val="none"/>
        </w:rPr>
        <w:t xml:space="preserve">2 </w:t>
      </w:r>
      <w:r>
        <w:rPr>
          <w:szCs w:val="28"/>
          <w:highlight w:val="none"/>
        </w:rPr>
        <w:t>严格执行建设工程合同文件，自觉按合同办事。</w:t>
      </w:r>
    </w:p>
    <w:p>
      <w:pPr>
        <w:spacing w:line="400" w:lineRule="exact"/>
        <w:ind w:firstLine="420" w:firstLineChars="200"/>
        <w:rPr>
          <w:szCs w:val="28"/>
          <w:highlight w:val="none"/>
        </w:rPr>
      </w:pPr>
      <w:r>
        <w:rPr>
          <w:rFonts w:hint="eastAsia"/>
          <w:szCs w:val="28"/>
          <w:highlight w:val="none"/>
        </w:rPr>
        <w:t>1</w:t>
      </w:r>
      <w:r>
        <w:rPr>
          <w:szCs w:val="28"/>
          <w:highlight w:val="none"/>
        </w:rPr>
        <w:t>.</w:t>
      </w:r>
      <w:r>
        <w:rPr>
          <w:rFonts w:hint="eastAsia"/>
          <w:szCs w:val="28"/>
          <w:highlight w:val="none"/>
        </w:rPr>
        <w:t>3 各项</w:t>
      </w:r>
      <w:r>
        <w:rPr>
          <w:szCs w:val="28"/>
          <w:highlight w:val="none"/>
        </w:rPr>
        <w:t>活动必须坚持公开、公平、公正、诚信、透明的原则（除法律法规另有规定者外），不得为获取不正当的利益，损害国家、集体和对方利益，不得违反建设工程管理的规章制度。</w:t>
      </w:r>
    </w:p>
    <w:p>
      <w:pPr>
        <w:spacing w:line="400" w:lineRule="exact"/>
        <w:ind w:firstLine="420" w:firstLineChars="200"/>
        <w:rPr>
          <w:szCs w:val="28"/>
          <w:highlight w:val="none"/>
        </w:rPr>
      </w:pPr>
      <w:r>
        <w:rPr>
          <w:rFonts w:hint="eastAsia"/>
          <w:szCs w:val="28"/>
          <w:highlight w:val="none"/>
        </w:rPr>
        <w:t>1</w:t>
      </w:r>
      <w:r>
        <w:rPr>
          <w:szCs w:val="28"/>
          <w:highlight w:val="none"/>
        </w:rPr>
        <w:t>.</w:t>
      </w:r>
      <w:r>
        <w:rPr>
          <w:rFonts w:hint="eastAsia"/>
          <w:szCs w:val="28"/>
          <w:highlight w:val="none"/>
        </w:rPr>
        <w:t xml:space="preserve">4 </w:t>
      </w:r>
      <w:r>
        <w:rPr>
          <w:szCs w:val="28"/>
          <w:highlight w:val="none"/>
        </w:rPr>
        <w:t>发现对方在业务活动中有违规、违纪、违法行为的，应及时提醒对方，情节严重的，应向其上级主管部门或纪检监察、司法等有关机关举报。</w:t>
      </w:r>
    </w:p>
    <w:p>
      <w:pPr>
        <w:spacing w:line="400" w:lineRule="exact"/>
        <w:ind w:firstLine="420" w:firstLineChars="200"/>
        <w:outlineLvl w:val="0"/>
        <w:rPr>
          <w:rFonts w:ascii="黑体" w:eastAsia="黑体"/>
          <w:highlight w:val="none"/>
        </w:rPr>
      </w:pPr>
      <w:bookmarkStart w:id="2331" w:name="_Toc395689489"/>
      <w:bookmarkStart w:id="2332" w:name="_Toc32006"/>
      <w:bookmarkStart w:id="2333" w:name="_Toc434331497"/>
      <w:bookmarkStart w:id="2334" w:name="_Toc395691562"/>
      <w:bookmarkStart w:id="2335" w:name="_Toc395689976"/>
      <w:bookmarkStart w:id="2336" w:name="_Toc111445505"/>
      <w:r>
        <w:rPr>
          <w:rFonts w:hint="eastAsia" w:ascii="黑体" w:eastAsia="黑体"/>
          <w:highlight w:val="none"/>
        </w:rPr>
        <w:t>二、发包人责任</w:t>
      </w:r>
      <w:bookmarkEnd w:id="2331"/>
      <w:bookmarkEnd w:id="2332"/>
      <w:bookmarkEnd w:id="2333"/>
      <w:bookmarkEnd w:id="2334"/>
      <w:bookmarkEnd w:id="2335"/>
      <w:bookmarkEnd w:id="2336"/>
    </w:p>
    <w:p>
      <w:pPr>
        <w:spacing w:line="400" w:lineRule="exact"/>
        <w:ind w:firstLine="420" w:firstLineChars="200"/>
        <w:rPr>
          <w:szCs w:val="28"/>
          <w:highlight w:val="none"/>
        </w:rPr>
      </w:pPr>
      <w:r>
        <w:rPr>
          <w:szCs w:val="28"/>
          <w:highlight w:val="none"/>
        </w:rPr>
        <w:t>发包人的领导和从事该建设工程项目的工作人员，在工程建设的事前、事中、事后应遵守以下规定：</w:t>
      </w:r>
    </w:p>
    <w:p>
      <w:pPr>
        <w:spacing w:line="400" w:lineRule="exact"/>
        <w:ind w:firstLine="420" w:firstLineChars="200"/>
        <w:rPr>
          <w:szCs w:val="28"/>
          <w:highlight w:val="none"/>
        </w:rPr>
      </w:pPr>
      <w:r>
        <w:rPr>
          <w:rFonts w:hint="eastAsia"/>
          <w:szCs w:val="28"/>
          <w:highlight w:val="none"/>
        </w:rPr>
        <w:t>2</w:t>
      </w:r>
      <w:r>
        <w:rPr>
          <w:szCs w:val="28"/>
          <w:highlight w:val="none"/>
        </w:rPr>
        <w:t>.</w:t>
      </w:r>
      <w:r>
        <w:rPr>
          <w:rFonts w:hint="eastAsia"/>
          <w:szCs w:val="28"/>
          <w:highlight w:val="none"/>
        </w:rPr>
        <w:t>1</w:t>
      </w:r>
      <w:r>
        <w:rPr>
          <w:szCs w:val="28"/>
          <w:highlight w:val="none"/>
        </w:rPr>
        <w:t>不得向承包人和相关单位索要或接受回扣、礼金、有价证券、贵重物品和好处费、感谢费等。</w:t>
      </w:r>
    </w:p>
    <w:p>
      <w:pPr>
        <w:spacing w:line="400" w:lineRule="exact"/>
        <w:outlineLvl w:val="0"/>
        <w:rPr>
          <w:szCs w:val="28"/>
          <w:highlight w:val="none"/>
        </w:rPr>
      </w:pPr>
      <w:bookmarkStart w:id="2337" w:name="_Toc45652757"/>
      <w:bookmarkStart w:id="2338" w:name="_Toc434230808"/>
      <w:bookmarkStart w:id="2339" w:name="_Toc434331498"/>
      <w:bookmarkStart w:id="2340" w:name="_Toc395691563"/>
      <w:bookmarkStart w:id="2341" w:name="_Toc19216"/>
      <w:bookmarkStart w:id="2342" w:name="_Toc395689977"/>
      <w:bookmarkStart w:id="2343" w:name="_Toc395689490"/>
      <w:r>
        <w:rPr>
          <w:rFonts w:hint="eastAsia"/>
          <w:szCs w:val="28"/>
          <w:highlight w:val="none"/>
        </w:rPr>
        <w:t>2</w:t>
      </w:r>
      <w:r>
        <w:rPr>
          <w:szCs w:val="28"/>
          <w:highlight w:val="none"/>
        </w:rPr>
        <w:t>.</w:t>
      </w:r>
      <w:r>
        <w:rPr>
          <w:rFonts w:hint="eastAsia"/>
          <w:szCs w:val="28"/>
          <w:highlight w:val="none"/>
        </w:rPr>
        <w:t xml:space="preserve">2 </w:t>
      </w:r>
      <w:r>
        <w:rPr>
          <w:szCs w:val="28"/>
          <w:highlight w:val="none"/>
        </w:rPr>
        <w:t>不得在承包人和相关单位报销任何应由发包人或个人支付的费用。</w:t>
      </w:r>
      <w:bookmarkEnd w:id="2337"/>
      <w:bookmarkEnd w:id="2338"/>
      <w:bookmarkEnd w:id="2339"/>
      <w:bookmarkEnd w:id="2340"/>
      <w:bookmarkEnd w:id="2341"/>
      <w:bookmarkEnd w:id="2342"/>
      <w:bookmarkEnd w:id="2343"/>
    </w:p>
    <w:p>
      <w:pPr>
        <w:spacing w:line="400" w:lineRule="exact"/>
        <w:ind w:firstLine="420" w:firstLineChars="200"/>
        <w:rPr>
          <w:szCs w:val="28"/>
          <w:highlight w:val="none"/>
        </w:rPr>
      </w:pPr>
      <w:r>
        <w:rPr>
          <w:rFonts w:hint="eastAsia"/>
          <w:szCs w:val="28"/>
          <w:highlight w:val="none"/>
        </w:rPr>
        <w:t>2</w:t>
      </w:r>
      <w:r>
        <w:rPr>
          <w:szCs w:val="28"/>
          <w:highlight w:val="none"/>
        </w:rPr>
        <w:t>.</w:t>
      </w:r>
      <w:r>
        <w:rPr>
          <w:rFonts w:hint="eastAsia"/>
          <w:szCs w:val="28"/>
          <w:highlight w:val="none"/>
        </w:rPr>
        <w:t xml:space="preserve">3 </w:t>
      </w:r>
      <w:r>
        <w:rPr>
          <w:szCs w:val="28"/>
          <w:highlight w:val="none"/>
        </w:rPr>
        <w:t>不得要求、暗示或接受承包人和相关单位为个人装修住房、婚丧嫁娶、配偶子女的工作安排以及出国（境）、旅游等提供方便。</w:t>
      </w:r>
    </w:p>
    <w:p>
      <w:pPr>
        <w:spacing w:line="400" w:lineRule="exact"/>
        <w:ind w:firstLine="420" w:firstLineChars="200"/>
        <w:rPr>
          <w:szCs w:val="28"/>
          <w:highlight w:val="none"/>
        </w:rPr>
      </w:pPr>
      <w:r>
        <w:rPr>
          <w:rFonts w:hint="eastAsia"/>
          <w:szCs w:val="28"/>
          <w:highlight w:val="none"/>
        </w:rPr>
        <w:t>2</w:t>
      </w:r>
      <w:r>
        <w:rPr>
          <w:szCs w:val="28"/>
          <w:highlight w:val="none"/>
        </w:rPr>
        <w:t>.</w:t>
      </w:r>
      <w:r>
        <w:rPr>
          <w:rFonts w:hint="eastAsia"/>
          <w:szCs w:val="28"/>
          <w:highlight w:val="none"/>
        </w:rPr>
        <w:t xml:space="preserve">4 </w:t>
      </w:r>
      <w:r>
        <w:rPr>
          <w:szCs w:val="28"/>
          <w:highlight w:val="none"/>
        </w:rPr>
        <w:t>不得参加有可能影响公正执行公务的承包人和相关单位的宴请、健身、娱乐等活动。</w:t>
      </w:r>
    </w:p>
    <w:p>
      <w:pPr>
        <w:spacing w:line="400" w:lineRule="exact"/>
        <w:ind w:firstLine="420" w:firstLineChars="200"/>
        <w:rPr>
          <w:szCs w:val="28"/>
          <w:highlight w:val="none"/>
        </w:rPr>
      </w:pPr>
      <w:r>
        <w:rPr>
          <w:rFonts w:hint="eastAsia"/>
          <w:szCs w:val="28"/>
          <w:highlight w:val="none"/>
        </w:rPr>
        <w:t>2</w:t>
      </w:r>
      <w:r>
        <w:rPr>
          <w:szCs w:val="28"/>
          <w:highlight w:val="none"/>
        </w:rPr>
        <w:t>.</w:t>
      </w:r>
      <w:r>
        <w:rPr>
          <w:rFonts w:hint="eastAsia"/>
          <w:szCs w:val="28"/>
          <w:highlight w:val="none"/>
        </w:rPr>
        <w:t xml:space="preserve">5 </w:t>
      </w:r>
      <w:r>
        <w:rPr>
          <w:szCs w:val="28"/>
          <w:highlight w:val="none"/>
        </w:rPr>
        <w:t>不得向承包人和相关单位介绍或为配偶、子女、亲属参与同发包人</w:t>
      </w:r>
      <w:r>
        <w:rPr>
          <w:rFonts w:hint="eastAsia"/>
          <w:szCs w:val="28"/>
          <w:highlight w:val="none"/>
        </w:rPr>
        <w:t>工程建设管理</w:t>
      </w:r>
      <w:r>
        <w:rPr>
          <w:szCs w:val="28"/>
          <w:highlight w:val="none"/>
        </w:rPr>
        <w:t>合同有关的业务活动</w:t>
      </w:r>
      <w:r>
        <w:rPr>
          <w:rFonts w:hint="eastAsia"/>
          <w:szCs w:val="28"/>
          <w:highlight w:val="none"/>
        </w:rPr>
        <w:t>；</w:t>
      </w:r>
      <w:r>
        <w:rPr>
          <w:szCs w:val="28"/>
          <w:highlight w:val="none"/>
        </w:rPr>
        <w:t>不得以任何理由要求承包人和相关单位使用某种产品、材料和设备。</w:t>
      </w:r>
    </w:p>
    <w:p>
      <w:pPr>
        <w:spacing w:line="400" w:lineRule="exact"/>
        <w:ind w:firstLine="420" w:firstLineChars="200"/>
        <w:outlineLvl w:val="0"/>
        <w:rPr>
          <w:rFonts w:ascii="黑体" w:eastAsia="黑体"/>
          <w:highlight w:val="none"/>
        </w:rPr>
      </w:pPr>
      <w:bookmarkStart w:id="2344" w:name="_Toc395691564"/>
      <w:bookmarkStart w:id="2345" w:name="_Toc111445506"/>
      <w:bookmarkStart w:id="2346" w:name="_Toc19168"/>
      <w:bookmarkStart w:id="2347" w:name="_Toc395689978"/>
      <w:bookmarkStart w:id="2348" w:name="_Toc395689491"/>
      <w:bookmarkStart w:id="2349" w:name="_Toc434331499"/>
      <w:r>
        <w:rPr>
          <w:rFonts w:hint="eastAsia" w:ascii="黑体" w:eastAsia="黑体"/>
          <w:highlight w:val="none"/>
        </w:rPr>
        <w:t>三、承包人责任</w:t>
      </w:r>
      <w:bookmarkEnd w:id="2344"/>
      <w:bookmarkEnd w:id="2345"/>
      <w:bookmarkEnd w:id="2346"/>
      <w:bookmarkEnd w:id="2347"/>
      <w:bookmarkEnd w:id="2348"/>
      <w:bookmarkEnd w:id="2349"/>
    </w:p>
    <w:p>
      <w:pPr>
        <w:spacing w:line="400" w:lineRule="exact"/>
        <w:ind w:firstLine="420" w:firstLineChars="200"/>
        <w:rPr>
          <w:szCs w:val="28"/>
          <w:highlight w:val="none"/>
        </w:rPr>
      </w:pPr>
      <w:r>
        <w:rPr>
          <w:szCs w:val="28"/>
          <w:highlight w:val="none"/>
        </w:rPr>
        <w:t>应与发包人保持正常的业务交往，按照有关法律法规和程序开展业务工作，严格执行工程建设的有关方针、政策，</w:t>
      </w:r>
      <w:r>
        <w:rPr>
          <w:rFonts w:hint="eastAsia"/>
          <w:szCs w:val="28"/>
          <w:highlight w:val="none"/>
        </w:rPr>
        <w:t>执行工程建设</w:t>
      </w:r>
      <w:r>
        <w:rPr>
          <w:szCs w:val="28"/>
          <w:highlight w:val="none"/>
        </w:rPr>
        <w:t>强制性标准，并遵守以下规定：</w:t>
      </w:r>
    </w:p>
    <w:p>
      <w:pPr>
        <w:spacing w:line="400" w:lineRule="exact"/>
        <w:ind w:firstLine="420" w:firstLineChars="200"/>
        <w:rPr>
          <w:szCs w:val="28"/>
          <w:highlight w:val="none"/>
        </w:rPr>
      </w:pPr>
      <w:r>
        <w:rPr>
          <w:rFonts w:hint="eastAsia"/>
          <w:szCs w:val="28"/>
          <w:highlight w:val="none"/>
        </w:rPr>
        <w:t>3</w:t>
      </w:r>
      <w:r>
        <w:rPr>
          <w:szCs w:val="28"/>
          <w:highlight w:val="none"/>
        </w:rPr>
        <w:t>.</w:t>
      </w:r>
      <w:r>
        <w:rPr>
          <w:rFonts w:hint="eastAsia"/>
          <w:szCs w:val="28"/>
          <w:highlight w:val="none"/>
        </w:rPr>
        <w:t xml:space="preserve">1 </w:t>
      </w:r>
      <w:r>
        <w:rPr>
          <w:szCs w:val="28"/>
          <w:highlight w:val="none"/>
        </w:rPr>
        <w:t>不得以任何理由向发包人及其工作人员索要、接受或赠送礼金、有价证券、贵重物品及回扣、好处费、感谢费等。</w:t>
      </w:r>
    </w:p>
    <w:p>
      <w:pPr>
        <w:spacing w:line="400" w:lineRule="exact"/>
        <w:ind w:firstLine="420" w:firstLineChars="200"/>
        <w:rPr>
          <w:szCs w:val="28"/>
          <w:highlight w:val="none"/>
        </w:rPr>
      </w:pPr>
      <w:r>
        <w:rPr>
          <w:rFonts w:hint="eastAsia"/>
          <w:szCs w:val="28"/>
          <w:highlight w:val="none"/>
        </w:rPr>
        <w:t>3</w:t>
      </w:r>
      <w:r>
        <w:rPr>
          <w:szCs w:val="28"/>
          <w:highlight w:val="none"/>
        </w:rPr>
        <w:t>.</w:t>
      </w:r>
      <w:r>
        <w:rPr>
          <w:rFonts w:hint="eastAsia"/>
          <w:szCs w:val="28"/>
          <w:highlight w:val="none"/>
        </w:rPr>
        <w:t>2</w:t>
      </w:r>
      <w:r>
        <w:rPr>
          <w:szCs w:val="28"/>
          <w:highlight w:val="none"/>
        </w:rPr>
        <w:t>不得以任何理由为发包人和相关单位报销应由对方或个人支付的费用。</w:t>
      </w:r>
    </w:p>
    <w:p>
      <w:pPr>
        <w:spacing w:line="400" w:lineRule="exact"/>
        <w:ind w:firstLine="420" w:firstLineChars="200"/>
        <w:rPr>
          <w:szCs w:val="28"/>
          <w:highlight w:val="none"/>
        </w:rPr>
      </w:pPr>
      <w:r>
        <w:rPr>
          <w:rFonts w:hint="eastAsia"/>
          <w:szCs w:val="28"/>
          <w:highlight w:val="none"/>
        </w:rPr>
        <w:t>3</w:t>
      </w:r>
      <w:r>
        <w:rPr>
          <w:szCs w:val="28"/>
          <w:highlight w:val="none"/>
        </w:rPr>
        <w:t>.</w:t>
      </w:r>
      <w:r>
        <w:rPr>
          <w:rFonts w:hint="eastAsia"/>
          <w:szCs w:val="28"/>
          <w:highlight w:val="none"/>
        </w:rPr>
        <w:t>3</w:t>
      </w:r>
      <w:r>
        <w:rPr>
          <w:szCs w:val="28"/>
          <w:highlight w:val="none"/>
        </w:rPr>
        <w:t>不得接受或暗示为发包人、相关单位或个人装修住房、婚丧嫁娶、配偶子女的工作安排以及出国（境）、旅游等提供方便。</w:t>
      </w:r>
    </w:p>
    <w:p>
      <w:pPr>
        <w:spacing w:line="400" w:lineRule="exact"/>
        <w:ind w:firstLine="420" w:firstLineChars="200"/>
        <w:rPr>
          <w:szCs w:val="28"/>
          <w:highlight w:val="none"/>
        </w:rPr>
      </w:pPr>
      <w:r>
        <w:rPr>
          <w:rFonts w:hint="eastAsia"/>
          <w:szCs w:val="28"/>
          <w:highlight w:val="none"/>
        </w:rPr>
        <w:t>3</w:t>
      </w:r>
      <w:r>
        <w:rPr>
          <w:szCs w:val="28"/>
          <w:highlight w:val="none"/>
        </w:rPr>
        <w:t>.</w:t>
      </w:r>
      <w:r>
        <w:rPr>
          <w:rFonts w:hint="eastAsia"/>
          <w:szCs w:val="28"/>
          <w:highlight w:val="none"/>
        </w:rPr>
        <w:t>4</w:t>
      </w:r>
      <w:r>
        <w:rPr>
          <w:szCs w:val="28"/>
          <w:highlight w:val="none"/>
        </w:rPr>
        <w:t>不得以任何理由为发包人、相关单位或个人组织有可能影响公正执行公务的宴请、健身、娱乐等活动。</w:t>
      </w:r>
    </w:p>
    <w:p>
      <w:pPr>
        <w:spacing w:line="400" w:lineRule="exact"/>
        <w:ind w:firstLine="420" w:firstLineChars="200"/>
        <w:outlineLvl w:val="0"/>
        <w:rPr>
          <w:rFonts w:ascii="黑体" w:eastAsia="黑体"/>
          <w:highlight w:val="none"/>
        </w:rPr>
      </w:pPr>
      <w:bookmarkStart w:id="2350" w:name="_Toc111445507"/>
      <w:bookmarkStart w:id="2351" w:name="_Toc395689492"/>
      <w:bookmarkStart w:id="2352" w:name="_Toc434331500"/>
      <w:bookmarkStart w:id="2353" w:name="_Toc395689979"/>
      <w:bookmarkStart w:id="2354" w:name="_Toc395691565"/>
      <w:bookmarkStart w:id="2355" w:name="_Toc27163"/>
      <w:r>
        <w:rPr>
          <w:rFonts w:hint="eastAsia" w:ascii="黑体" w:eastAsia="黑体"/>
          <w:highlight w:val="none"/>
        </w:rPr>
        <w:t>四、违约责任</w:t>
      </w:r>
      <w:bookmarkEnd w:id="2350"/>
      <w:bookmarkEnd w:id="2351"/>
      <w:bookmarkEnd w:id="2352"/>
      <w:bookmarkEnd w:id="2353"/>
      <w:bookmarkEnd w:id="2354"/>
      <w:bookmarkEnd w:id="2355"/>
    </w:p>
    <w:p>
      <w:pPr>
        <w:spacing w:line="400" w:lineRule="exact"/>
        <w:ind w:firstLine="420" w:firstLineChars="200"/>
        <w:rPr>
          <w:szCs w:val="28"/>
          <w:highlight w:val="none"/>
        </w:rPr>
      </w:pPr>
      <w:r>
        <w:rPr>
          <w:rFonts w:hint="eastAsia"/>
          <w:szCs w:val="28"/>
          <w:highlight w:val="none"/>
        </w:rPr>
        <w:t>4</w:t>
      </w:r>
      <w:r>
        <w:rPr>
          <w:szCs w:val="28"/>
          <w:highlight w:val="none"/>
        </w:rPr>
        <w:t>.</w:t>
      </w:r>
      <w:r>
        <w:rPr>
          <w:rFonts w:hint="eastAsia"/>
          <w:szCs w:val="28"/>
          <w:highlight w:val="none"/>
        </w:rPr>
        <w:t>1</w:t>
      </w:r>
      <w:r>
        <w:rPr>
          <w:szCs w:val="28"/>
          <w:highlight w:val="none"/>
        </w:rPr>
        <w:t>发包人工作人员有违反本责任书第一、二条责任行为的，依据有关法律</w:t>
      </w:r>
      <w:r>
        <w:rPr>
          <w:rFonts w:hint="eastAsia"/>
          <w:szCs w:val="28"/>
          <w:highlight w:val="none"/>
        </w:rPr>
        <w:t>、</w:t>
      </w:r>
      <w:r>
        <w:rPr>
          <w:szCs w:val="28"/>
          <w:highlight w:val="none"/>
        </w:rPr>
        <w:t>法规给予处理；涉嫌犯罪的，移交司法机关追究刑事责任；给承包人单位造成经济损失的，应予以赔偿。</w:t>
      </w:r>
    </w:p>
    <w:p>
      <w:pPr>
        <w:spacing w:line="400" w:lineRule="exact"/>
        <w:ind w:firstLine="420" w:firstLineChars="200"/>
        <w:rPr>
          <w:szCs w:val="28"/>
          <w:highlight w:val="none"/>
        </w:rPr>
      </w:pPr>
      <w:r>
        <w:rPr>
          <w:rFonts w:hint="eastAsia"/>
          <w:szCs w:val="28"/>
          <w:highlight w:val="none"/>
        </w:rPr>
        <w:t>4</w:t>
      </w:r>
      <w:r>
        <w:rPr>
          <w:szCs w:val="28"/>
          <w:highlight w:val="none"/>
        </w:rPr>
        <w:t>.</w:t>
      </w:r>
      <w:r>
        <w:rPr>
          <w:rFonts w:hint="eastAsia"/>
          <w:szCs w:val="28"/>
          <w:highlight w:val="none"/>
        </w:rPr>
        <w:t xml:space="preserve">2 </w:t>
      </w:r>
      <w:r>
        <w:rPr>
          <w:szCs w:val="28"/>
          <w:highlight w:val="none"/>
        </w:rPr>
        <w:t>承包人工作人员有违反本责任书第一、三条责任行为的，依据有关法律法规处理；涉嫌犯罪的，移交司法机关追究刑事责任；给发包人单位造成经济损失的，应予以赔偿。</w:t>
      </w:r>
    </w:p>
    <w:p>
      <w:pPr>
        <w:spacing w:line="400" w:lineRule="exact"/>
        <w:ind w:firstLine="420" w:firstLineChars="200"/>
        <w:rPr>
          <w:rFonts w:ascii="仿宋_GB2312" w:eastAsia="仿宋_GB2312"/>
          <w:szCs w:val="28"/>
          <w:highlight w:val="none"/>
        </w:rPr>
      </w:pPr>
      <w:r>
        <w:rPr>
          <w:rFonts w:hint="eastAsia"/>
          <w:szCs w:val="28"/>
          <w:highlight w:val="none"/>
        </w:rPr>
        <w:t>4</w:t>
      </w:r>
      <w:r>
        <w:rPr>
          <w:szCs w:val="28"/>
          <w:highlight w:val="none"/>
        </w:rPr>
        <w:t>.</w:t>
      </w:r>
      <w:r>
        <w:rPr>
          <w:rFonts w:hint="eastAsia"/>
          <w:szCs w:val="28"/>
          <w:highlight w:val="none"/>
        </w:rPr>
        <w:t xml:space="preserve">3 </w:t>
      </w:r>
      <w:r>
        <w:rPr>
          <w:szCs w:val="28"/>
          <w:highlight w:val="none"/>
        </w:rPr>
        <w:t>本责任书作为</w:t>
      </w:r>
      <w:r>
        <w:rPr>
          <w:rFonts w:hint="eastAsia"/>
          <w:szCs w:val="28"/>
          <w:highlight w:val="none"/>
        </w:rPr>
        <w:t>建设</w:t>
      </w:r>
      <w:r>
        <w:rPr>
          <w:szCs w:val="28"/>
          <w:highlight w:val="none"/>
        </w:rPr>
        <w:t>工程合同的</w:t>
      </w:r>
      <w:r>
        <w:rPr>
          <w:rFonts w:hint="eastAsia"/>
          <w:szCs w:val="28"/>
          <w:highlight w:val="none"/>
        </w:rPr>
        <w:t>组成部分</w:t>
      </w:r>
      <w:r>
        <w:rPr>
          <w:szCs w:val="28"/>
          <w:highlight w:val="none"/>
        </w:rPr>
        <w:t>，与</w:t>
      </w:r>
      <w:r>
        <w:rPr>
          <w:rFonts w:hint="eastAsia"/>
          <w:szCs w:val="28"/>
          <w:highlight w:val="none"/>
        </w:rPr>
        <w:t>建设</w:t>
      </w:r>
      <w:r>
        <w:rPr>
          <w:szCs w:val="28"/>
          <w:highlight w:val="none"/>
        </w:rPr>
        <w:t>工程合同具有同等法律效力。经双方签署后立即生效。</w:t>
      </w:r>
    </w:p>
    <w:p>
      <w:pPr>
        <w:spacing w:line="400" w:lineRule="exact"/>
        <w:ind w:firstLine="420" w:firstLineChars="200"/>
        <w:outlineLvl w:val="0"/>
        <w:rPr>
          <w:rFonts w:ascii="黑体" w:eastAsia="黑体"/>
          <w:highlight w:val="none"/>
        </w:rPr>
      </w:pPr>
      <w:bookmarkStart w:id="2356" w:name="_Toc395689980"/>
      <w:bookmarkStart w:id="2357" w:name="_Toc111445508"/>
      <w:bookmarkStart w:id="2358" w:name="_Toc395691566"/>
      <w:bookmarkStart w:id="2359" w:name="_Toc23321"/>
      <w:bookmarkStart w:id="2360" w:name="_Toc395689493"/>
      <w:bookmarkStart w:id="2361" w:name="_Toc434331501"/>
      <w:r>
        <w:rPr>
          <w:rFonts w:hint="eastAsia" w:ascii="黑体" w:eastAsia="黑体"/>
          <w:highlight w:val="none"/>
        </w:rPr>
        <w:t>五、责任书有效期</w:t>
      </w:r>
      <w:bookmarkEnd w:id="2356"/>
      <w:bookmarkEnd w:id="2357"/>
      <w:bookmarkEnd w:id="2358"/>
      <w:bookmarkEnd w:id="2359"/>
      <w:bookmarkEnd w:id="2360"/>
      <w:bookmarkEnd w:id="2361"/>
    </w:p>
    <w:p>
      <w:pPr>
        <w:spacing w:line="400" w:lineRule="exact"/>
        <w:ind w:firstLine="420" w:firstLineChars="200"/>
        <w:rPr>
          <w:rFonts w:ascii="仿宋_GB2312" w:eastAsia="仿宋_GB2312"/>
          <w:szCs w:val="28"/>
          <w:highlight w:val="none"/>
        </w:rPr>
      </w:pPr>
      <w:r>
        <w:rPr>
          <w:szCs w:val="28"/>
          <w:highlight w:val="none"/>
        </w:rPr>
        <w:t>本责任书的有效期为双方签署之日起至该工程项目竣工验收合格时止。</w:t>
      </w:r>
    </w:p>
    <w:p>
      <w:pPr>
        <w:spacing w:line="400" w:lineRule="exact"/>
        <w:ind w:firstLine="420" w:firstLineChars="200"/>
        <w:outlineLvl w:val="0"/>
        <w:rPr>
          <w:rFonts w:ascii="黑体" w:eastAsia="黑体"/>
          <w:highlight w:val="none"/>
        </w:rPr>
      </w:pPr>
      <w:bookmarkStart w:id="2362" w:name="_Toc395689494"/>
      <w:bookmarkStart w:id="2363" w:name="_Toc23553"/>
      <w:bookmarkStart w:id="2364" w:name="_Toc395691567"/>
      <w:bookmarkStart w:id="2365" w:name="_Toc395689981"/>
      <w:bookmarkStart w:id="2366" w:name="_Toc111445509"/>
      <w:bookmarkStart w:id="2367" w:name="_Toc434331502"/>
      <w:r>
        <w:rPr>
          <w:rFonts w:hint="eastAsia" w:ascii="黑体" w:eastAsia="黑体"/>
          <w:highlight w:val="none"/>
        </w:rPr>
        <w:t>六、责任书份数</w:t>
      </w:r>
      <w:bookmarkEnd w:id="2362"/>
      <w:bookmarkEnd w:id="2363"/>
      <w:bookmarkEnd w:id="2364"/>
      <w:bookmarkEnd w:id="2365"/>
      <w:bookmarkEnd w:id="2366"/>
      <w:bookmarkEnd w:id="2367"/>
    </w:p>
    <w:p>
      <w:pPr>
        <w:spacing w:line="400" w:lineRule="exact"/>
        <w:ind w:firstLine="420" w:firstLineChars="200"/>
        <w:rPr>
          <w:rFonts w:ascii="仿宋_GB2312" w:eastAsia="仿宋_GB2312"/>
          <w:szCs w:val="28"/>
          <w:highlight w:val="none"/>
        </w:rPr>
      </w:pPr>
      <w:r>
        <w:rPr>
          <w:szCs w:val="28"/>
          <w:highlight w:val="none"/>
        </w:rPr>
        <w:t>本责任书一式</w:t>
      </w:r>
      <w:r>
        <w:rPr>
          <w:rFonts w:hint="eastAsia"/>
          <w:szCs w:val="28"/>
          <w:highlight w:val="none"/>
        </w:rPr>
        <w:t>二</w:t>
      </w:r>
      <w:r>
        <w:rPr>
          <w:szCs w:val="28"/>
          <w:highlight w:val="none"/>
        </w:rPr>
        <w:t>份，</w:t>
      </w:r>
      <w:r>
        <w:rPr>
          <w:rFonts w:hint="eastAsia"/>
          <w:szCs w:val="28"/>
          <w:highlight w:val="none"/>
        </w:rPr>
        <w:t>发包人承包人</w:t>
      </w:r>
      <w:r>
        <w:rPr>
          <w:szCs w:val="28"/>
          <w:highlight w:val="none"/>
        </w:rPr>
        <w:t>各执一份，</w:t>
      </w:r>
      <w:r>
        <w:rPr>
          <w:rFonts w:hint="eastAsia"/>
          <w:szCs w:val="28"/>
          <w:highlight w:val="none"/>
        </w:rPr>
        <w:t>具有同等效力</w:t>
      </w:r>
      <w:r>
        <w:rPr>
          <w:szCs w:val="28"/>
          <w:highlight w:val="none"/>
        </w:rPr>
        <w:t>。</w:t>
      </w:r>
    </w:p>
    <w:p>
      <w:pPr>
        <w:spacing w:line="400" w:lineRule="exact"/>
        <w:rPr>
          <w:rFonts w:ascii="仿宋_GB2312" w:eastAsia="仿宋_GB2312"/>
          <w:szCs w:val="28"/>
          <w:highlight w:val="none"/>
        </w:rPr>
      </w:pPr>
    </w:p>
    <w:p>
      <w:pPr>
        <w:spacing w:line="480" w:lineRule="auto"/>
        <w:ind w:firstLine="420" w:firstLineChars="200"/>
        <w:rPr>
          <w:highlight w:val="none"/>
        </w:rPr>
      </w:pPr>
      <w:r>
        <w:rPr>
          <w:rFonts w:hint="eastAsia"/>
          <w:highlight w:val="none"/>
        </w:rPr>
        <w:t>发包人：</w:t>
      </w:r>
      <w:r>
        <w:rPr>
          <w:rFonts w:hint="eastAsia"/>
          <w:highlight w:val="none"/>
          <w:u w:val="single"/>
        </w:rPr>
        <w:t xml:space="preserve">                  </w:t>
      </w:r>
      <w:r>
        <w:rPr>
          <w:rFonts w:hint="eastAsia"/>
          <w:highlight w:val="none"/>
        </w:rPr>
        <w:t>（公章）</w:t>
      </w:r>
      <w:r>
        <w:rPr>
          <w:rFonts w:hint="eastAsia"/>
          <w:highlight w:val="none"/>
        </w:rPr>
        <w:tab/>
      </w:r>
      <w:r>
        <w:rPr>
          <w:rFonts w:hint="eastAsia"/>
          <w:highlight w:val="none"/>
        </w:rPr>
        <w:t xml:space="preserve"> 承包人：</w:t>
      </w:r>
      <w:r>
        <w:rPr>
          <w:rFonts w:hint="eastAsia"/>
          <w:highlight w:val="none"/>
          <w:u w:val="single"/>
        </w:rPr>
        <w:t xml:space="preserve">                  </w:t>
      </w:r>
      <w:r>
        <w:rPr>
          <w:rFonts w:hint="eastAsia"/>
          <w:highlight w:val="none"/>
        </w:rPr>
        <w:t xml:space="preserve">（公章） </w:t>
      </w:r>
    </w:p>
    <w:p>
      <w:pPr>
        <w:tabs>
          <w:tab w:val="left" w:pos="4275"/>
        </w:tabs>
        <w:spacing w:line="480" w:lineRule="auto"/>
        <w:ind w:firstLine="420" w:firstLineChars="200"/>
        <w:rPr>
          <w:highlight w:val="none"/>
        </w:rPr>
      </w:pPr>
      <w:r>
        <w:rPr>
          <w:rFonts w:hint="eastAsia"/>
          <w:highlight w:val="none"/>
        </w:rPr>
        <w:t>法定地址：</w:t>
      </w:r>
      <w:r>
        <w:rPr>
          <w:rFonts w:hint="eastAsia"/>
          <w:highlight w:val="none"/>
          <w:u w:val="single"/>
        </w:rPr>
        <w:t xml:space="preserve">                </w:t>
      </w:r>
      <w:r>
        <w:rPr>
          <w:rFonts w:hint="eastAsia"/>
          <w:highlight w:val="none"/>
        </w:rPr>
        <w:tab/>
      </w:r>
      <w:r>
        <w:rPr>
          <w:rFonts w:hint="eastAsia"/>
          <w:highlight w:val="none"/>
        </w:rPr>
        <w:t>法定地址：</w:t>
      </w:r>
      <w:r>
        <w:rPr>
          <w:rFonts w:hint="eastAsia"/>
          <w:highlight w:val="none"/>
          <w:u w:val="single"/>
        </w:rPr>
        <w:t xml:space="preserve">                </w:t>
      </w:r>
    </w:p>
    <w:p>
      <w:pPr>
        <w:tabs>
          <w:tab w:val="left" w:pos="4275"/>
        </w:tabs>
        <w:spacing w:line="400" w:lineRule="exact"/>
        <w:ind w:firstLine="420" w:firstLineChars="200"/>
        <w:rPr>
          <w:highlight w:val="none"/>
        </w:rPr>
      </w:pPr>
      <w:r>
        <w:rPr>
          <w:rFonts w:hint="eastAsia"/>
          <w:highlight w:val="none"/>
        </w:rPr>
        <w:t>法定代表人或其                       法定代表人或其</w:t>
      </w:r>
    </w:p>
    <w:p>
      <w:pPr>
        <w:tabs>
          <w:tab w:val="left" w:pos="4275"/>
        </w:tabs>
        <w:spacing w:after="312" w:afterLines="100" w:line="400" w:lineRule="exact"/>
        <w:ind w:firstLine="420" w:firstLineChars="200"/>
        <w:rPr>
          <w:highlight w:val="none"/>
        </w:rPr>
      </w:pPr>
      <w:r>
        <w:rPr>
          <w:rFonts w:hint="eastAsia"/>
          <w:highlight w:val="none"/>
        </w:rPr>
        <w:t>委托代理人：</w:t>
      </w:r>
      <w:r>
        <w:rPr>
          <w:rFonts w:hint="eastAsia"/>
          <w:highlight w:val="none"/>
          <w:u w:val="single"/>
        </w:rPr>
        <w:t xml:space="preserve">              </w:t>
      </w:r>
      <w:r>
        <w:rPr>
          <w:rFonts w:hint="eastAsia"/>
          <w:highlight w:val="none"/>
        </w:rPr>
        <w:t>（签字）</w:t>
      </w:r>
      <w:r>
        <w:rPr>
          <w:rFonts w:hint="eastAsia"/>
          <w:highlight w:val="none"/>
        </w:rPr>
        <w:tab/>
      </w:r>
      <w:r>
        <w:rPr>
          <w:rFonts w:hint="eastAsia"/>
          <w:highlight w:val="none"/>
        </w:rPr>
        <w:t>委托代理人：</w:t>
      </w:r>
      <w:r>
        <w:rPr>
          <w:rFonts w:hint="eastAsia"/>
          <w:highlight w:val="none"/>
          <w:u w:val="single"/>
        </w:rPr>
        <w:t xml:space="preserve">              </w:t>
      </w:r>
      <w:r>
        <w:rPr>
          <w:rFonts w:hint="eastAsia"/>
          <w:highlight w:val="none"/>
        </w:rPr>
        <w:t>（签字）</w:t>
      </w:r>
    </w:p>
    <w:p>
      <w:pPr>
        <w:tabs>
          <w:tab w:val="left" w:pos="4275"/>
        </w:tabs>
        <w:spacing w:line="480" w:lineRule="auto"/>
        <w:ind w:firstLine="420" w:firstLineChars="200"/>
        <w:rPr>
          <w:highlight w:val="none"/>
        </w:rPr>
      </w:pPr>
      <w:r>
        <w:rPr>
          <w:rFonts w:hint="eastAsia"/>
          <w:highlight w:val="none"/>
        </w:rPr>
        <w:t>电话：</w:t>
      </w:r>
      <w:r>
        <w:rPr>
          <w:rFonts w:hint="eastAsia"/>
          <w:highlight w:val="none"/>
          <w:u w:val="single"/>
        </w:rPr>
        <w:t xml:space="preserve">                     </w:t>
      </w:r>
      <w:r>
        <w:rPr>
          <w:rFonts w:hint="eastAsia"/>
          <w:highlight w:val="none"/>
        </w:rPr>
        <w:tab/>
      </w:r>
      <w:r>
        <w:rPr>
          <w:rFonts w:hint="eastAsia"/>
          <w:highlight w:val="none"/>
        </w:rPr>
        <w:t>电话：</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传真：</w:t>
      </w:r>
      <w:r>
        <w:rPr>
          <w:rFonts w:hint="eastAsia"/>
          <w:highlight w:val="none"/>
          <w:u w:val="single"/>
        </w:rPr>
        <w:t xml:space="preserve">                     </w:t>
      </w:r>
      <w:r>
        <w:rPr>
          <w:rFonts w:hint="eastAsia"/>
          <w:highlight w:val="none"/>
        </w:rPr>
        <w:tab/>
      </w:r>
      <w:r>
        <w:rPr>
          <w:rFonts w:hint="eastAsia"/>
          <w:highlight w:val="none"/>
        </w:rPr>
        <w:t>传真：</w:t>
      </w:r>
      <w:r>
        <w:rPr>
          <w:rFonts w:hint="eastAsia"/>
          <w:highlight w:val="none"/>
          <w:u w:val="single"/>
        </w:rPr>
        <w:t xml:space="preserve">                    </w:t>
      </w:r>
    </w:p>
    <w:p>
      <w:pPr>
        <w:tabs>
          <w:tab w:val="left" w:pos="4700"/>
        </w:tabs>
        <w:spacing w:line="480" w:lineRule="auto"/>
        <w:ind w:firstLine="420" w:firstLineChars="200"/>
        <w:rPr>
          <w:highlight w:val="none"/>
        </w:rPr>
      </w:pPr>
      <w:r>
        <w:rPr>
          <w:rFonts w:hint="eastAsia"/>
          <w:highlight w:val="none"/>
        </w:rPr>
        <w:t>电子邮箱：</w:t>
      </w:r>
      <w:r>
        <w:rPr>
          <w:rFonts w:hint="eastAsia"/>
          <w:highlight w:val="none"/>
          <w:u w:val="single"/>
        </w:rPr>
        <w:t xml:space="preserve">                 </w:t>
      </w:r>
      <w:r>
        <w:rPr>
          <w:rFonts w:hint="eastAsia"/>
          <w:highlight w:val="none"/>
        </w:rPr>
        <w:t xml:space="preserve">          电子邮箱：</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开户银行：</w:t>
      </w:r>
      <w:r>
        <w:rPr>
          <w:rFonts w:hint="eastAsia"/>
          <w:highlight w:val="none"/>
          <w:u w:val="single"/>
        </w:rPr>
        <w:t xml:space="preserve">                 </w:t>
      </w:r>
      <w:r>
        <w:rPr>
          <w:rFonts w:hint="eastAsia"/>
          <w:highlight w:val="none"/>
        </w:rPr>
        <w:tab/>
      </w:r>
      <w:r>
        <w:rPr>
          <w:rFonts w:hint="eastAsia"/>
          <w:highlight w:val="none"/>
        </w:rPr>
        <w:t>开户银行：</w:t>
      </w:r>
      <w:r>
        <w:rPr>
          <w:rFonts w:hint="eastAsia"/>
          <w:highlight w:val="none"/>
          <w:u w:val="single"/>
        </w:rPr>
        <w:t xml:space="preserve">                </w:t>
      </w:r>
    </w:p>
    <w:p>
      <w:pPr>
        <w:tabs>
          <w:tab w:val="left" w:pos="4275"/>
        </w:tabs>
        <w:spacing w:line="480" w:lineRule="auto"/>
        <w:ind w:firstLine="420" w:firstLineChars="200"/>
        <w:rPr>
          <w:highlight w:val="none"/>
        </w:rPr>
      </w:pPr>
      <w:r>
        <w:rPr>
          <w:rFonts w:hint="eastAsia"/>
          <w:highlight w:val="none"/>
        </w:rPr>
        <w:t>帐号：</w:t>
      </w:r>
      <w:r>
        <w:rPr>
          <w:rFonts w:hint="eastAsia"/>
          <w:highlight w:val="none"/>
          <w:u w:val="single"/>
        </w:rPr>
        <w:t xml:space="preserve">                     </w:t>
      </w:r>
      <w:r>
        <w:rPr>
          <w:rFonts w:hint="eastAsia"/>
          <w:highlight w:val="none"/>
        </w:rPr>
        <w:tab/>
      </w:r>
      <w:r>
        <w:rPr>
          <w:rFonts w:hint="eastAsia"/>
          <w:highlight w:val="none"/>
        </w:rPr>
        <w:t>帐号：</w:t>
      </w:r>
      <w:r>
        <w:rPr>
          <w:rFonts w:hint="eastAsia"/>
          <w:highlight w:val="none"/>
          <w:u w:val="single"/>
        </w:rPr>
        <w:t xml:space="preserve">                    </w:t>
      </w:r>
    </w:p>
    <w:p>
      <w:pPr>
        <w:pStyle w:val="21"/>
        <w:spacing w:after="0" w:line="480" w:lineRule="auto"/>
        <w:rPr>
          <w:rFonts w:ascii="宋体" w:hAnsi="宋体"/>
          <w:highlight w:val="none"/>
          <w:u w:val="single"/>
        </w:rPr>
      </w:pPr>
      <w:r>
        <w:rPr>
          <w:rFonts w:hint="eastAsia" w:hAnsi="宋体"/>
          <w:highlight w:val="none"/>
        </w:rPr>
        <w:t>邮政编码：</w:t>
      </w:r>
      <w:r>
        <w:rPr>
          <w:rFonts w:hint="eastAsia" w:ascii="宋体" w:hAnsi="宋体"/>
          <w:highlight w:val="none"/>
          <w:u w:val="single"/>
        </w:rPr>
        <w:t xml:space="preserve">                  </w:t>
      </w:r>
      <w:r>
        <w:rPr>
          <w:rFonts w:hint="eastAsia" w:hAnsi="宋体"/>
          <w:highlight w:val="none"/>
        </w:rPr>
        <w:t xml:space="preserve">         邮政编码</w:t>
      </w:r>
      <w:r>
        <w:rPr>
          <w:rFonts w:hint="eastAsia"/>
          <w:highlight w:val="none"/>
        </w:rPr>
        <w:t>：</w:t>
      </w:r>
      <w:r>
        <w:rPr>
          <w:rFonts w:hint="eastAsia" w:ascii="宋体" w:hAnsi="宋体"/>
          <w:highlight w:val="none"/>
          <w:u w:val="single"/>
        </w:rPr>
        <w:t xml:space="preserve">                </w:t>
      </w:r>
    </w:p>
    <w:p>
      <w:pPr>
        <w:pStyle w:val="21"/>
        <w:spacing w:after="0" w:line="480" w:lineRule="auto"/>
        <w:rPr>
          <w:highlight w:val="none"/>
        </w:rPr>
      </w:pPr>
      <w:r>
        <w:rPr>
          <w:rFonts w:hint="eastAsia" w:ascii="宋体" w:hAnsi="宋体"/>
          <w:highlight w:val="none"/>
        </w:rPr>
        <w:t>监督单位：</w:t>
      </w:r>
      <w:r>
        <w:rPr>
          <w:rFonts w:hint="eastAsia" w:ascii="宋体" w:hAnsi="宋体"/>
          <w:highlight w:val="none"/>
          <w:u w:val="single"/>
        </w:rPr>
        <w:t xml:space="preserve">                  </w:t>
      </w:r>
      <w:r>
        <w:rPr>
          <w:rFonts w:hint="eastAsia" w:ascii="宋体" w:hAnsi="宋体"/>
          <w:highlight w:val="none"/>
        </w:rPr>
        <w:t>（盖章）</w:t>
      </w:r>
      <w:r>
        <w:rPr>
          <w:rFonts w:hint="eastAsia"/>
          <w:highlight w:val="none"/>
        </w:rPr>
        <w:t xml:space="preserve"> </w:t>
      </w:r>
      <w:r>
        <w:rPr>
          <w:rFonts w:hint="eastAsia" w:ascii="宋体" w:hAnsi="宋体"/>
          <w:highlight w:val="none"/>
        </w:rPr>
        <w:t>监督单位：</w:t>
      </w:r>
      <w:r>
        <w:rPr>
          <w:rFonts w:hint="eastAsia" w:ascii="宋体" w:hAnsi="宋体"/>
          <w:highlight w:val="none"/>
          <w:u w:val="single"/>
        </w:rPr>
        <w:t xml:space="preserve">                 </w:t>
      </w:r>
      <w:r>
        <w:rPr>
          <w:rFonts w:hint="eastAsia" w:ascii="宋体" w:hAnsi="宋体"/>
          <w:highlight w:val="none"/>
        </w:rPr>
        <w:t>（盖章）</w:t>
      </w:r>
    </w:p>
    <w:p>
      <w:pPr>
        <w:rPr>
          <w:highlight w:val="none"/>
        </w:rPr>
      </w:pPr>
    </w:p>
    <w:p>
      <w:pPr>
        <w:widowControl/>
        <w:jc w:val="left"/>
        <w:rPr>
          <w:sz w:val="28"/>
          <w:szCs w:val="28"/>
          <w:highlight w:val="none"/>
        </w:rPr>
      </w:pPr>
      <w:r>
        <w:rPr>
          <w:sz w:val="28"/>
          <w:szCs w:val="28"/>
          <w:highlight w:val="none"/>
        </w:rPr>
        <w:br w:type="page"/>
      </w:r>
    </w:p>
    <w:p>
      <w:pPr>
        <w:rPr>
          <w:sz w:val="28"/>
          <w:szCs w:val="28"/>
          <w:highlight w:val="none"/>
        </w:rPr>
      </w:pPr>
    </w:p>
    <w:p>
      <w:pPr>
        <w:rPr>
          <w:sz w:val="28"/>
          <w:szCs w:val="28"/>
          <w:highlight w:val="none"/>
        </w:rPr>
      </w:pPr>
    </w:p>
    <w:p>
      <w:pPr>
        <w:widowControl/>
        <w:spacing w:line="360" w:lineRule="auto"/>
        <w:jc w:val="center"/>
        <w:outlineLvl w:val="0"/>
        <w:rPr>
          <w:rFonts w:ascii="黑体" w:hAnsi="黑体" w:eastAsia="黑体" w:cs="Times New Roman"/>
          <w:b/>
          <w:kern w:val="0"/>
          <w:sz w:val="30"/>
          <w:szCs w:val="30"/>
          <w:highlight w:val="none"/>
        </w:rPr>
      </w:pPr>
      <w:bookmarkStart w:id="2368" w:name="_Toc24018"/>
      <w:r>
        <w:rPr>
          <w:rFonts w:hint="eastAsia" w:ascii="黑体" w:hAnsi="黑体" w:eastAsia="黑体" w:cs="Times New Roman"/>
          <w:b/>
          <w:kern w:val="0"/>
          <w:sz w:val="30"/>
          <w:szCs w:val="30"/>
          <w:highlight w:val="none"/>
        </w:rPr>
        <w:t>第五章  工程量清单</w:t>
      </w:r>
      <w:bookmarkEnd w:id="2368"/>
    </w:p>
    <w:p>
      <w:pPr>
        <w:spacing w:after="468" w:afterLines="150" w:line="380" w:lineRule="exact"/>
        <w:ind w:left="3360" w:leftChars="1600" w:firstLine="5040" w:firstLineChars="1800"/>
        <w:rPr>
          <w:rFonts w:ascii="黑体" w:eastAsia="黑体"/>
          <w:sz w:val="28"/>
          <w:szCs w:val="28"/>
          <w:highlight w:val="none"/>
        </w:rPr>
      </w:pPr>
      <w:r>
        <w:rPr>
          <w:rFonts w:hint="eastAsia" w:ascii="黑体" w:eastAsia="黑体"/>
          <w:sz w:val="28"/>
          <w:szCs w:val="28"/>
          <w:highlight w:val="none"/>
        </w:rPr>
        <w:t xml:space="preserve"> （另册）</w:t>
      </w:r>
      <w:r>
        <w:rPr>
          <w:rFonts w:ascii="黑体" w:eastAsia="黑体"/>
          <w:sz w:val="28"/>
          <w:szCs w:val="28"/>
          <w:highlight w:val="none"/>
        </w:rPr>
        <w:br w:type="page"/>
      </w:r>
      <w:r>
        <w:rPr>
          <w:rFonts w:hint="eastAsia" w:ascii="黑体" w:eastAsia="黑体"/>
          <w:sz w:val="28"/>
          <w:szCs w:val="28"/>
          <w:highlight w:val="none"/>
        </w:rPr>
        <w:t>第五章  工程量清单</w:t>
      </w:r>
    </w:p>
    <w:p>
      <w:pPr>
        <w:spacing w:after="312" w:afterLines="100" w:line="380" w:lineRule="exact"/>
        <w:rPr>
          <w:rFonts w:ascii="黑体" w:eastAsia="黑体"/>
          <w:szCs w:val="21"/>
          <w:highlight w:val="none"/>
        </w:rPr>
      </w:pPr>
      <w:r>
        <w:rPr>
          <w:rFonts w:hint="eastAsia" w:ascii="黑体" w:eastAsia="黑体"/>
          <w:szCs w:val="21"/>
          <w:highlight w:val="none"/>
        </w:rPr>
        <w:t>1、工程量清单说明</w:t>
      </w:r>
    </w:p>
    <w:p>
      <w:pPr>
        <w:spacing w:line="430" w:lineRule="exact"/>
        <w:ind w:left="769" w:hanging="768" w:hangingChars="366"/>
        <w:rPr>
          <w:szCs w:val="21"/>
          <w:highlight w:val="none"/>
        </w:rPr>
      </w:pPr>
      <w:r>
        <w:rPr>
          <w:rFonts w:hint="eastAsia" w:ascii="黑体" w:eastAsia="黑体"/>
          <w:szCs w:val="21"/>
          <w:highlight w:val="none"/>
        </w:rPr>
        <w:t xml:space="preserve">1.1   </w:t>
      </w:r>
      <w:r>
        <w:rPr>
          <w:rFonts w:hint="eastAsia"/>
          <w:szCs w:val="21"/>
          <w:highlight w:val="none"/>
        </w:rPr>
        <w:t xml:space="preserve"> 本工程量清单是依据中华人民共和国国家标准《建设工程工程量清单计价规范》(以下简称“计价规范”)以及招标文件中包括的图纸等编制。计价规范中规定的工程量计算规则中没有的子目，应在本章第1.4款约定；计价规范中规定的工程量计算规则中没有且本章第1.4款也未约定的，双方协商确定；协商不成的，可向省级或行业工程造价管理机构申请裁定或按照有合同约束力的图纸所标示尺寸的理论净量计算。计量采用中华人民共和国法定的基本计量单位。</w:t>
      </w:r>
    </w:p>
    <w:p>
      <w:pPr>
        <w:spacing w:line="430" w:lineRule="exact"/>
        <w:ind w:left="756" w:hanging="756" w:hangingChars="360"/>
        <w:rPr>
          <w:szCs w:val="21"/>
          <w:highlight w:val="none"/>
        </w:rPr>
      </w:pPr>
      <w:r>
        <w:rPr>
          <w:rFonts w:hint="eastAsia" w:ascii="黑体" w:eastAsia="黑体"/>
          <w:szCs w:val="21"/>
          <w:highlight w:val="none"/>
        </w:rPr>
        <w:t xml:space="preserve">1.2    </w:t>
      </w:r>
      <w:r>
        <w:rPr>
          <w:rFonts w:hint="eastAsia"/>
          <w:szCs w:val="21"/>
          <w:highlight w:val="none"/>
        </w:rPr>
        <w:t>本工程量清单应与招标文件中的投标人须知、通用合同条款、专用合同条款、技术标准和要求及图纸等章节内容一起阅读和理解。</w:t>
      </w:r>
    </w:p>
    <w:p>
      <w:pPr>
        <w:spacing w:line="430" w:lineRule="exact"/>
        <w:ind w:left="741" w:hanging="741" w:hangingChars="353"/>
        <w:rPr>
          <w:szCs w:val="21"/>
          <w:highlight w:val="none"/>
        </w:rPr>
      </w:pPr>
      <w:r>
        <w:rPr>
          <w:rFonts w:hint="eastAsia" w:ascii="黑体" w:eastAsia="黑体"/>
          <w:szCs w:val="21"/>
          <w:highlight w:val="none"/>
        </w:rPr>
        <w:t xml:space="preserve">1.3    </w:t>
      </w:r>
      <w:r>
        <w:rPr>
          <w:rFonts w:hint="eastAsia"/>
          <w:szCs w:val="21"/>
          <w:highlight w:val="none"/>
        </w:rPr>
        <w:t>本工程量清单仅是投标报价的共同基础，竣工结算的工程量按合同约定确定。合同价格的确定以及价款支付应遵循合同条款(包括通用合同条款和专用合同条款)、技术标准和要求以及本章的有关约定。</w:t>
      </w:r>
    </w:p>
    <w:p>
      <w:pPr>
        <w:spacing w:line="430" w:lineRule="exact"/>
        <w:ind w:left="741" w:hanging="741" w:hangingChars="353"/>
        <w:rPr>
          <w:szCs w:val="21"/>
          <w:highlight w:val="none"/>
        </w:rPr>
      </w:pPr>
      <w:r>
        <w:rPr>
          <w:rFonts w:hint="eastAsia" w:ascii="黑体" w:eastAsia="黑体"/>
          <w:szCs w:val="21"/>
          <w:highlight w:val="none"/>
        </w:rPr>
        <w:t xml:space="preserve">1.4    </w:t>
      </w:r>
      <w:r>
        <w:rPr>
          <w:rFonts w:hint="eastAsia"/>
          <w:szCs w:val="21"/>
          <w:highlight w:val="none"/>
        </w:rPr>
        <w:t>补充子目的子目特征、计量单位、工程量计算规则及工作内容说明如下：</w:t>
      </w:r>
    </w:p>
    <w:p>
      <w:pPr>
        <w:spacing w:line="430" w:lineRule="exact"/>
        <w:ind w:left="741" w:hanging="741" w:hangingChars="353"/>
        <w:rPr>
          <w:szCs w:val="21"/>
          <w:highlight w:val="none"/>
        </w:rPr>
      </w:pPr>
      <w:r>
        <w:rPr>
          <w:rFonts w:hint="eastAsia"/>
          <w:szCs w:val="21"/>
          <w:highlight w:val="none"/>
        </w:rPr>
        <w:t xml:space="preserve">       </w:t>
      </w:r>
      <w:r>
        <w:rPr>
          <w:rFonts w:hint="eastAsia"/>
          <w:szCs w:val="21"/>
          <w:highlight w:val="none"/>
          <w:u w:val="single"/>
        </w:rPr>
        <w:t xml:space="preserve">                                                            </w:t>
      </w:r>
      <w:r>
        <w:rPr>
          <w:rFonts w:hint="eastAsia"/>
          <w:szCs w:val="21"/>
          <w:highlight w:val="none"/>
        </w:rPr>
        <w:t>。</w:t>
      </w:r>
    </w:p>
    <w:p>
      <w:pPr>
        <w:spacing w:line="430" w:lineRule="exact"/>
        <w:ind w:left="783" w:hanging="783" w:hangingChars="373"/>
        <w:rPr>
          <w:szCs w:val="21"/>
          <w:highlight w:val="none"/>
        </w:rPr>
      </w:pPr>
      <w:r>
        <w:rPr>
          <w:rFonts w:hint="eastAsia" w:ascii="黑体" w:eastAsia="黑体"/>
          <w:szCs w:val="21"/>
          <w:highlight w:val="none"/>
        </w:rPr>
        <w:t>1.5</w:t>
      </w:r>
      <w:r>
        <w:rPr>
          <w:rFonts w:hint="eastAsia"/>
          <w:szCs w:val="21"/>
          <w:highlight w:val="none"/>
        </w:rPr>
        <w:t xml:space="preserve">    本条第1.1款中约定的计量和计价规则适用于合同履约过程中工程量计量与价款支付、工程变更、索赔和工程结算。</w:t>
      </w:r>
    </w:p>
    <w:p>
      <w:pPr>
        <w:spacing w:line="430" w:lineRule="exact"/>
        <w:ind w:left="769" w:hanging="768" w:hangingChars="366"/>
        <w:rPr>
          <w:szCs w:val="21"/>
          <w:highlight w:val="none"/>
        </w:rPr>
      </w:pPr>
      <w:r>
        <w:rPr>
          <w:rFonts w:hint="eastAsia" w:ascii="黑体" w:eastAsia="黑体"/>
          <w:szCs w:val="21"/>
          <w:highlight w:val="none"/>
        </w:rPr>
        <w:t>1.6</w:t>
      </w:r>
      <w:r>
        <w:rPr>
          <w:rFonts w:hint="eastAsia"/>
          <w:szCs w:val="21"/>
          <w:highlight w:val="none"/>
        </w:rPr>
        <w:t xml:space="preserve">    本条与下述第2条和第3条的说明内容是构成合同文件的已标价工程量清单的组成部分。</w:t>
      </w:r>
    </w:p>
    <w:p>
      <w:pPr>
        <w:spacing w:before="156" w:beforeLines="50" w:after="312" w:afterLines="100" w:line="380" w:lineRule="exact"/>
        <w:rPr>
          <w:rFonts w:ascii="黑体" w:eastAsia="黑体"/>
          <w:szCs w:val="21"/>
          <w:highlight w:val="none"/>
        </w:rPr>
      </w:pPr>
      <w:r>
        <w:rPr>
          <w:rFonts w:hint="eastAsia" w:ascii="黑体" w:eastAsia="黑体"/>
          <w:szCs w:val="21"/>
          <w:highlight w:val="none"/>
        </w:rPr>
        <w:t>2、投标报价说明</w:t>
      </w:r>
    </w:p>
    <w:p>
      <w:pPr>
        <w:spacing w:line="430" w:lineRule="exact"/>
        <w:rPr>
          <w:szCs w:val="21"/>
          <w:highlight w:val="none"/>
        </w:rPr>
      </w:pPr>
      <w:r>
        <w:rPr>
          <w:rFonts w:hint="eastAsia" w:ascii="黑体" w:eastAsia="黑体"/>
          <w:szCs w:val="21"/>
          <w:highlight w:val="none"/>
        </w:rPr>
        <w:t>2.1</w:t>
      </w:r>
      <w:r>
        <w:rPr>
          <w:rFonts w:hint="eastAsia"/>
          <w:szCs w:val="21"/>
          <w:highlight w:val="none"/>
        </w:rPr>
        <w:t xml:space="preserve">    投标报价应根据招标文件中的有关计价要求，并按照下列依据自主报价。</w:t>
      </w:r>
    </w:p>
    <w:p>
      <w:pPr>
        <w:spacing w:line="430" w:lineRule="exact"/>
        <w:ind w:firstLine="726" w:firstLineChars="346"/>
        <w:rPr>
          <w:szCs w:val="21"/>
          <w:highlight w:val="none"/>
        </w:rPr>
      </w:pPr>
      <w:r>
        <w:rPr>
          <w:rFonts w:hint="eastAsia" w:ascii="黑体" w:eastAsia="黑体"/>
          <w:szCs w:val="21"/>
          <w:highlight w:val="none"/>
        </w:rPr>
        <w:t>(1)</w:t>
      </w:r>
      <w:r>
        <w:rPr>
          <w:rFonts w:hint="eastAsia"/>
          <w:szCs w:val="21"/>
          <w:highlight w:val="none"/>
        </w:rPr>
        <w:t xml:space="preserve">  本招标文件；</w:t>
      </w:r>
    </w:p>
    <w:p>
      <w:pPr>
        <w:spacing w:line="430" w:lineRule="exact"/>
        <w:ind w:firstLine="726" w:firstLineChars="346"/>
        <w:rPr>
          <w:szCs w:val="21"/>
          <w:highlight w:val="none"/>
        </w:rPr>
      </w:pPr>
      <w:r>
        <w:rPr>
          <w:rFonts w:hint="eastAsia" w:ascii="黑体" w:eastAsia="黑体"/>
          <w:szCs w:val="21"/>
          <w:highlight w:val="none"/>
        </w:rPr>
        <w:t>(2)</w:t>
      </w:r>
      <w:r>
        <w:rPr>
          <w:rFonts w:hint="eastAsia"/>
          <w:szCs w:val="21"/>
          <w:highlight w:val="none"/>
        </w:rPr>
        <w:t xml:space="preserve">  《建设工程工程量清单计价规范》；</w:t>
      </w:r>
    </w:p>
    <w:p>
      <w:pPr>
        <w:spacing w:line="430" w:lineRule="exact"/>
        <w:ind w:firstLine="726" w:firstLineChars="346"/>
        <w:rPr>
          <w:szCs w:val="21"/>
          <w:highlight w:val="none"/>
        </w:rPr>
      </w:pPr>
      <w:r>
        <w:rPr>
          <w:rFonts w:hint="eastAsia" w:ascii="黑体" w:eastAsia="黑体"/>
          <w:szCs w:val="21"/>
          <w:highlight w:val="none"/>
        </w:rPr>
        <w:t>(3)</w:t>
      </w:r>
      <w:r>
        <w:rPr>
          <w:rFonts w:hint="eastAsia"/>
          <w:szCs w:val="21"/>
          <w:highlight w:val="none"/>
        </w:rPr>
        <w:t xml:space="preserve">  国家或省级、行业建设主管部门颁发的计价办法；</w:t>
      </w:r>
    </w:p>
    <w:p>
      <w:pPr>
        <w:spacing w:line="430" w:lineRule="exact"/>
        <w:ind w:firstLine="726" w:firstLineChars="346"/>
        <w:rPr>
          <w:szCs w:val="21"/>
          <w:highlight w:val="none"/>
        </w:rPr>
      </w:pPr>
      <w:r>
        <w:rPr>
          <w:rFonts w:hint="eastAsia" w:ascii="黑体" w:eastAsia="黑体"/>
          <w:szCs w:val="21"/>
          <w:highlight w:val="none"/>
        </w:rPr>
        <w:t>(4)</w:t>
      </w:r>
      <w:r>
        <w:rPr>
          <w:rFonts w:hint="eastAsia"/>
          <w:szCs w:val="21"/>
          <w:highlight w:val="none"/>
        </w:rPr>
        <w:t xml:space="preserve">  企业定额，国家或省级、行业建设主管部门颁发的计价定额；</w:t>
      </w:r>
    </w:p>
    <w:p>
      <w:pPr>
        <w:spacing w:line="430" w:lineRule="exact"/>
        <w:ind w:firstLine="726" w:firstLineChars="346"/>
        <w:rPr>
          <w:szCs w:val="21"/>
          <w:highlight w:val="none"/>
        </w:rPr>
      </w:pPr>
      <w:r>
        <w:rPr>
          <w:rFonts w:hint="eastAsia" w:ascii="黑体" w:eastAsia="黑体"/>
          <w:szCs w:val="21"/>
          <w:highlight w:val="none"/>
        </w:rPr>
        <w:t>(5)</w:t>
      </w:r>
      <w:r>
        <w:rPr>
          <w:rFonts w:hint="eastAsia"/>
          <w:szCs w:val="21"/>
          <w:highlight w:val="none"/>
        </w:rPr>
        <w:t xml:space="preserve">  招标文件(包括工程量清单)的澄清、补充和修改文件；</w:t>
      </w:r>
    </w:p>
    <w:p>
      <w:pPr>
        <w:spacing w:line="430" w:lineRule="exact"/>
        <w:ind w:firstLine="726" w:firstLineChars="346"/>
        <w:rPr>
          <w:szCs w:val="21"/>
          <w:highlight w:val="none"/>
        </w:rPr>
      </w:pPr>
      <w:r>
        <w:rPr>
          <w:rFonts w:hint="eastAsia" w:ascii="黑体" w:eastAsia="黑体"/>
          <w:szCs w:val="21"/>
          <w:highlight w:val="none"/>
        </w:rPr>
        <w:t>(6)</w:t>
      </w:r>
      <w:r>
        <w:rPr>
          <w:rFonts w:hint="eastAsia"/>
          <w:szCs w:val="21"/>
          <w:highlight w:val="none"/>
        </w:rPr>
        <w:t xml:space="preserve">  建设工程设计文件及相关资料；</w:t>
      </w:r>
    </w:p>
    <w:p>
      <w:pPr>
        <w:spacing w:line="430" w:lineRule="exact"/>
        <w:ind w:firstLine="726" w:firstLineChars="346"/>
        <w:rPr>
          <w:szCs w:val="21"/>
          <w:highlight w:val="none"/>
        </w:rPr>
      </w:pPr>
      <w:r>
        <w:rPr>
          <w:rFonts w:hint="eastAsia" w:ascii="黑体" w:eastAsia="黑体"/>
          <w:szCs w:val="21"/>
          <w:highlight w:val="none"/>
        </w:rPr>
        <w:t>(7)</w:t>
      </w:r>
      <w:r>
        <w:rPr>
          <w:rFonts w:hint="eastAsia"/>
          <w:szCs w:val="21"/>
          <w:highlight w:val="none"/>
        </w:rPr>
        <w:t xml:space="preserve">  施工现场情况、工程特点及拟定的投标施工组织设计或施工方案；</w:t>
      </w:r>
    </w:p>
    <w:p>
      <w:pPr>
        <w:spacing w:line="420" w:lineRule="exact"/>
        <w:ind w:firstLine="726" w:firstLineChars="346"/>
        <w:rPr>
          <w:highlight w:val="none"/>
        </w:rPr>
      </w:pPr>
      <w:r>
        <w:rPr>
          <w:rFonts w:hint="eastAsia" w:ascii="黑体" w:eastAsia="黑体"/>
          <w:highlight w:val="none"/>
        </w:rPr>
        <w:t>(8)</w:t>
      </w:r>
      <w:r>
        <w:rPr>
          <w:rFonts w:hint="eastAsia"/>
          <w:highlight w:val="none"/>
        </w:rPr>
        <w:t xml:space="preserve">  与建设项目相关的标准、规定等技术资料；</w:t>
      </w:r>
    </w:p>
    <w:p>
      <w:pPr>
        <w:spacing w:line="420" w:lineRule="exact"/>
        <w:ind w:firstLine="726" w:firstLineChars="346"/>
        <w:rPr>
          <w:highlight w:val="none"/>
        </w:rPr>
      </w:pPr>
      <w:r>
        <w:rPr>
          <w:rFonts w:hint="eastAsia" w:ascii="黑体" w:eastAsia="黑体"/>
          <w:highlight w:val="none"/>
        </w:rPr>
        <w:t>(9)</w:t>
      </w:r>
      <w:r>
        <w:rPr>
          <w:rFonts w:hint="eastAsia"/>
          <w:highlight w:val="none"/>
        </w:rPr>
        <w:t xml:space="preserve">  市场价格信息或工程造价管理机构发布的工程造价信息；</w:t>
      </w:r>
    </w:p>
    <w:p>
      <w:pPr>
        <w:spacing w:line="420" w:lineRule="exact"/>
        <w:ind w:firstLine="726" w:firstLineChars="346"/>
        <w:rPr>
          <w:highlight w:val="none"/>
        </w:rPr>
      </w:pPr>
      <w:r>
        <w:rPr>
          <w:rFonts w:hint="eastAsia" w:ascii="黑体" w:eastAsia="黑体"/>
          <w:highlight w:val="none"/>
        </w:rPr>
        <w:t xml:space="preserve">(10) </w:t>
      </w:r>
      <w:r>
        <w:rPr>
          <w:rFonts w:hint="eastAsia"/>
          <w:highlight w:val="none"/>
        </w:rPr>
        <w:t>其他的相关资料。</w:t>
      </w:r>
    </w:p>
    <w:p>
      <w:pPr>
        <w:spacing w:line="420" w:lineRule="exact"/>
        <w:rPr>
          <w:highlight w:val="none"/>
        </w:rPr>
      </w:pPr>
      <w:r>
        <w:rPr>
          <w:rFonts w:hint="eastAsia" w:ascii="黑体" w:eastAsia="黑体"/>
          <w:highlight w:val="none"/>
        </w:rPr>
        <w:t>2.2</w:t>
      </w:r>
      <w:r>
        <w:rPr>
          <w:rFonts w:hint="eastAsia"/>
          <w:highlight w:val="none"/>
        </w:rPr>
        <w:t xml:space="preserve">    工程量清单中的每一子目须填入单价或价格，且只允许有一个报价。</w:t>
      </w:r>
    </w:p>
    <w:p>
      <w:pPr>
        <w:spacing w:line="420" w:lineRule="exact"/>
        <w:ind w:left="769" w:hanging="768" w:hangingChars="366"/>
        <w:rPr>
          <w:highlight w:val="none"/>
        </w:rPr>
      </w:pPr>
      <w:r>
        <w:rPr>
          <w:rFonts w:hint="eastAsia" w:ascii="黑体" w:eastAsia="黑体"/>
          <w:szCs w:val="21"/>
          <w:highlight w:val="none"/>
        </w:rPr>
        <w:t>2.3</w:t>
      </w:r>
      <w:r>
        <w:rPr>
          <w:rFonts w:hint="eastAsia"/>
          <w:highlight w:val="none"/>
        </w:rPr>
        <w:t xml:space="preserve">    工程量清单中标价的单价或金额，应包括所需人工费、材料费、施工机械使用费和管理费及利润，以及一定范围内的风险费用。所谓“一定范围内的风险”是指合同约定的风险。</w:t>
      </w:r>
    </w:p>
    <w:p>
      <w:pPr>
        <w:spacing w:line="420" w:lineRule="exact"/>
        <w:ind w:left="756" w:leftChars="7" w:hanging="741" w:hangingChars="353"/>
        <w:rPr>
          <w:highlight w:val="none"/>
        </w:rPr>
      </w:pPr>
      <w:r>
        <w:rPr>
          <w:rFonts w:hint="eastAsia" w:ascii="黑体" w:eastAsia="黑体"/>
          <w:szCs w:val="21"/>
          <w:highlight w:val="none"/>
        </w:rPr>
        <w:t>2.4</w:t>
      </w:r>
      <w:r>
        <w:rPr>
          <w:rFonts w:hint="eastAsia"/>
          <w:highlight w:val="none"/>
        </w:rPr>
        <w:t xml:space="preserve">    已标价工程量清单中投标人没有填入单价或价格的子目，其费用视为已分摊在工程量清单中其他已标价的相关子目的单价或价格之中。</w:t>
      </w:r>
    </w:p>
    <w:p>
      <w:pPr>
        <w:spacing w:line="420" w:lineRule="exact"/>
        <w:ind w:left="769" w:hanging="768" w:hangingChars="366"/>
        <w:rPr>
          <w:highlight w:val="none"/>
        </w:rPr>
      </w:pPr>
      <w:r>
        <w:rPr>
          <w:rFonts w:hint="eastAsia" w:ascii="黑体" w:eastAsia="黑体"/>
          <w:szCs w:val="21"/>
          <w:highlight w:val="none"/>
        </w:rPr>
        <w:t>2.5</w:t>
      </w:r>
      <w:r>
        <w:rPr>
          <w:rFonts w:hint="eastAsia"/>
          <w:highlight w:val="none"/>
        </w:rPr>
        <w:t xml:space="preserve">    “投标报价汇总表”中的投标总价由分部分项工程费、措施项目费、其他项目费、规费和税金组成，并且“投标报价汇总表”中的投标总价应当与构成已标价工程量清单的分部分项工程费、措施项目费、其他项目费、规费、税金的合计金额一致。</w:t>
      </w:r>
    </w:p>
    <w:p>
      <w:pPr>
        <w:spacing w:line="420" w:lineRule="exact"/>
        <w:rPr>
          <w:highlight w:val="none"/>
        </w:rPr>
      </w:pPr>
      <w:r>
        <w:rPr>
          <w:rFonts w:hint="eastAsia" w:ascii="黑体" w:eastAsia="黑体"/>
          <w:szCs w:val="21"/>
          <w:highlight w:val="none"/>
        </w:rPr>
        <w:t>2.6</w:t>
      </w:r>
      <w:r>
        <w:rPr>
          <w:rFonts w:hint="eastAsia"/>
          <w:highlight w:val="none"/>
        </w:rPr>
        <w:t xml:space="preserve">    分部分项工程项目按下列要求报价：</w:t>
      </w:r>
    </w:p>
    <w:p>
      <w:pPr>
        <w:spacing w:line="420" w:lineRule="exact"/>
        <w:rPr>
          <w:highlight w:val="none"/>
        </w:rPr>
      </w:pPr>
      <w:r>
        <w:rPr>
          <w:rFonts w:hint="eastAsia" w:ascii="黑体" w:eastAsia="黑体"/>
          <w:szCs w:val="21"/>
          <w:highlight w:val="none"/>
        </w:rPr>
        <w:t>2.6.1</w:t>
      </w:r>
      <w:r>
        <w:rPr>
          <w:rFonts w:hint="eastAsia"/>
          <w:highlight w:val="none"/>
        </w:rPr>
        <w:t xml:space="preserve">  分部分项工程量清单计价应依据计价规范中关于综合单价的组成内容确定报价。</w:t>
      </w:r>
    </w:p>
    <w:p>
      <w:pPr>
        <w:spacing w:line="420" w:lineRule="exact"/>
        <w:ind w:left="769" w:hanging="768" w:hangingChars="366"/>
        <w:rPr>
          <w:highlight w:val="none"/>
        </w:rPr>
      </w:pPr>
      <w:r>
        <w:rPr>
          <w:rFonts w:hint="eastAsia" w:ascii="黑体" w:eastAsia="黑体"/>
          <w:szCs w:val="21"/>
          <w:highlight w:val="none"/>
        </w:rPr>
        <w:t>2.6.2</w:t>
      </w:r>
      <w:r>
        <w:rPr>
          <w:rFonts w:hint="eastAsia"/>
          <w:highlight w:val="none"/>
        </w:rPr>
        <w:t xml:space="preserve">  如果分部分项工程量清单中涉及“材料和工程设备暂估单价表”中列出的材料和工程设备，则按照本节第3.3.2项的报价原则，将该类材料和工程设备的暂估单价本身以及除对应的规费及税金以外的费用计入分部分项工程量清单相应子目的综合单价。</w:t>
      </w:r>
    </w:p>
    <w:p>
      <w:pPr>
        <w:spacing w:line="420" w:lineRule="exact"/>
        <w:ind w:left="769" w:hanging="768" w:hangingChars="366"/>
        <w:rPr>
          <w:highlight w:val="none"/>
        </w:rPr>
      </w:pPr>
      <w:r>
        <w:rPr>
          <w:rFonts w:hint="eastAsia" w:ascii="黑体" w:eastAsia="黑体"/>
          <w:szCs w:val="21"/>
          <w:highlight w:val="none"/>
        </w:rPr>
        <w:t>2.6.3</w:t>
      </w:r>
      <w:r>
        <w:rPr>
          <w:rFonts w:hint="eastAsia"/>
          <w:szCs w:val="21"/>
          <w:highlight w:val="none"/>
        </w:rPr>
        <w:t xml:space="preserve">  如果分部分项工程量清单中涉及“发包人提供的材料和工程设备一览表”(见第三章合</w:t>
      </w:r>
      <w:r>
        <w:rPr>
          <w:rFonts w:hint="eastAsia"/>
          <w:highlight w:val="none"/>
        </w:rPr>
        <w:t>同条款及格式第三节附件三)中列出的材料和工程设备，则该类材料和工程设备供应至现场指定位置的采购供应价本身不计入投标报价，但应将该类材料和工程设备的安装、安装所需要的辅助材料、安装损耗以及其他必要的辅助工作及其对应的管理费及利润计入分部分项工程量清单相应子目的综合单价，并其他项目清单报价中计取与合同约定服务内容相对应的总承包服务费。</w:t>
      </w:r>
    </w:p>
    <w:p>
      <w:pPr>
        <w:spacing w:line="420" w:lineRule="exact"/>
        <w:ind w:left="769" w:hanging="768" w:hangingChars="366"/>
        <w:rPr>
          <w:highlight w:val="none"/>
        </w:rPr>
      </w:pPr>
      <w:r>
        <w:rPr>
          <w:rFonts w:hint="eastAsia" w:ascii="黑体" w:eastAsia="黑体"/>
          <w:szCs w:val="21"/>
          <w:highlight w:val="none"/>
        </w:rPr>
        <w:t>2.6.4</w:t>
      </w:r>
      <w:r>
        <w:rPr>
          <w:rFonts w:hint="eastAsia"/>
          <w:highlight w:val="none"/>
        </w:rPr>
        <w:t xml:space="preserve">  “分部分项工程量清单与计价表”所列各子目的综合单价组成中，各子目的人工、材料和机械台班消耗量由投标人按照其自身情况做充分的、竞争性考虑。材料消耗量包括损耗量。</w:t>
      </w:r>
    </w:p>
    <w:p>
      <w:pPr>
        <w:spacing w:line="420" w:lineRule="exact"/>
        <w:ind w:left="769" w:hanging="768" w:hangingChars="366"/>
        <w:rPr>
          <w:highlight w:val="none"/>
        </w:rPr>
      </w:pPr>
      <w:r>
        <w:rPr>
          <w:rFonts w:hint="eastAsia" w:ascii="黑体" w:eastAsia="黑体"/>
          <w:szCs w:val="21"/>
          <w:highlight w:val="none"/>
        </w:rPr>
        <w:t>2.6.5</w:t>
      </w:r>
      <w:r>
        <w:rPr>
          <w:rFonts w:hint="eastAsia"/>
          <w:highlight w:val="none"/>
        </w:rPr>
        <w:t xml:space="preserve">  投标人在投标文件中提交并构成合同文件的“主要材料和工程设备选用表”中所列的材料和工程设备的价格是指此类材料和工程设备到达施工现场指定堆放地点的落地价格，即包括采购、包装、运输、装卸、堆放等到达施工现场指定落地或堆放地点之前的全部费用，但不包括落地之后发生的仓储、保管、库损以及从堆放地点运至安装地点的二次搬运费用。“主要材料和工程设备选用表”中所列材料和工程设备的价格应与构成综合单价相应材料或工程设备的价格一致。落地之后发生的仓储、保管、库损以及从堆放地点运至安装地点的二次搬运等其他费用均应在投标报价中考虑。</w:t>
      </w:r>
    </w:p>
    <w:p>
      <w:pPr>
        <w:spacing w:line="380" w:lineRule="exact"/>
        <w:rPr>
          <w:highlight w:val="none"/>
        </w:rPr>
      </w:pPr>
      <w:r>
        <w:rPr>
          <w:rFonts w:hint="eastAsia" w:ascii="黑体" w:eastAsia="黑体"/>
          <w:szCs w:val="21"/>
          <w:highlight w:val="none"/>
        </w:rPr>
        <w:t>2.7</w:t>
      </w:r>
      <w:r>
        <w:rPr>
          <w:rFonts w:hint="eastAsia"/>
          <w:highlight w:val="none"/>
        </w:rPr>
        <w:t xml:space="preserve">    措施项目按下列要求报价：</w:t>
      </w:r>
    </w:p>
    <w:p>
      <w:pPr>
        <w:spacing w:line="420" w:lineRule="exact"/>
        <w:ind w:left="769" w:hanging="768" w:hangingChars="366"/>
        <w:rPr>
          <w:highlight w:val="none"/>
        </w:rPr>
      </w:pPr>
      <w:r>
        <w:rPr>
          <w:rFonts w:hint="eastAsia" w:ascii="黑体" w:eastAsia="黑体"/>
          <w:szCs w:val="21"/>
          <w:highlight w:val="none"/>
        </w:rPr>
        <w:t>2.7.1</w:t>
      </w:r>
      <w:r>
        <w:rPr>
          <w:rFonts w:hint="eastAsia"/>
          <w:highlight w:val="none"/>
        </w:rPr>
        <w:t xml:space="preserve">  措施项目清单计价应根据投标人的施工组织设计进行报价。可以计量工程量的措施项目，应按分部分项工程量清单的方式采用综合单价计价</w:t>
      </w:r>
      <w:r>
        <w:rPr>
          <w:rFonts w:hint="eastAsia"/>
          <w:szCs w:val="21"/>
          <w:highlight w:val="none"/>
        </w:rPr>
        <w:t>；</w:t>
      </w:r>
      <w:r>
        <w:rPr>
          <w:rFonts w:hint="eastAsia"/>
          <w:highlight w:val="none"/>
        </w:rPr>
        <w:t>其余的措施项目可以“项”为单位的方式计价。投标人所填报价格应包括除规费、税金外的全部费用。</w:t>
      </w:r>
    </w:p>
    <w:p>
      <w:pPr>
        <w:spacing w:line="420" w:lineRule="exact"/>
        <w:ind w:left="769" w:hanging="768" w:hangingChars="366"/>
        <w:rPr>
          <w:highlight w:val="none"/>
        </w:rPr>
      </w:pPr>
      <w:r>
        <w:rPr>
          <w:rFonts w:hint="eastAsia" w:ascii="黑体" w:eastAsia="黑体"/>
          <w:szCs w:val="21"/>
          <w:highlight w:val="none"/>
        </w:rPr>
        <w:t>2.7.2</w:t>
      </w:r>
      <w:r>
        <w:rPr>
          <w:rFonts w:hint="eastAsia"/>
          <w:highlight w:val="none"/>
        </w:rPr>
        <w:t xml:space="preserve">  措施项目清单中的安全文明施工费应按国家、省级或行业建设主管部门的规定计价，不得作为竞争性费用。</w:t>
      </w:r>
    </w:p>
    <w:p>
      <w:pPr>
        <w:spacing w:line="420" w:lineRule="exact"/>
        <w:ind w:left="769" w:leftChars="6" w:hanging="756" w:hangingChars="360"/>
        <w:rPr>
          <w:highlight w:val="none"/>
        </w:rPr>
      </w:pPr>
      <w:r>
        <w:rPr>
          <w:rFonts w:hint="eastAsia" w:ascii="黑体" w:eastAsia="黑体"/>
          <w:szCs w:val="21"/>
          <w:highlight w:val="none"/>
        </w:rPr>
        <w:t>2.7.3</w:t>
      </w:r>
      <w:r>
        <w:rPr>
          <w:rFonts w:hint="eastAsia"/>
          <w:highlight w:val="none"/>
        </w:rPr>
        <w:t xml:space="preserve">  招标人提供的措施项目清单中所列项目仅指一般的通用项目，投标人在报价时应充分、全面地阅读和理解招标文件的相关内容和约定，包括第七章“技术标准和要求”的相关约定，详实了解工程场地及其周围环境，充分考虑招标工程特点及拟定的施工方案和施工组织设计，对招标人给出的措施项目清单的内容进行细化或增减。</w:t>
      </w:r>
    </w:p>
    <w:p>
      <w:pPr>
        <w:spacing w:line="420" w:lineRule="exact"/>
        <w:ind w:left="769" w:hanging="768" w:hangingChars="366"/>
        <w:rPr>
          <w:highlight w:val="none"/>
        </w:rPr>
      </w:pPr>
      <w:r>
        <w:rPr>
          <w:rFonts w:hint="eastAsia" w:ascii="黑体" w:eastAsia="黑体"/>
          <w:szCs w:val="21"/>
          <w:highlight w:val="none"/>
        </w:rPr>
        <w:t>2.7.4</w:t>
      </w:r>
      <w:r>
        <w:rPr>
          <w:rFonts w:hint="eastAsia"/>
          <w:highlight w:val="none"/>
        </w:rPr>
        <w:t xml:space="preserve">  “措施项目清单与计价表”中所填写的报价金额，应全面涵盖招标文件约定的投标人中标后施工、竣工、交付本工程并维修其任何缺陷所需要履行的责任和义务的全部费用。</w:t>
      </w:r>
    </w:p>
    <w:p>
      <w:pPr>
        <w:spacing w:line="420" w:lineRule="exact"/>
        <w:ind w:left="718" w:leftChars="2" w:hanging="714" w:hangingChars="340"/>
        <w:rPr>
          <w:highlight w:val="none"/>
        </w:rPr>
      </w:pPr>
      <w:r>
        <w:rPr>
          <w:rFonts w:hint="eastAsia" w:ascii="黑体" w:eastAsia="黑体"/>
          <w:szCs w:val="21"/>
          <w:highlight w:val="none"/>
        </w:rPr>
        <w:t>2.7.5</w:t>
      </w:r>
      <w:r>
        <w:rPr>
          <w:rFonts w:hint="eastAsia"/>
          <w:highlight w:val="none"/>
        </w:rPr>
        <w:t xml:space="preserve">  对于“措施项目清单与计价表”中所填写的报价金额，应按照“措施项目清单报价分析表”对措施项目报价的组成进行详细的列项和分析。</w:t>
      </w:r>
    </w:p>
    <w:p>
      <w:pPr>
        <w:spacing w:line="380" w:lineRule="exact"/>
        <w:rPr>
          <w:highlight w:val="none"/>
        </w:rPr>
      </w:pPr>
      <w:r>
        <w:rPr>
          <w:rFonts w:hint="eastAsia" w:ascii="黑体" w:eastAsia="黑体"/>
          <w:szCs w:val="21"/>
          <w:highlight w:val="none"/>
        </w:rPr>
        <w:t>2.8</w:t>
      </w:r>
      <w:r>
        <w:rPr>
          <w:rFonts w:hint="eastAsia"/>
          <w:highlight w:val="none"/>
        </w:rPr>
        <w:t xml:space="preserve">    其他项目清单费应按下列规定报价：</w:t>
      </w:r>
    </w:p>
    <w:p>
      <w:pPr>
        <w:spacing w:line="420" w:lineRule="exact"/>
        <w:ind w:left="718" w:leftChars="2" w:hanging="714" w:hangingChars="340"/>
        <w:rPr>
          <w:highlight w:val="none"/>
        </w:rPr>
      </w:pPr>
      <w:r>
        <w:rPr>
          <w:rFonts w:hint="eastAsia" w:ascii="黑体" w:eastAsia="黑体"/>
          <w:szCs w:val="21"/>
          <w:highlight w:val="none"/>
        </w:rPr>
        <w:t>2.8.1</w:t>
      </w:r>
      <w:r>
        <w:rPr>
          <w:rFonts w:hint="eastAsia"/>
          <w:highlight w:val="none"/>
        </w:rPr>
        <w:t xml:space="preserve">  暂列金额按“暂列金额明细表”中列出的金额报价，此处的暂列金额是招标人在招标文件中统一给定的，并不包括本章第2.8.3项的计日工金额。</w:t>
      </w:r>
    </w:p>
    <w:p>
      <w:pPr>
        <w:spacing w:line="420" w:lineRule="exact"/>
        <w:ind w:left="718" w:leftChars="2" w:hanging="714" w:hangingChars="340"/>
        <w:rPr>
          <w:highlight w:val="none"/>
        </w:rPr>
      </w:pPr>
      <w:r>
        <w:rPr>
          <w:rFonts w:hint="eastAsia" w:ascii="黑体" w:eastAsia="黑体"/>
          <w:szCs w:val="21"/>
          <w:highlight w:val="none"/>
        </w:rPr>
        <w:t>2.8.2</w:t>
      </w:r>
      <w:r>
        <w:rPr>
          <w:rFonts w:hint="eastAsia"/>
          <w:highlight w:val="none"/>
        </w:rPr>
        <w:t xml:space="preserve">  暂估价分为材料和工程设备暂估单价和专业工程暂估价两类。其中的材料和工程设备暂估单价按本节第3.3.2项的报价原则进入分部分项工程量清单之综合单价，不在其他项目清单中汇总</w:t>
      </w:r>
      <w:r>
        <w:rPr>
          <w:rFonts w:hint="eastAsia"/>
          <w:szCs w:val="21"/>
          <w:highlight w:val="none"/>
        </w:rPr>
        <w:t>；</w:t>
      </w:r>
      <w:r>
        <w:rPr>
          <w:rFonts w:hint="eastAsia"/>
          <w:highlight w:val="none"/>
        </w:rPr>
        <w:t>专业工程暂估价直接按“专业工程暂估价表”中列出的金额和本节第3.3.3项的报价原则计入其他项目清单报价。</w:t>
      </w:r>
    </w:p>
    <w:p>
      <w:pPr>
        <w:spacing w:line="420" w:lineRule="exact"/>
        <w:ind w:left="741" w:leftChars="2" w:hanging="737" w:hangingChars="351"/>
        <w:rPr>
          <w:highlight w:val="none"/>
        </w:rPr>
      </w:pPr>
      <w:r>
        <w:rPr>
          <w:rFonts w:hint="eastAsia" w:ascii="黑体" w:eastAsia="黑体"/>
          <w:szCs w:val="21"/>
          <w:highlight w:val="none"/>
        </w:rPr>
        <w:t>2.8.3</w:t>
      </w:r>
      <w:r>
        <w:rPr>
          <w:rFonts w:hint="eastAsia"/>
          <w:highlight w:val="none"/>
        </w:rPr>
        <w:t xml:space="preserve">  计日工按“计日工表”中列出的子目和估算数量，自主确定综合单价并计算计日工金额。计日工综合单价均不包括规费和税金，其中：</w:t>
      </w:r>
    </w:p>
    <w:p>
      <w:pPr>
        <w:spacing w:line="420" w:lineRule="exact"/>
        <w:ind w:left="1173" w:leftChars="341" w:hanging="457" w:hangingChars="218"/>
        <w:rPr>
          <w:highlight w:val="none"/>
        </w:rPr>
      </w:pPr>
      <w:r>
        <w:rPr>
          <w:rFonts w:hint="eastAsia"/>
          <w:highlight w:val="none"/>
        </w:rPr>
        <w:t>(1)  劳务单价应当包括工人工资、交通费用、各种补贴、劳动安全保护、社保费用、手提手动和电动工器具、施工场地内已经搭设的脚手架、水电和低值易耗品费用、现场管理费用、企业管理费和利润；</w:t>
      </w:r>
    </w:p>
    <w:p>
      <w:pPr>
        <w:spacing w:line="420" w:lineRule="exact"/>
        <w:ind w:left="1173" w:leftChars="341" w:hanging="457" w:hangingChars="218"/>
        <w:rPr>
          <w:highlight w:val="none"/>
        </w:rPr>
      </w:pPr>
      <w:r>
        <w:rPr>
          <w:rFonts w:hint="eastAsia"/>
          <w:highlight w:val="none"/>
        </w:rPr>
        <w:t>(2)  材料价格包括材料运到现场的价格以及现场搬运、仓储、二次搬运、损耗、保险、企业管理费和利润</w:t>
      </w:r>
      <w:r>
        <w:rPr>
          <w:rFonts w:hint="eastAsia"/>
          <w:szCs w:val="21"/>
          <w:highlight w:val="none"/>
        </w:rPr>
        <w:t>；</w:t>
      </w:r>
    </w:p>
    <w:p>
      <w:pPr>
        <w:spacing w:line="420" w:lineRule="exact"/>
        <w:ind w:left="1173" w:leftChars="341" w:hanging="457" w:hangingChars="218"/>
        <w:rPr>
          <w:highlight w:val="none"/>
        </w:rPr>
      </w:pPr>
      <w:r>
        <w:rPr>
          <w:rFonts w:hint="eastAsia"/>
          <w:highlight w:val="none"/>
        </w:rPr>
        <w:t>(3)  施工机械限于在施工场地(现场)的机械设备，其价格包括租赁或折旧、维修、维护和燃油等消耗品以及操作人员费用，包括承包人企业管理费和利润，但不包括规费和税金。辅助人员按劳务价格另计。</w:t>
      </w:r>
    </w:p>
    <w:p>
      <w:pPr>
        <w:spacing w:line="420" w:lineRule="exact"/>
        <w:ind w:left="676" w:leftChars="2" w:hanging="672" w:hangingChars="320"/>
        <w:rPr>
          <w:highlight w:val="none"/>
        </w:rPr>
      </w:pPr>
      <w:r>
        <w:rPr>
          <w:rFonts w:hint="eastAsia" w:ascii="黑体" w:eastAsia="黑体"/>
          <w:szCs w:val="21"/>
          <w:highlight w:val="none"/>
        </w:rPr>
        <w:t>2.8.4</w:t>
      </w:r>
      <w:r>
        <w:rPr>
          <w:rFonts w:hint="eastAsia"/>
          <w:highlight w:val="none"/>
        </w:rPr>
        <w:t xml:space="preserve"> 总承包服务费根据招标文件中列出的内容和要求，按“总承包服务费计价表”所列格式自主报价。</w:t>
      </w:r>
    </w:p>
    <w:p>
      <w:pPr>
        <w:spacing w:line="420" w:lineRule="exact"/>
        <w:ind w:left="642" w:leftChars="2" w:hanging="638" w:hangingChars="304"/>
        <w:rPr>
          <w:highlight w:val="none"/>
        </w:rPr>
      </w:pPr>
      <w:r>
        <w:rPr>
          <w:rFonts w:hint="eastAsia" w:ascii="黑体" w:eastAsia="黑体"/>
          <w:szCs w:val="21"/>
          <w:highlight w:val="none"/>
        </w:rPr>
        <w:t>2.9</w:t>
      </w:r>
      <w:r>
        <w:rPr>
          <w:rFonts w:hint="eastAsia"/>
          <w:highlight w:val="none"/>
        </w:rPr>
        <w:t xml:space="preserve">   规费和税金应按“规费、税金项目清单与计价表”所列项目并根据国家、省级或行业建设主管部门的有关规定列项和计算，不得作为竞争性费用。</w:t>
      </w:r>
    </w:p>
    <w:p>
      <w:pPr>
        <w:spacing w:line="420" w:lineRule="exact"/>
        <w:ind w:left="642" w:leftChars="2" w:hanging="638" w:hangingChars="304"/>
        <w:rPr>
          <w:highlight w:val="none"/>
        </w:rPr>
      </w:pPr>
      <w:r>
        <w:rPr>
          <w:rFonts w:hint="eastAsia" w:ascii="黑体" w:eastAsia="黑体"/>
          <w:szCs w:val="21"/>
          <w:highlight w:val="none"/>
        </w:rPr>
        <w:t>2.10</w:t>
      </w:r>
      <w:r>
        <w:rPr>
          <w:rFonts w:hint="eastAsia"/>
          <w:szCs w:val="21"/>
          <w:highlight w:val="none"/>
        </w:rPr>
        <w:t xml:space="preserve">  除招标文件有强制性规定以及不可竞争部分以外，投标报价由投标人自主确定，但不</w:t>
      </w:r>
      <w:r>
        <w:rPr>
          <w:rFonts w:hint="eastAsia"/>
          <w:highlight w:val="none"/>
        </w:rPr>
        <w:t>得低于其成本。</w:t>
      </w:r>
    </w:p>
    <w:p>
      <w:pPr>
        <w:spacing w:line="420" w:lineRule="exact"/>
        <w:ind w:left="627" w:leftChars="1" w:hanging="625" w:hangingChars="298"/>
        <w:rPr>
          <w:highlight w:val="none"/>
        </w:rPr>
      </w:pPr>
      <w:r>
        <w:rPr>
          <w:rFonts w:hint="eastAsia" w:ascii="黑体" w:eastAsia="黑体"/>
          <w:highlight w:val="none"/>
        </w:rPr>
        <w:t>2.11</w:t>
      </w:r>
      <w:r>
        <w:rPr>
          <w:rFonts w:hint="eastAsia"/>
          <w:highlight w:val="none"/>
        </w:rPr>
        <w:t xml:space="preserve">  工程量清单计价所涉及的生产资源(包括各类人工、材料、工程设备、施工设备、临时设施、临时用水、临时用电等)的投标价格，应根据自身的信息渠道和采购渠道，分析其市场价格水平并判断其整个施工周期内的变化趋势，体现投标人自身的管理水平、技术水平和综合实力。</w:t>
      </w:r>
    </w:p>
    <w:p>
      <w:pPr>
        <w:spacing w:line="420" w:lineRule="exact"/>
        <w:ind w:left="657" w:leftChars="2" w:hanging="653" w:hangingChars="311"/>
        <w:rPr>
          <w:highlight w:val="none"/>
        </w:rPr>
      </w:pPr>
      <w:r>
        <w:rPr>
          <w:rFonts w:hint="eastAsia" w:ascii="黑体" w:eastAsia="黑体"/>
          <w:highlight w:val="none"/>
        </w:rPr>
        <w:t>2.12</w:t>
      </w:r>
      <w:r>
        <w:rPr>
          <w:rFonts w:hint="eastAsia"/>
          <w:highlight w:val="none"/>
        </w:rPr>
        <w:t xml:space="preserve">  管理费应由投标人在保证不低于其成本的基础上做竞争性考虑；利润由投标人根据自身情况和综合实力做竞争性考虑。</w:t>
      </w:r>
    </w:p>
    <w:p>
      <w:pPr>
        <w:spacing w:line="380" w:lineRule="exact"/>
        <w:rPr>
          <w:highlight w:val="none"/>
        </w:rPr>
      </w:pPr>
      <w:r>
        <w:rPr>
          <w:rFonts w:hint="eastAsia" w:ascii="黑体" w:eastAsia="黑体"/>
          <w:highlight w:val="none"/>
        </w:rPr>
        <w:t>2.13</w:t>
      </w:r>
      <w:r>
        <w:rPr>
          <w:rFonts w:hint="eastAsia"/>
          <w:highlight w:val="none"/>
        </w:rPr>
        <w:t xml:space="preserve">  投标报价中应考虑招标文件中要求投标人承担的风险范围以及相关的费用。</w:t>
      </w:r>
    </w:p>
    <w:p>
      <w:pPr>
        <w:spacing w:line="420" w:lineRule="exact"/>
        <w:ind w:left="684" w:leftChars="2" w:hanging="680" w:hangingChars="324"/>
        <w:rPr>
          <w:highlight w:val="none"/>
        </w:rPr>
      </w:pPr>
      <w:r>
        <w:rPr>
          <w:rFonts w:hint="eastAsia" w:ascii="黑体" w:eastAsia="黑体"/>
          <w:highlight w:val="none"/>
        </w:rPr>
        <w:t>2.14</w:t>
      </w:r>
      <w:r>
        <w:rPr>
          <w:rFonts w:hint="eastAsia"/>
          <w:highlight w:val="none"/>
        </w:rPr>
        <w:t xml:space="preserve">  投标总价为投标人在投标文件中提出的各项支付金额的总和，为实施、完成招标工程并修补缺陷以及履行招标文件中约定的风险范围内的所有责任和义务所发生的全部费用。</w:t>
      </w:r>
    </w:p>
    <w:p>
      <w:pPr>
        <w:spacing w:line="380" w:lineRule="exact"/>
        <w:rPr>
          <w:highlight w:val="none"/>
        </w:rPr>
      </w:pPr>
      <w:r>
        <w:rPr>
          <w:rFonts w:hint="eastAsia" w:ascii="黑体" w:eastAsia="黑体"/>
          <w:highlight w:val="none"/>
        </w:rPr>
        <w:t>2.15</w:t>
      </w:r>
      <w:r>
        <w:rPr>
          <w:rFonts w:hint="eastAsia"/>
          <w:highlight w:val="none"/>
        </w:rPr>
        <w:t xml:space="preserve">  有关投标报价的其他说明：</w:t>
      </w:r>
    </w:p>
    <w:p>
      <w:pPr>
        <w:spacing w:before="156" w:beforeLines="50" w:after="156" w:afterLines="50" w:line="380" w:lineRule="exact"/>
        <w:rPr>
          <w:rFonts w:ascii="黑体" w:eastAsia="黑体"/>
          <w:sz w:val="24"/>
          <w:highlight w:val="none"/>
        </w:rPr>
      </w:pPr>
      <w:r>
        <w:rPr>
          <w:rFonts w:hint="eastAsia" w:ascii="黑体" w:eastAsia="黑体"/>
          <w:sz w:val="24"/>
          <w:highlight w:val="none"/>
        </w:rPr>
        <w:t>3、其他说明</w:t>
      </w:r>
    </w:p>
    <w:p>
      <w:pPr>
        <w:spacing w:after="156" w:afterLines="50" w:line="380" w:lineRule="exact"/>
        <w:rPr>
          <w:rFonts w:ascii="黑体" w:eastAsia="黑体"/>
          <w:highlight w:val="none"/>
        </w:rPr>
      </w:pPr>
      <w:r>
        <w:rPr>
          <w:rFonts w:hint="eastAsia" w:ascii="黑体" w:eastAsia="黑体"/>
          <w:highlight w:val="none"/>
        </w:rPr>
        <w:t>3.1词语和定义</w:t>
      </w:r>
    </w:p>
    <w:p>
      <w:pPr>
        <w:spacing w:before="31" w:beforeLines="10" w:after="62" w:afterLines="20" w:line="380" w:lineRule="exact"/>
        <w:rPr>
          <w:b/>
          <w:highlight w:val="none"/>
        </w:rPr>
      </w:pPr>
      <w:r>
        <w:rPr>
          <w:rFonts w:hint="eastAsia" w:ascii="黑体" w:eastAsia="黑体"/>
          <w:highlight w:val="none"/>
        </w:rPr>
        <w:t>3.1.1</w:t>
      </w:r>
      <w:r>
        <w:rPr>
          <w:rFonts w:hint="eastAsia"/>
          <w:highlight w:val="none"/>
        </w:rPr>
        <w:t xml:space="preserve">  </w:t>
      </w:r>
      <w:r>
        <w:rPr>
          <w:rFonts w:hint="eastAsia"/>
          <w:b/>
          <w:highlight w:val="none"/>
        </w:rPr>
        <w:t>工程量清单</w:t>
      </w:r>
    </w:p>
    <w:p>
      <w:pPr>
        <w:spacing w:line="380" w:lineRule="exact"/>
        <w:ind w:left="735" w:leftChars="350"/>
        <w:rPr>
          <w:highlight w:val="none"/>
        </w:rPr>
      </w:pPr>
      <w:r>
        <w:rPr>
          <w:rFonts w:hint="eastAsia"/>
          <w:highlight w:val="none"/>
        </w:rPr>
        <w:t>是表现本工程分部分项工程项目、措施项目、其他项目、规费项目和税金的名称和相应数量等的明细清单。</w:t>
      </w:r>
    </w:p>
    <w:p>
      <w:pPr>
        <w:spacing w:before="31" w:beforeLines="10" w:after="62" w:afterLines="20" w:line="380" w:lineRule="exact"/>
        <w:rPr>
          <w:b/>
          <w:highlight w:val="none"/>
        </w:rPr>
      </w:pPr>
      <w:r>
        <w:rPr>
          <w:rFonts w:hint="eastAsia" w:ascii="黑体" w:eastAsia="黑体"/>
          <w:highlight w:val="none"/>
        </w:rPr>
        <w:t xml:space="preserve">3.1.2 </w:t>
      </w:r>
      <w:r>
        <w:rPr>
          <w:rFonts w:hint="eastAsia"/>
          <w:highlight w:val="none"/>
        </w:rPr>
        <w:t xml:space="preserve"> </w:t>
      </w:r>
      <w:r>
        <w:rPr>
          <w:rFonts w:hint="eastAsia"/>
          <w:b/>
          <w:highlight w:val="none"/>
        </w:rPr>
        <w:t>总价子目</w:t>
      </w:r>
    </w:p>
    <w:p>
      <w:pPr>
        <w:spacing w:line="380" w:lineRule="exact"/>
        <w:ind w:left="735" w:leftChars="350"/>
        <w:rPr>
          <w:highlight w:val="none"/>
        </w:rPr>
      </w:pPr>
      <w:r>
        <w:rPr>
          <w:rFonts w:hint="eastAsia"/>
          <w:highlight w:val="none"/>
        </w:rPr>
        <w:t>工程量清单中以总价计价，以“项”为计量单位，工程量为整数1的子目，除专用合同条款另有约定外，总价固定包干。采用总价合同形式时，合同订立后，已标价工程量清单中的工程量均没有合同约束力，所有子目均是总价子目，视同按项计量(合同条款第15条约定的变更除外)。</w:t>
      </w:r>
    </w:p>
    <w:p>
      <w:pPr>
        <w:spacing w:before="31" w:beforeLines="10" w:after="62" w:afterLines="20" w:line="380" w:lineRule="exact"/>
        <w:rPr>
          <w:b/>
          <w:highlight w:val="none"/>
        </w:rPr>
      </w:pPr>
      <w:r>
        <w:rPr>
          <w:rFonts w:hint="eastAsia" w:ascii="黑体" w:eastAsia="黑体"/>
          <w:highlight w:val="none"/>
        </w:rPr>
        <w:t>3.1.3</w:t>
      </w:r>
      <w:r>
        <w:rPr>
          <w:rFonts w:hint="eastAsia"/>
          <w:highlight w:val="none"/>
        </w:rPr>
        <w:t xml:space="preserve">  </w:t>
      </w:r>
      <w:r>
        <w:rPr>
          <w:rFonts w:hint="eastAsia"/>
          <w:b/>
          <w:highlight w:val="none"/>
        </w:rPr>
        <w:t>单价子目</w:t>
      </w:r>
    </w:p>
    <w:p>
      <w:pPr>
        <w:spacing w:line="380" w:lineRule="exact"/>
        <w:ind w:left="735" w:leftChars="350"/>
        <w:rPr>
          <w:highlight w:val="none"/>
        </w:rPr>
      </w:pPr>
      <w:r>
        <w:rPr>
          <w:rFonts w:hint="eastAsia"/>
          <w:highlight w:val="none"/>
        </w:rPr>
        <w:t>工程量清单中以单价计价，根据有合同约束力的图纸和工程量计算规则进行计量，以实际完成数量乘以相应单价进行结算的子目。</w:t>
      </w:r>
    </w:p>
    <w:p>
      <w:pPr>
        <w:spacing w:before="31" w:beforeLines="10" w:after="62" w:afterLines="20" w:line="380" w:lineRule="exact"/>
        <w:rPr>
          <w:b/>
          <w:highlight w:val="none"/>
        </w:rPr>
      </w:pPr>
      <w:r>
        <w:rPr>
          <w:rFonts w:hint="eastAsia" w:ascii="黑体" w:eastAsia="黑体"/>
          <w:highlight w:val="none"/>
        </w:rPr>
        <w:t>3.1.4</w:t>
      </w:r>
      <w:r>
        <w:rPr>
          <w:rFonts w:hint="eastAsia"/>
          <w:highlight w:val="none"/>
        </w:rPr>
        <w:t xml:space="preserve">  </w:t>
      </w:r>
      <w:r>
        <w:rPr>
          <w:rFonts w:hint="eastAsia"/>
          <w:b/>
          <w:highlight w:val="none"/>
        </w:rPr>
        <w:t>子目编码</w:t>
      </w:r>
    </w:p>
    <w:p>
      <w:pPr>
        <w:spacing w:line="380" w:lineRule="exact"/>
        <w:ind w:left="724" w:leftChars="345"/>
        <w:rPr>
          <w:highlight w:val="none"/>
        </w:rPr>
      </w:pPr>
      <w:r>
        <w:rPr>
          <w:rFonts w:hint="eastAsia"/>
          <w:highlight w:val="none"/>
        </w:rPr>
        <w:t>分部分项工程项目清单中所列的子目名称的数字标识和代码，子目编码与项目编码同义。</w:t>
      </w:r>
    </w:p>
    <w:p>
      <w:pPr>
        <w:spacing w:before="62" w:beforeLines="20" w:after="62" w:afterLines="20" w:line="380" w:lineRule="exact"/>
        <w:rPr>
          <w:b/>
          <w:highlight w:val="none"/>
        </w:rPr>
      </w:pPr>
      <w:r>
        <w:rPr>
          <w:rFonts w:hint="eastAsia" w:ascii="黑体" w:eastAsia="黑体"/>
          <w:highlight w:val="none"/>
        </w:rPr>
        <w:t>3.1.5</w:t>
      </w:r>
      <w:r>
        <w:rPr>
          <w:rFonts w:hint="eastAsia"/>
          <w:highlight w:val="none"/>
        </w:rPr>
        <w:t xml:space="preserve">  </w:t>
      </w:r>
      <w:r>
        <w:rPr>
          <w:rFonts w:hint="eastAsia"/>
          <w:b/>
          <w:highlight w:val="none"/>
        </w:rPr>
        <w:t>子目特征</w:t>
      </w:r>
    </w:p>
    <w:p>
      <w:pPr>
        <w:spacing w:line="380" w:lineRule="exact"/>
        <w:ind w:left="718" w:leftChars="342" w:firstLine="35" w:firstLineChars="17"/>
        <w:rPr>
          <w:highlight w:val="none"/>
        </w:rPr>
      </w:pPr>
      <w:r>
        <w:rPr>
          <w:rFonts w:hint="eastAsia"/>
          <w:highlight w:val="none"/>
        </w:rPr>
        <w:t>构成分部分项工程项目清单子目、措施项目的实质内容、决定其自身价值的本质特征，子目特征与项目特征同义。</w:t>
      </w:r>
    </w:p>
    <w:p>
      <w:pPr>
        <w:spacing w:before="62" w:beforeLines="20" w:after="62" w:afterLines="20" w:line="380" w:lineRule="exact"/>
        <w:rPr>
          <w:b/>
          <w:highlight w:val="none"/>
        </w:rPr>
      </w:pPr>
      <w:r>
        <w:rPr>
          <w:rFonts w:hint="eastAsia" w:ascii="黑体" w:eastAsia="黑体"/>
          <w:highlight w:val="none"/>
        </w:rPr>
        <w:t xml:space="preserve">3.1.6 </w:t>
      </w:r>
      <w:r>
        <w:rPr>
          <w:rFonts w:hint="eastAsia"/>
          <w:highlight w:val="none"/>
        </w:rPr>
        <w:t xml:space="preserve"> </w:t>
      </w:r>
      <w:r>
        <w:rPr>
          <w:rFonts w:hint="eastAsia"/>
          <w:b/>
          <w:highlight w:val="none"/>
        </w:rPr>
        <w:t>规费</w:t>
      </w:r>
    </w:p>
    <w:p>
      <w:pPr>
        <w:spacing w:line="380" w:lineRule="exact"/>
        <w:ind w:left="735" w:leftChars="350"/>
        <w:rPr>
          <w:highlight w:val="none"/>
        </w:rPr>
      </w:pPr>
      <w:r>
        <w:rPr>
          <w:rFonts w:hint="eastAsia"/>
          <w:highlight w:val="none"/>
        </w:rPr>
        <w:t>承包人根据省级政府或省级有关权力部门规定必须缴纳的，应计入建筑安装工程造价的费用。</w:t>
      </w:r>
    </w:p>
    <w:p>
      <w:pPr>
        <w:spacing w:before="62" w:beforeLines="20" w:after="62" w:afterLines="20" w:line="380" w:lineRule="exact"/>
        <w:rPr>
          <w:highlight w:val="none"/>
        </w:rPr>
      </w:pPr>
      <w:r>
        <w:rPr>
          <w:rFonts w:hint="eastAsia" w:ascii="黑体" w:eastAsia="黑体"/>
          <w:highlight w:val="none"/>
        </w:rPr>
        <w:t>3.1.7</w:t>
      </w:r>
      <w:r>
        <w:rPr>
          <w:rFonts w:hint="eastAsia"/>
          <w:highlight w:val="none"/>
        </w:rPr>
        <w:t xml:space="preserve">  </w:t>
      </w:r>
      <w:r>
        <w:rPr>
          <w:rFonts w:hint="eastAsia"/>
          <w:b/>
          <w:highlight w:val="none"/>
        </w:rPr>
        <w:t>税金</w:t>
      </w:r>
    </w:p>
    <w:p>
      <w:pPr>
        <w:spacing w:line="380" w:lineRule="exact"/>
        <w:ind w:left="735" w:leftChars="350"/>
        <w:rPr>
          <w:highlight w:val="none"/>
        </w:rPr>
      </w:pPr>
      <w:r>
        <w:rPr>
          <w:rFonts w:hint="eastAsia"/>
          <w:highlight w:val="none"/>
        </w:rPr>
        <w:t>国家税法规定的应计入建筑安装工程造价内的营业税、城市维护建设税及教育费附加等。</w:t>
      </w:r>
    </w:p>
    <w:p>
      <w:pPr>
        <w:spacing w:before="62" w:beforeLines="20" w:after="62" w:afterLines="20" w:line="380" w:lineRule="exact"/>
        <w:rPr>
          <w:b/>
          <w:highlight w:val="none"/>
        </w:rPr>
      </w:pPr>
      <w:r>
        <w:rPr>
          <w:rFonts w:hint="eastAsia" w:ascii="黑体" w:eastAsia="黑体"/>
          <w:highlight w:val="none"/>
        </w:rPr>
        <w:t>3.1.8</w:t>
      </w:r>
      <w:r>
        <w:rPr>
          <w:rFonts w:hint="eastAsia"/>
          <w:highlight w:val="none"/>
        </w:rPr>
        <w:t xml:space="preserve">  </w:t>
      </w:r>
      <w:r>
        <w:rPr>
          <w:rFonts w:hint="eastAsia"/>
          <w:b/>
          <w:highlight w:val="none"/>
        </w:rPr>
        <w:t>总承包服务费</w:t>
      </w:r>
    </w:p>
    <w:p>
      <w:pPr>
        <w:spacing w:line="390" w:lineRule="exact"/>
        <w:ind w:left="781" w:leftChars="366" w:hanging="12" w:hangingChars="6"/>
        <w:rPr>
          <w:highlight w:val="none"/>
        </w:rPr>
      </w:pPr>
      <w:r>
        <w:rPr>
          <w:rFonts w:hint="eastAsia"/>
          <w:highlight w:val="none"/>
        </w:rPr>
        <w:t>总承包人为配合协调发包人发包的专业工程以及发包人采购的材料和工程设备等进行管理、服务以及施工现场管理、竣工资料汇总整理等所需的费用。</w:t>
      </w:r>
    </w:p>
    <w:p>
      <w:pPr>
        <w:spacing w:before="62" w:beforeLines="20" w:after="62" w:afterLines="20" w:line="380" w:lineRule="exact"/>
        <w:rPr>
          <w:b/>
          <w:highlight w:val="none"/>
        </w:rPr>
      </w:pPr>
      <w:r>
        <w:rPr>
          <w:rFonts w:hint="eastAsia" w:ascii="黑体" w:eastAsia="黑体"/>
          <w:highlight w:val="none"/>
        </w:rPr>
        <w:t>3.1.9</w:t>
      </w:r>
      <w:r>
        <w:rPr>
          <w:rFonts w:hint="eastAsia"/>
          <w:highlight w:val="none"/>
        </w:rPr>
        <w:t xml:space="preserve">  </w:t>
      </w:r>
      <w:r>
        <w:rPr>
          <w:rFonts w:hint="eastAsia"/>
          <w:b/>
          <w:highlight w:val="none"/>
        </w:rPr>
        <w:t>同义词语</w:t>
      </w:r>
    </w:p>
    <w:p>
      <w:pPr>
        <w:spacing w:line="390" w:lineRule="exact"/>
        <w:ind w:left="735" w:leftChars="350" w:firstLine="105" w:firstLineChars="50"/>
        <w:rPr>
          <w:highlight w:val="none"/>
        </w:rPr>
      </w:pPr>
      <w:r>
        <w:rPr>
          <w:rFonts w:hint="eastAsia"/>
          <w:highlight w:val="none"/>
        </w:rPr>
        <w:t>本章中使用的词语“招标人”和“投标人”分别与合同条款中定义的“发包人”和“承包人”同义</w:t>
      </w:r>
      <w:r>
        <w:rPr>
          <w:rFonts w:hint="eastAsia"/>
          <w:szCs w:val="21"/>
          <w:highlight w:val="none"/>
        </w:rPr>
        <w:t>；</w:t>
      </w:r>
      <w:r>
        <w:rPr>
          <w:rFonts w:hint="eastAsia"/>
          <w:highlight w:val="none"/>
        </w:rPr>
        <w:t>就工程量清单而言，“子目”与“项目”同义。</w:t>
      </w:r>
    </w:p>
    <w:p>
      <w:pPr>
        <w:spacing w:before="62" w:beforeLines="20" w:after="62" w:afterLines="20" w:line="380" w:lineRule="exact"/>
        <w:rPr>
          <w:rFonts w:ascii="黑体" w:eastAsia="黑体"/>
          <w:highlight w:val="none"/>
        </w:rPr>
      </w:pPr>
      <w:r>
        <w:rPr>
          <w:rFonts w:hint="eastAsia" w:ascii="黑体" w:eastAsia="黑体"/>
          <w:highlight w:val="none"/>
        </w:rPr>
        <w:t>3.2工程量差异调整</w:t>
      </w:r>
    </w:p>
    <w:p>
      <w:pPr>
        <w:spacing w:line="380" w:lineRule="exact"/>
        <w:ind w:left="840" w:hanging="840" w:hangingChars="400"/>
        <w:rPr>
          <w:highlight w:val="none"/>
        </w:rPr>
      </w:pPr>
      <w:r>
        <w:rPr>
          <w:rFonts w:hint="eastAsia" w:ascii="黑体" w:eastAsia="黑体"/>
          <w:highlight w:val="none"/>
        </w:rPr>
        <w:t>3.2.1</w:t>
      </w:r>
      <w:r>
        <w:rPr>
          <w:rFonts w:hint="eastAsia"/>
          <w:highlight w:val="none"/>
        </w:rPr>
        <w:t xml:space="preserve">   工程量清单中的工作内容分类、子目列项、特征描述以及“分部分项工程量清单与计价表”中附带的工程量都不应理解为是对承包(招标)范围以及合同工作内容的唯一的、最终的或全部的定义。</w:t>
      </w:r>
    </w:p>
    <w:p>
      <w:pPr>
        <w:spacing w:line="380" w:lineRule="exact"/>
        <w:ind w:left="840" w:hanging="840" w:hangingChars="400"/>
        <w:rPr>
          <w:highlight w:val="none"/>
        </w:rPr>
      </w:pPr>
      <w:r>
        <w:rPr>
          <w:rFonts w:hint="eastAsia" w:ascii="黑体" w:eastAsia="黑体"/>
          <w:highlight w:val="none"/>
        </w:rPr>
        <w:t>3.2.2</w:t>
      </w:r>
      <w:r>
        <w:rPr>
          <w:rFonts w:hint="eastAsia"/>
          <w:highlight w:val="none"/>
        </w:rPr>
        <w:t xml:space="preserve">   投标人应对招标人提供的工程量清单进行认真细致的复核。这种复核包括对招标人提供的工程量清单中的子目编码、子目名称、子目特征描述、计量单位、工程量的准确性以及可能存在的任何书写、打印错误进行检查和复核，特别是对“分部分项工程量清单与计价表”中每个工作子目的工程量进行重新计算和校核。如果投标人经过检查和复核以后认为招标人提供的工程量清单存在差异，则投标人应将此类差异的详细情况连同按投标人须知规定提交的要求招标人澄清的其他问题一起提交给招标人，招标人将根据实际情况决定是否颁发工程量清单的补充和(或)修改文件。</w:t>
      </w:r>
    </w:p>
    <w:p>
      <w:pPr>
        <w:spacing w:line="380" w:lineRule="exact"/>
        <w:ind w:left="840" w:hanging="840" w:hangingChars="400"/>
        <w:rPr>
          <w:highlight w:val="none"/>
        </w:rPr>
      </w:pPr>
      <w:r>
        <w:rPr>
          <w:rFonts w:hint="eastAsia" w:ascii="黑体" w:eastAsia="黑体"/>
          <w:highlight w:val="none"/>
        </w:rPr>
        <w:t>3.2.3</w:t>
      </w:r>
      <w:r>
        <w:rPr>
          <w:rFonts w:hint="eastAsia"/>
          <w:highlight w:val="none"/>
        </w:rPr>
        <w:t xml:space="preserve">   如果招标人在检查投标人根据上文第3.2.2项提交的工程量差异问题后认为没有必要对工程量清单进行补充和(或)修改，或者招标人根据上文第3.2.2项对工程量清单进行了补充和(或)修改，但投标人认为工程量清单中的工程量依然存在差异，则此类差异不再提交招标人答疑和修正，而是直接按招标人提供的工程量清单(包括招标人可能的补充和(或)修改)进行投标报价。投标人在按照工程量清单进行报价时，除按照本节2.7.3项要求对招标人提供的措施项目清单的内容进行细化或增减外，不得改变(包括对工程量清单子目的子目名称、子目特征描述、计量单位以及工程量的任何修改、增加或减少)招标人提供的分部分项工程量清单和其他项目清单。即使按照图纸和招标范围的约定并不存在的子目，只要在招标人提供的分部分项工程量清单中已经列明，投标人都需要对其报价，并纳入投标总价的计算。</w:t>
      </w:r>
    </w:p>
    <w:p>
      <w:pPr>
        <w:spacing w:line="380" w:lineRule="exact"/>
        <w:rPr>
          <w:rFonts w:ascii="黑体" w:eastAsia="黑体"/>
          <w:highlight w:val="none"/>
        </w:rPr>
      </w:pPr>
      <w:r>
        <w:rPr>
          <w:rFonts w:hint="eastAsia" w:ascii="黑体" w:eastAsia="黑体"/>
          <w:highlight w:val="none"/>
        </w:rPr>
        <w:t>3.3暂列金额和暂估价</w:t>
      </w:r>
    </w:p>
    <w:p>
      <w:pPr>
        <w:spacing w:line="380" w:lineRule="exact"/>
        <w:ind w:left="867" w:hanging="867" w:hangingChars="413"/>
        <w:rPr>
          <w:highlight w:val="none"/>
        </w:rPr>
      </w:pPr>
      <w:r>
        <w:rPr>
          <w:rFonts w:hint="eastAsia" w:ascii="黑体" w:eastAsia="黑体"/>
          <w:highlight w:val="none"/>
        </w:rPr>
        <w:t>3.3.1</w:t>
      </w:r>
      <w:r>
        <w:rPr>
          <w:rFonts w:hint="eastAsia"/>
          <w:highlight w:val="none"/>
        </w:rPr>
        <w:t xml:space="preserve">  “暂列金额明细表”中所列暂列金额(不包括计日工金额)中已经包含与其对应的管理费、利润和规费，但不含税金。投标人应按本招标文件规定将此类暂列金额直接纳入其他项目清单的投标价格并计取相应的税金，不需要考虑除税金以外的其他任何费用。</w:t>
      </w:r>
    </w:p>
    <w:p>
      <w:pPr>
        <w:spacing w:line="380" w:lineRule="exact"/>
        <w:ind w:left="840" w:hanging="840" w:hangingChars="400"/>
        <w:rPr>
          <w:highlight w:val="none"/>
        </w:rPr>
      </w:pPr>
      <w:r>
        <w:rPr>
          <w:rFonts w:hint="eastAsia" w:ascii="黑体" w:eastAsia="黑体"/>
          <w:highlight w:val="none"/>
        </w:rPr>
        <w:t>3.3.2</w:t>
      </w:r>
      <w:r>
        <w:rPr>
          <w:rFonts w:hint="eastAsia"/>
          <w:highlight w:val="none"/>
        </w:rPr>
        <w:t xml:space="preserve">  “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辅助工作(以下简称“暂估价材料和工程设备的安装及辅助工作”)所发生的费用及其对应的管理费、利润、规费和税金。除应按本招标文件规定将此类暂估价本身纳入分部分项工程量清单相应子目的综合单价以外，投标人还应将上述材料和工程设备的安装及辅助工作所发生的费用以及与此类费用有关的管理费和利润包含在分部分项工程量清单相应子目的综合单价中，并计取相应的规费和税金。</w:t>
      </w:r>
    </w:p>
    <w:p>
      <w:pPr>
        <w:spacing w:line="380" w:lineRule="exact"/>
        <w:ind w:left="735" w:hanging="735" w:hangingChars="350"/>
        <w:rPr>
          <w:highlight w:val="none"/>
        </w:rPr>
      </w:pPr>
      <w:r>
        <w:rPr>
          <w:rFonts w:hint="eastAsia" w:ascii="黑体" w:eastAsia="黑体"/>
          <w:highlight w:val="none"/>
        </w:rPr>
        <w:t>3.3.3</w:t>
      </w:r>
      <w:r>
        <w:rPr>
          <w:rFonts w:hint="eastAsia"/>
          <w:highlight w:val="none"/>
        </w:rPr>
        <w:t xml:space="preserve">  专业工程暂估价表中所列的专业工程暂估价已经包含与其对应的管理费、利润和规费，但不含税金。投标人应按本招标文件规定将此类暂估价直接纳入其他项目清单的投标价格并计取相应的税金。除按本招标文件规定将此类暂估价纳入其他项目清单的投标价格并计取相应的税金以外，投标人还需要根据招标文件规定的内容考虑相应的总承包服务费以及与总承包服务费有关的规费和税金。</w:t>
      </w:r>
    </w:p>
    <w:p>
      <w:pPr>
        <w:spacing w:line="380" w:lineRule="exact"/>
        <w:ind w:left="735" w:hanging="735" w:hangingChars="350"/>
        <w:rPr>
          <w:rFonts w:ascii="黑体" w:eastAsia="黑体"/>
          <w:highlight w:val="none"/>
        </w:rPr>
      </w:pPr>
      <w:r>
        <w:rPr>
          <w:rFonts w:hint="eastAsia" w:ascii="黑体" w:eastAsia="黑体"/>
          <w:highlight w:val="none"/>
        </w:rPr>
        <w:t>3.4其他补充说明</w:t>
      </w:r>
    </w:p>
    <w:p>
      <w:pPr>
        <w:spacing w:after="312" w:afterLines="100" w:line="380" w:lineRule="exact"/>
        <w:rPr>
          <w:rFonts w:ascii="黑体" w:eastAsia="黑体"/>
          <w:sz w:val="28"/>
          <w:szCs w:val="28"/>
          <w:highlight w:val="none"/>
        </w:rPr>
      </w:pPr>
      <w:r>
        <w:rPr>
          <w:rFonts w:ascii="黑体" w:eastAsia="黑体"/>
          <w:sz w:val="28"/>
          <w:szCs w:val="28"/>
          <w:highlight w:val="none"/>
          <w:u w:val="single"/>
        </w:rPr>
        <w:br w:type="page"/>
      </w:r>
      <w:r>
        <w:rPr>
          <w:rFonts w:hint="eastAsia" w:ascii="黑体" w:eastAsia="黑体"/>
          <w:sz w:val="28"/>
          <w:szCs w:val="28"/>
          <w:highlight w:val="none"/>
        </w:rPr>
        <w:t>4、工程量清单与计价表</w:t>
      </w:r>
    </w:p>
    <w:p>
      <w:pPr>
        <w:rPr>
          <w:rFonts w:ascii="黑体" w:eastAsia="黑体"/>
          <w:sz w:val="24"/>
          <w:highlight w:val="none"/>
        </w:rPr>
      </w:pPr>
      <w:r>
        <w:rPr>
          <w:rFonts w:hint="eastAsia" w:ascii="黑体" w:eastAsia="黑体"/>
          <w:sz w:val="24"/>
          <w:highlight w:val="none"/>
        </w:rPr>
        <w:t>另册</w:t>
      </w:r>
      <w:r>
        <w:rPr>
          <w:rFonts w:ascii="黑体" w:eastAsia="黑体"/>
          <w:sz w:val="24"/>
          <w:highlight w:val="none"/>
        </w:rPr>
        <w:br w:type="page"/>
      </w:r>
    </w:p>
    <w:p>
      <w:pPr>
        <w:rPr>
          <w:rFonts w:ascii="黑体" w:eastAsia="黑体"/>
          <w:sz w:val="24"/>
          <w:highlight w:val="none"/>
        </w:rPr>
      </w:pPr>
    </w:p>
    <w:p>
      <w:pPr>
        <w:rPr>
          <w:rFonts w:ascii="黑体" w:eastAsia="黑体"/>
          <w:sz w:val="24"/>
          <w:highlight w:val="none"/>
        </w:rPr>
      </w:pPr>
    </w:p>
    <w:p>
      <w:pPr>
        <w:rPr>
          <w:rFonts w:ascii="黑体" w:eastAsia="黑体"/>
          <w:sz w:val="24"/>
          <w:highlight w:val="none"/>
        </w:rPr>
      </w:pPr>
    </w:p>
    <w:p>
      <w:pPr>
        <w:rPr>
          <w:rFonts w:ascii="黑体" w:eastAsia="黑体"/>
          <w:sz w:val="24"/>
          <w:highlight w:val="none"/>
        </w:rPr>
      </w:pPr>
    </w:p>
    <w:p>
      <w:pPr>
        <w:rPr>
          <w:rFonts w:ascii="黑体" w:eastAsia="黑体"/>
          <w:sz w:val="24"/>
          <w:highlight w:val="none"/>
        </w:rPr>
      </w:pPr>
      <w:r>
        <w:rPr>
          <w:rFonts w:ascii="黑体" w:eastAsia="黑体"/>
          <w:sz w:val="24"/>
          <w:highlight w:val="none"/>
        </w:rPr>
        <w:t xml:space="preserve"> </w:t>
      </w:r>
    </w:p>
    <w:p>
      <w:pPr>
        <w:jc w:val="center"/>
        <w:rPr>
          <w:rFonts w:ascii="黑体" w:hAnsi="Times New Roman" w:eastAsia="黑体" w:cs="Times New Roman"/>
          <w:b/>
          <w:sz w:val="48"/>
          <w:szCs w:val="48"/>
          <w:highlight w:val="none"/>
        </w:rPr>
      </w:pPr>
    </w:p>
    <w:p>
      <w:pPr>
        <w:jc w:val="center"/>
        <w:rPr>
          <w:rFonts w:ascii="黑体" w:hAnsi="Times New Roman" w:eastAsia="黑体" w:cs="Times New Roman"/>
          <w:b/>
          <w:sz w:val="48"/>
          <w:szCs w:val="48"/>
          <w:highlight w:val="none"/>
        </w:rPr>
      </w:pPr>
    </w:p>
    <w:p>
      <w:pPr>
        <w:jc w:val="center"/>
        <w:rPr>
          <w:rFonts w:ascii="黑体" w:hAnsi="Times New Roman" w:eastAsia="黑体" w:cs="Times New Roman"/>
          <w:b/>
          <w:sz w:val="48"/>
          <w:szCs w:val="48"/>
          <w:highlight w:val="none"/>
        </w:rPr>
      </w:pPr>
      <w:r>
        <w:rPr>
          <w:rFonts w:hint="eastAsia" w:ascii="黑体" w:hAnsi="Times New Roman" w:eastAsia="黑体" w:cs="Times New Roman"/>
          <w:b/>
          <w:sz w:val="48"/>
          <w:szCs w:val="48"/>
          <w:highlight w:val="none"/>
        </w:rPr>
        <w:t>第二卷</w:t>
      </w:r>
    </w:p>
    <w:p>
      <w:pPr>
        <w:jc w:val="center"/>
        <w:rPr>
          <w:rFonts w:ascii="黑体" w:eastAsia="黑体"/>
          <w:sz w:val="48"/>
          <w:szCs w:val="48"/>
          <w:highlight w:val="none"/>
        </w:rPr>
      </w:pPr>
    </w:p>
    <w:p>
      <w:pPr>
        <w:widowControl/>
        <w:spacing w:line="360" w:lineRule="auto"/>
        <w:jc w:val="center"/>
        <w:outlineLvl w:val="0"/>
        <w:rPr>
          <w:rFonts w:ascii="黑体" w:hAnsi="黑体" w:eastAsia="黑体" w:cs="Times New Roman"/>
          <w:b/>
          <w:kern w:val="0"/>
          <w:sz w:val="30"/>
          <w:szCs w:val="30"/>
          <w:highlight w:val="none"/>
        </w:rPr>
      </w:pPr>
      <w:bookmarkStart w:id="2369" w:name="_Toc2611"/>
      <w:r>
        <w:rPr>
          <w:rFonts w:hint="eastAsia" w:ascii="黑体" w:hAnsi="黑体" w:eastAsia="黑体" w:cs="Times New Roman"/>
          <w:b/>
          <w:kern w:val="0"/>
          <w:sz w:val="30"/>
          <w:szCs w:val="30"/>
          <w:highlight w:val="none"/>
        </w:rPr>
        <w:t>第六章  图  纸</w:t>
      </w:r>
      <w:bookmarkEnd w:id="2369"/>
    </w:p>
    <w:p>
      <w:pPr>
        <w:jc w:val="center"/>
        <w:rPr>
          <w:rFonts w:ascii="黑体" w:eastAsia="黑体"/>
          <w:sz w:val="32"/>
          <w:szCs w:val="32"/>
          <w:highlight w:val="none"/>
        </w:rPr>
      </w:pPr>
      <w:r>
        <w:rPr>
          <w:rFonts w:hint="eastAsia" w:ascii="黑体" w:eastAsia="黑体"/>
          <w:sz w:val="32"/>
          <w:szCs w:val="32"/>
          <w:highlight w:val="none"/>
        </w:rPr>
        <w:t>另册</w:t>
      </w:r>
    </w:p>
    <w:p>
      <w:pPr>
        <w:spacing w:after="312" w:afterLines="100"/>
        <w:rPr>
          <w:rFonts w:ascii="黑体" w:eastAsia="黑体"/>
          <w:sz w:val="24"/>
          <w:highlight w:val="none"/>
        </w:rPr>
      </w:pPr>
      <w:r>
        <w:rPr>
          <w:rFonts w:ascii="黑体" w:eastAsia="黑体"/>
          <w:sz w:val="44"/>
          <w:szCs w:val="44"/>
          <w:highlight w:val="none"/>
        </w:rPr>
        <w:br w:type="page"/>
      </w:r>
      <w:r>
        <w:rPr>
          <w:rFonts w:hint="eastAsia" w:ascii="黑体" w:eastAsia="黑体"/>
          <w:sz w:val="24"/>
          <w:highlight w:val="none"/>
        </w:rPr>
        <w:t>1．图纸目录</w:t>
      </w:r>
    </w:p>
    <w:tbl>
      <w:tblPr>
        <w:tblStyle w:val="5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jc w:val="center"/>
              <w:rPr>
                <w:szCs w:val="21"/>
                <w:highlight w:val="none"/>
              </w:rPr>
            </w:pPr>
            <w:r>
              <w:rPr>
                <w:rFonts w:hint="eastAsia"/>
                <w:szCs w:val="21"/>
                <w:highlight w:val="none"/>
              </w:rPr>
              <w:t>序号</w:t>
            </w:r>
          </w:p>
        </w:tc>
        <w:tc>
          <w:tcPr>
            <w:tcW w:w="1453" w:type="dxa"/>
            <w:shd w:val="clear" w:color="auto" w:fill="auto"/>
            <w:vAlign w:val="center"/>
          </w:tcPr>
          <w:p>
            <w:pPr>
              <w:jc w:val="center"/>
              <w:rPr>
                <w:szCs w:val="21"/>
                <w:highlight w:val="none"/>
              </w:rPr>
            </w:pPr>
            <w:r>
              <w:rPr>
                <w:rFonts w:hint="eastAsia"/>
                <w:szCs w:val="21"/>
                <w:highlight w:val="none"/>
              </w:rPr>
              <w:t>图名</w:t>
            </w:r>
          </w:p>
        </w:tc>
        <w:tc>
          <w:tcPr>
            <w:tcW w:w="1453" w:type="dxa"/>
            <w:shd w:val="clear" w:color="auto" w:fill="auto"/>
            <w:vAlign w:val="center"/>
          </w:tcPr>
          <w:p>
            <w:pPr>
              <w:jc w:val="center"/>
              <w:rPr>
                <w:szCs w:val="21"/>
                <w:highlight w:val="none"/>
              </w:rPr>
            </w:pPr>
            <w:r>
              <w:rPr>
                <w:rFonts w:hint="eastAsia"/>
                <w:szCs w:val="21"/>
                <w:highlight w:val="none"/>
              </w:rPr>
              <w:t>图号</w:t>
            </w:r>
          </w:p>
        </w:tc>
        <w:tc>
          <w:tcPr>
            <w:tcW w:w="1453" w:type="dxa"/>
            <w:shd w:val="clear" w:color="auto" w:fill="auto"/>
            <w:vAlign w:val="center"/>
          </w:tcPr>
          <w:p>
            <w:pPr>
              <w:jc w:val="center"/>
              <w:rPr>
                <w:szCs w:val="21"/>
                <w:highlight w:val="none"/>
              </w:rPr>
            </w:pPr>
            <w:r>
              <w:rPr>
                <w:rFonts w:hint="eastAsia"/>
                <w:szCs w:val="21"/>
                <w:highlight w:val="none"/>
              </w:rPr>
              <w:t>版本</w:t>
            </w:r>
          </w:p>
        </w:tc>
        <w:tc>
          <w:tcPr>
            <w:tcW w:w="1454" w:type="dxa"/>
            <w:shd w:val="clear" w:color="auto" w:fill="auto"/>
            <w:vAlign w:val="center"/>
          </w:tcPr>
          <w:p>
            <w:pPr>
              <w:jc w:val="center"/>
              <w:rPr>
                <w:szCs w:val="21"/>
                <w:highlight w:val="none"/>
              </w:rPr>
            </w:pPr>
            <w:r>
              <w:rPr>
                <w:rFonts w:hint="eastAsia"/>
                <w:szCs w:val="21"/>
                <w:highlight w:val="none"/>
              </w:rPr>
              <w:t>出图日期</w:t>
            </w:r>
          </w:p>
        </w:tc>
        <w:tc>
          <w:tcPr>
            <w:tcW w:w="1454" w:type="dxa"/>
            <w:shd w:val="clear" w:color="auto" w:fill="auto"/>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3" w:type="dxa"/>
            <w:shd w:val="clear" w:color="auto" w:fill="auto"/>
            <w:vAlign w:val="center"/>
          </w:tcPr>
          <w:p>
            <w:pPr>
              <w:rPr>
                <w:highlight w:val="none"/>
              </w:rPr>
            </w:pPr>
          </w:p>
        </w:tc>
        <w:tc>
          <w:tcPr>
            <w:tcW w:w="1454" w:type="dxa"/>
            <w:shd w:val="clear" w:color="auto" w:fill="auto"/>
            <w:vAlign w:val="center"/>
          </w:tcPr>
          <w:p>
            <w:pPr>
              <w:rPr>
                <w:highlight w:val="none"/>
              </w:rPr>
            </w:pPr>
          </w:p>
        </w:tc>
        <w:tc>
          <w:tcPr>
            <w:tcW w:w="1454" w:type="dxa"/>
            <w:shd w:val="clear" w:color="auto" w:fill="auto"/>
            <w:vAlign w:val="center"/>
          </w:tcPr>
          <w:p>
            <w:pPr>
              <w:rPr>
                <w:highlight w:val="none"/>
              </w:rPr>
            </w:pPr>
          </w:p>
        </w:tc>
      </w:tr>
    </w:tbl>
    <w:p>
      <w:pPr>
        <w:rPr>
          <w:rFonts w:ascii="黑体" w:eastAsia="黑体"/>
          <w:sz w:val="24"/>
          <w:highlight w:val="none"/>
        </w:rPr>
      </w:pPr>
      <w:r>
        <w:rPr>
          <w:rFonts w:ascii="黑体" w:eastAsia="黑体"/>
          <w:sz w:val="44"/>
          <w:szCs w:val="44"/>
          <w:highlight w:val="none"/>
        </w:rPr>
        <w:br w:type="page"/>
      </w:r>
      <w:r>
        <w:rPr>
          <w:rFonts w:hint="eastAsia" w:ascii="黑体" w:eastAsia="黑体"/>
          <w:sz w:val="24"/>
          <w:highlight w:val="none"/>
        </w:rPr>
        <w:t>2．图  纸</w:t>
      </w:r>
    </w:p>
    <w:p>
      <w:pPr>
        <w:widowControl/>
        <w:jc w:val="left"/>
        <w:rPr>
          <w:highlight w:val="none"/>
        </w:rPr>
      </w:pPr>
      <w:r>
        <w:rPr>
          <w:highlight w:val="none"/>
        </w:rPr>
        <w:br w:type="page"/>
      </w:r>
    </w:p>
    <w:p>
      <w:pPr>
        <w:jc w:val="center"/>
        <w:rPr>
          <w:rFonts w:ascii="黑体" w:hAnsi="Times New Roman" w:eastAsia="黑体" w:cs="Times New Roman"/>
          <w:b/>
          <w:sz w:val="48"/>
          <w:szCs w:val="48"/>
          <w:highlight w:val="none"/>
        </w:rPr>
      </w:pPr>
      <w:r>
        <w:rPr>
          <w:rFonts w:hint="eastAsia" w:ascii="黑体" w:hAnsi="Times New Roman" w:eastAsia="黑体" w:cs="Times New Roman"/>
          <w:b/>
          <w:sz w:val="48"/>
          <w:szCs w:val="48"/>
          <w:highlight w:val="none"/>
        </w:rPr>
        <w:t>第三卷</w:t>
      </w:r>
    </w:p>
    <w:p>
      <w:pPr>
        <w:widowControl/>
        <w:spacing w:line="360" w:lineRule="auto"/>
        <w:jc w:val="center"/>
        <w:outlineLvl w:val="0"/>
        <w:rPr>
          <w:rFonts w:ascii="黑体" w:eastAsia="黑体"/>
          <w:sz w:val="32"/>
          <w:szCs w:val="32"/>
          <w:highlight w:val="none"/>
        </w:rPr>
      </w:pPr>
      <w:r>
        <w:rPr>
          <w:rFonts w:ascii="黑体" w:eastAsia="黑体"/>
          <w:sz w:val="32"/>
          <w:szCs w:val="32"/>
          <w:highlight w:val="none"/>
        </w:rPr>
        <w:br w:type="page"/>
      </w:r>
      <w:bookmarkStart w:id="2370" w:name="_Toc28994"/>
      <w:r>
        <w:rPr>
          <w:rFonts w:hint="eastAsia" w:ascii="黑体" w:hAnsi="黑体" w:eastAsia="黑体" w:cs="Times New Roman"/>
          <w:b/>
          <w:kern w:val="0"/>
          <w:sz w:val="30"/>
          <w:szCs w:val="30"/>
          <w:highlight w:val="none"/>
        </w:rPr>
        <w:t>第七章  技术标准和要求</w:t>
      </w:r>
      <w:bookmarkEnd w:id="2370"/>
    </w:p>
    <w:p>
      <w:pPr>
        <w:pStyle w:val="3"/>
        <w:ind w:firstLine="3092" w:firstLineChars="1100"/>
        <w:rPr>
          <w:rFonts w:hAnsi="宋体" w:cs="Arial"/>
          <w:bCs w:val="0"/>
          <w:sz w:val="24"/>
          <w:highlight w:val="none"/>
        </w:rPr>
      </w:pPr>
      <w:r>
        <w:rPr>
          <w:rFonts w:hint="eastAsia" w:ascii="黑体"/>
          <w:sz w:val="28"/>
          <w:szCs w:val="28"/>
          <w:highlight w:val="none"/>
        </w:rPr>
        <w:br w:type="page"/>
      </w:r>
      <w:bookmarkStart w:id="2371" w:name="_Toc434331533"/>
      <w:bookmarkStart w:id="2372" w:name="_Toc12911"/>
      <w:bookmarkStart w:id="2373" w:name="_Toc241459789"/>
      <w:bookmarkStart w:id="2374" w:name="_Toc342296546"/>
      <w:r>
        <w:rPr>
          <w:rFonts w:hint="eastAsia" w:hAnsi="宋体" w:cs="Arial"/>
          <w:bCs w:val="0"/>
          <w:sz w:val="24"/>
          <w:highlight w:val="none"/>
        </w:rPr>
        <w:t>第一节 一般要求</w:t>
      </w:r>
      <w:bookmarkEnd w:id="2371"/>
      <w:bookmarkEnd w:id="2372"/>
      <w:bookmarkEnd w:id="2373"/>
      <w:bookmarkEnd w:id="2374"/>
    </w:p>
    <w:tbl>
      <w:tblPr>
        <w:tblStyle w:val="50"/>
        <w:tblW w:w="0" w:type="auto"/>
        <w:tblInd w:w="108" w:type="dxa"/>
        <w:tblLayout w:type="fixed"/>
        <w:tblCellMar>
          <w:top w:w="0" w:type="dxa"/>
          <w:left w:w="108" w:type="dxa"/>
          <w:bottom w:w="0" w:type="dxa"/>
          <w:right w:w="108" w:type="dxa"/>
        </w:tblCellMar>
      </w:tblPr>
      <w:tblGrid>
        <w:gridCol w:w="1056"/>
        <w:gridCol w:w="7364"/>
      </w:tblGrid>
      <w:tr>
        <w:tblPrEx>
          <w:tblCellMar>
            <w:top w:w="0" w:type="dxa"/>
            <w:left w:w="108" w:type="dxa"/>
            <w:bottom w:w="0" w:type="dxa"/>
            <w:right w:w="108" w:type="dxa"/>
          </w:tblCellMar>
        </w:tblPrEx>
        <w:tc>
          <w:tcPr>
            <w:tcW w:w="8420" w:type="dxa"/>
            <w:gridSpan w:val="2"/>
          </w:tcPr>
          <w:p>
            <w:pPr>
              <w:pStyle w:val="4"/>
              <w:rPr>
                <w:rFonts w:ascii="Arial" w:hAnsi="宋体" w:cs="Arial"/>
                <w:sz w:val="21"/>
                <w:szCs w:val="21"/>
                <w:highlight w:val="none"/>
              </w:rPr>
            </w:pPr>
            <w:bookmarkStart w:id="2375" w:name="_Toc342296547"/>
            <w:bookmarkStart w:id="2376" w:name="_Toc241459790"/>
            <w:bookmarkStart w:id="2377" w:name="_Toc434331534"/>
            <w:bookmarkStart w:id="2378" w:name="_Toc6921"/>
            <w:r>
              <w:rPr>
                <w:rFonts w:hint="eastAsia" w:ascii="Arial" w:hAnsi="宋体" w:cs="Arial"/>
                <w:sz w:val="21"/>
                <w:szCs w:val="21"/>
                <w:highlight w:val="none"/>
              </w:rPr>
              <w:t>1. 工程说明</w:t>
            </w:r>
            <w:bookmarkEnd w:id="2375"/>
            <w:bookmarkEnd w:id="2376"/>
            <w:bookmarkEnd w:id="2377"/>
            <w:bookmarkEnd w:id="237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b/>
                <w:bCs/>
                <w:szCs w:val="21"/>
                <w:highlight w:val="none"/>
              </w:rPr>
              <w:t>1.1</w:t>
            </w:r>
          </w:p>
        </w:tc>
        <w:tc>
          <w:tcPr>
            <w:tcW w:w="7364" w:type="dxa"/>
          </w:tcPr>
          <w:p>
            <w:pPr>
              <w:spacing w:after="156" w:afterLines="50" w:line="300" w:lineRule="auto"/>
              <w:rPr>
                <w:rFonts w:cs="Arial"/>
                <w:szCs w:val="21"/>
                <w:highlight w:val="none"/>
              </w:rPr>
            </w:pPr>
            <w:r>
              <w:rPr>
                <w:rFonts w:hint="eastAsia" w:cs="Arial"/>
                <w:b/>
                <w:bCs/>
                <w:szCs w:val="21"/>
                <w:highlight w:val="none"/>
              </w:rPr>
              <w:t>工程概况</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1.1.1</w:t>
            </w:r>
          </w:p>
        </w:tc>
        <w:tc>
          <w:tcPr>
            <w:tcW w:w="7364" w:type="dxa"/>
          </w:tcPr>
          <w:p>
            <w:pPr>
              <w:spacing w:after="156" w:afterLines="50" w:line="300" w:lineRule="auto"/>
              <w:rPr>
                <w:rFonts w:cs="Arial"/>
                <w:szCs w:val="21"/>
                <w:highlight w:val="none"/>
              </w:rPr>
            </w:pPr>
            <w:r>
              <w:rPr>
                <w:rFonts w:hint="eastAsia" w:cs="Arial"/>
                <w:szCs w:val="21"/>
                <w:highlight w:val="none"/>
              </w:rPr>
              <w:t>本工程基本情况如下：</w:t>
            </w:r>
          </w:p>
          <w:p>
            <w:pPr>
              <w:spacing w:line="400" w:lineRule="exact"/>
              <w:rPr>
                <w:rFonts w:cs="Arial"/>
                <w:szCs w:val="21"/>
                <w:highlight w:val="none"/>
                <w:u w:val="single"/>
              </w:rPr>
            </w:pPr>
            <w:r>
              <w:rPr>
                <w:rFonts w:hint="eastAsia"/>
                <w:szCs w:val="21"/>
                <w:highlight w:val="none"/>
                <w:u w:val="single"/>
              </w:rPr>
              <w:t>见本项目招标公告</w:t>
            </w:r>
          </w:p>
        </w:tc>
      </w:tr>
      <w:tr>
        <w:tc>
          <w:tcPr>
            <w:tcW w:w="1056" w:type="dxa"/>
          </w:tcPr>
          <w:p>
            <w:pPr>
              <w:spacing w:after="156" w:afterLines="50" w:line="300" w:lineRule="auto"/>
              <w:rPr>
                <w:rFonts w:cs="Arial"/>
                <w:szCs w:val="21"/>
                <w:highlight w:val="none"/>
              </w:rPr>
            </w:pPr>
            <w:r>
              <w:rPr>
                <w:rFonts w:hint="eastAsia" w:cs="Arial"/>
                <w:szCs w:val="21"/>
                <w:highlight w:val="none"/>
              </w:rPr>
              <w:t>1.1.2</w:t>
            </w:r>
          </w:p>
        </w:tc>
        <w:tc>
          <w:tcPr>
            <w:tcW w:w="7364" w:type="dxa"/>
          </w:tcPr>
          <w:p>
            <w:pPr>
              <w:pStyle w:val="29"/>
              <w:spacing w:after="156" w:afterLines="50" w:line="300" w:lineRule="auto"/>
              <w:rPr>
                <w:rFonts w:hAnsi="宋体" w:cs="Arial"/>
                <w:bCs/>
                <w:sz w:val="21"/>
                <w:szCs w:val="21"/>
                <w:highlight w:val="none"/>
              </w:rPr>
            </w:pPr>
            <w:r>
              <w:rPr>
                <w:rFonts w:hint="eastAsia" w:hAnsi="宋体" w:cs="Arial"/>
                <w:bCs/>
                <w:sz w:val="21"/>
                <w:szCs w:val="21"/>
                <w:highlight w:val="none"/>
              </w:rPr>
              <w:t>本工程施工场地（现场）具体地理位置如下：</w:t>
            </w:r>
          </w:p>
          <w:p>
            <w:pPr>
              <w:spacing w:after="156" w:afterLines="50" w:line="300" w:lineRule="auto"/>
              <w:rPr>
                <w:rFonts w:cs="Arial"/>
                <w:szCs w:val="21"/>
                <w:highlight w:val="none"/>
              </w:rPr>
            </w:pPr>
            <w:r>
              <w:rPr>
                <w:rFonts w:hint="eastAsia"/>
                <w:szCs w:val="21"/>
                <w:highlight w:val="none"/>
                <w:u w:val="single"/>
              </w:rPr>
              <w:t>见施工图纸</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bCs/>
                <w:szCs w:val="21"/>
                <w:highlight w:val="none"/>
              </w:rPr>
              <w:t>1.</w:t>
            </w:r>
            <w:r>
              <w:rPr>
                <w:rFonts w:hint="eastAsia" w:cs="Arial"/>
                <w:b/>
                <w:bCs/>
                <w:szCs w:val="21"/>
                <w:highlight w:val="none"/>
              </w:rPr>
              <w:t>2</w:t>
            </w:r>
          </w:p>
        </w:tc>
        <w:tc>
          <w:tcPr>
            <w:tcW w:w="7364" w:type="dxa"/>
          </w:tcPr>
          <w:p>
            <w:pPr>
              <w:pStyle w:val="29"/>
              <w:spacing w:after="156" w:afterLines="50" w:line="300" w:lineRule="auto"/>
              <w:rPr>
                <w:rFonts w:hAnsi="宋体" w:cs="Arial"/>
                <w:bCs/>
                <w:sz w:val="21"/>
                <w:szCs w:val="21"/>
                <w:highlight w:val="none"/>
              </w:rPr>
            </w:pPr>
            <w:r>
              <w:rPr>
                <w:rFonts w:hAnsi="宋体" w:cs="Arial"/>
                <w:b/>
                <w:bCs/>
                <w:sz w:val="21"/>
                <w:szCs w:val="21"/>
                <w:highlight w:val="none"/>
              </w:rPr>
              <w:t>现场条件和周围环境</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1.2.1</w:t>
            </w:r>
          </w:p>
        </w:tc>
        <w:tc>
          <w:tcPr>
            <w:tcW w:w="7364" w:type="dxa"/>
          </w:tcPr>
          <w:p>
            <w:pPr>
              <w:spacing w:after="156" w:afterLines="50" w:line="300" w:lineRule="auto"/>
              <w:rPr>
                <w:rFonts w:cs="Arial"/>
                <w:bCs/>
                <w:szCs w:val="21"/>
                <w:highlight w:val="none"/>
              </w:rPr>
            </w:pPr>
            <w:r>
              <w:rPr>
                <w:rFonts w:hint="eastAsia" w:cs="Arial"/>
                <w:bCs/>
                <w:szCs w:val="21"/>
                <w:highlight w:val="none"/>
              </w:rPr>
              <w:t>投标人自行勘察</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1.2.2</w:t>
            </w:r>
          </w:p>
        </w:tc>
        <w:tc>
          <w:tcPr>
            <w:tcW w:w="7364" w:type="dxa"/>
          </w:tcPr>
          <w:p>
            <w:pPr>
              <w:spacing w:after="156" w:afterLines="50" w:line="300" w:lineRule="auto"/>
              <w:rPr>
                <w:rFonts w:cs="Arial"/>
                <w:bCs/>
                <w:szCs w:val="21"/>
                <w:highlight w:val="none"/>
              </w:rPr>
            </w:pPr>
            <w:r>
              <w:rPr>
                <w:rFonts w:hint="eastAsia" w:cs="Arial"/>
                <w:bCs/>
                <w:szCs w:val="21"/>
                <w:highlight w:val="none"/>
              </w:rPr>
              <w:t>施工场地（现场）临时供水管径</w:t>
            </w:r>
            <w:r>
              <w:rPr>
                <w:rFonts w:hint="eastAsia" w:cs="Arial"/>
                <w:bCs/>
                <w:szCs w:val="21"/>
                <w:highlight w:val="none"/>
                <w:u w:val="single"/>
              </w:rPr>
              <w:t xml:space="preserve">  </w:t>
            </w:r>
            <w:r>
              <w:rPr>
                <w:rFonts w:hint="eastAsia" w:cs="Arial"/>
                <w:szCs w:val="21"/>
                <w:highlight w:val="none"/>
                <w:u w:val="single"/>
              </w:rPr>
              <w:t>招标人提供现场临时用水接驳点，位置由招标人现场指定，承包人自行接驳。</w:t>
            </w:r>
            <w:r>
              <w:rPr>
                <w:rFonts w:hint="eastAsia"/>
                <w:highlight w:val="none"/>
                <w:u w:val="single"/>
              </w:rPr>
              <w:t xml:space="preserve"> </w:t>
            </w:r>
            <w:r>
              <w:rPr>
                <w:rFonts w:hint="eastAsia" w:cs="Arial"/>
                <w:bCs/>
                <w:szCs w:val="21"/>
                <w:highlight w:val="none"/>
                <w:u w:val="single"/>
              </w:rPr>
              <w:t xml:space="preserve"> </w:t>
            </w:r>
            <w:r>
              <w:rPr>
                <w:rFonts w:hint="eastAsia" w:cs="Arial"/>
                <w:bCs/>
                <w:szCs w:val="21"/>
                <w:highlight w:val="none"/>
              </w:rPr>
              <w:t>。</w:t>
            </w:r>
          </w:p>
          <w:p>
            <w:pPr>
              <w:spacing w:after="156" w:afterLines="50" w:line="300" w:lineRule="auto"/>
              <w:rPr>
                <w:rFonts w:cs="Arial"/>
                <w:bCs/>
                <w:szCs w:val="21"/>
                <w:highlight w:val="none"/>
              </w:rPr>
            </w:pPr>
            <w:r>
              <w:rPr>
                <w:rFonts w:hint="eastAsia" w:cs="Arial"/>
                <w:bCs/>
                <w:szCs w:val="21"/>
                <w:highlight w:val="none"/>
              </w:rPr>
              <w:t>施工场地（现场）临时排污管径</w:t>
            </w:r>
            <w:r>
              <w:rPr>
                <w:rFonts w:hint="eastAsia" w:cs="Arial"/>
                <w:szCs w:val="21"/>
                <w:highlight w:val="none"/>
                <w:u w:val="single"/>
              </w:rPr>
              <w:t>招标人提供现场接驳点，位置由招标人现场指定，承包人自行接驳。</w:t>
            </w:r>
          </w:p>
          <w:p>
            <w:pPr>
              <w:spacing w:after="156" w:afterLines="50" w:line="300" w:lineRule="auto"/>
              <w:rPr>
                <w:rFonts w:cs="Arial"/>
                <w:bCs/>
                <w:szCs w:val="21"/>
                <w:highlight w:val="none"/>
              </w:rPr>
            </w:pPr>
            <w:r>
              <w:rPr>
                <w:rFonts w:hint="eastAsia" w:cs="Arial"/>
                <w:bCs/>
                <w:szCs w:val="21"/>
                <w:highlight w:val="none"/>
              </w:rPr>
              <w:t>施工现场临时供电容量（变压器输出功率）</w:t>
            </w:r>
            <w:r>
              <w:rPr>
                <w:rFonts w:hint="eastAsia" w:cs="Arial"/>
                <w:szCs w:val="21"/>
                <w:highlight w:val="none"/>
                <w:u w:val="single"/>
              </w:rPr>
              <w:t>招标人提供现场临时用电接驳点，位置由招标人现场指定，承包人自行接驳。</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1.2.3</w:t>
            </w:r>
          </w:p>
        </w:tc>
        <w:tc>
          <w:tcPr>
            <w:tcW w:w="7364"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现场条件和周围环境的其他资料和信息数据如下：</w:t>
            </w:r>
          </w:p>
          <w:p>
            <w:pPr>
              <w:spacing w:line="400" w:lineRule="exact"/>
              <w:rPr>
                <w:szCs w:val="21"/>
                <w:highlight w:val="none"/>
                <w:u w:val="single"/>
              </w:rPr>
            </w:pPr>
            <w:r>
              <w:rPr>
                <w:rFonts w:hint="eastAsia"/>
                <w:szCs w:val="21"/>
                <w:highlight w:val="none"/>
                <w:u w:val="single"/>
              </w:rPr>
              <w:t>1、提供地勘报告。 2、提供场地内市政管网图（电子版）。3、提供建筑平面图（电子版）。</w:t>
            </w:r>
          </w:p>
          <w:p>
            <w:pPr>
              <w:spacing w:line="360" w:lineRule="auto"/>
              <w:ind w:firstLine="420" w:firstLineChars="200"/>
              <w:jc w:val="left"/>
              <w:rPr>
                <w:rFonts w:cs="Arial"/>
                <w:bCs/>
                <w:szCs w:val="21"/>
                <w:highlight w:val="none"/>
                <w:u w:val="single"/>
              </w:rPr>
            </w:pPr>
            <w:r>
              <w:rPr>
                <w:rFonts w:hint="eastAsia" w:cs="Arial"/>
                <w:bCs/>
                <w:szCs w:val="21"/>
                <w:highlight w:val="none"/>
                <w:u w:val="single"/>
              </w:rPr>
              <w:t>现场条件以踏勘为准。</w:t>
            </w:r>
          </w:p>
          <w:p>
            <w:pPr>
              <w:spacing w:line="360" w:lineRule="auto"/>
              <w:ind w:firstLine="420" w:firstLineChars="200"/>
              <w:jc w:val="left"/>
              <w:rPr>
                <w:rFonts w:cs="Arial"/>
                <w:bCs/>
                <w:szCs w:val="21"/>
                <w:highlight w:val="none"/>
                <w:u w:val="single"/>
              </w:rPr>
            </w:pPr>
            <w:r>
              <w:rPr>
                <w:rFonts w:hint="eastAsia" w:cs="Arial"/>
                <w:bCs/>
                <w:szCs w:val="21"/>
                <w:highlight w:val="none"/>
                <w:u w:val="single"/>
              </w:rPr>
              <w:t xml:space="preserve">投标人在投标过程中要充分考虑下列问题： </w:t>
            </w:r>
          </w:p>
          <w:p>
            <w:pPr>
              <w:spacing w:line="360" w:lineRule="auto"/>
              <w:ind w:firstLine="420" w:firstLineChars="200"/>
              <w:jc w:val="left"/>
              <w:rPr>
                <w:rFonts w:cs="Arial"/>
                <w:bCs/>
                <w:szCs w:val="21"/>
                <w:highlight w:val="none"/>
              </w:rPr>
            </w:pPr>
            <w:r>
              <w:rPr>
                <w:rFonts w:hint="eastAsia" w:cs="Arial"/>
                <w:bCs/>
                <w:szCs w:val="21"/>
                <w:highlight w:val="none"/>
                <w:u w:val="single"/>
              </w:rPr>
              <w:t>现场施工场地环境因素：该地块内可能存在其它项目承包商同时使用场地的可能性，承包人只能在招标文件中附图《施工场地平面图》中规定的场地内进行平面布置。如需占用其它场地，投标人自行解决，发生的费用包干在本次措施费报价中。</w:t>
            </w:r>
          </w:p>
          <w:p>
            <w:pPr>
              <w:spacing w:line="360" w:lineRule="auto"/>
              <w:ind w:firstLine="420" w:firstLineChars="200"/>
              <w:jc w:val="left"/>
              <w:rPr>
                <w:szCs w:val="21"/>
                <w:highlight w:val="none"/>
                <w:u w:val="single"/>
              </w:rPr>
            </w:pPr>
            <w:r>
              <w:rPr>
                <w:rFonts w:hint="eastAsia" w:cs="Arial"/>
                <w:bCs/>
                <w:szCs w:val="21"/>
                <w:highlight w:val="none"/>
                <w:u w:val="single"/>
              </w:rPr>
              <w:t>本发包项目后续可能出现其它项目同期或分期施工的情况，故承包人应充分考虑交通组织、施工平面布置、施工互相干扰等方面的影响，不得以上述因素影响为由阻碍后续招标与施工工作。由此发生的所有费用包含在本次报价中。</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1.2.4</w:t>
            </w:r>
          </w:p>
        </w:tc>
        <w:tc>
          <w:tcPr>
            <w:tcW w:w="7364" w:type="dxa"/>
          </w:tcPr>
          <w:p>
            <w:pPr>
              <w:spacing w:after="156" w:afterLines="50" w:line="300" w:lineRule="auto"/>
              <w:rPr>
                <w:rFonts w:cs="Arial"/>
                <w:szCs w:val="21"/>
                <w:highlight w:val="none"/>
              </w:rPr>
            </w:pPr>
            <w:r>
              <w:rPr>
                <w:rFonts w:hint="eastAsia" w:cs="Arial"/>
                <w:bCs/>
                <w:szCs w:val="21"/>
                <w:highlight w:val="none"/>
              </w:rPr>
              <w:t>承包人被认为已在本工程投标阶段踏勘现场时充分了解本工程现场条件和周围环境，并已在其投标时就此给予了充分的考虑。</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bCs/>
                <w:szCs w:val="21"/>
                <w:highlight w:val="none"/>
              </w:rPr>
              <w:t>1.</w:t>
            </w:r>
            <w:r>
              <w:rPr>
                <w:rFonts w:hint="eastAsia" w:cs="Arial"/>
                <w:b/>
                <w:bCs/>
                <w:szCs w:val="21"/>
                <w:highlight w:val="none"/>
              </w:rPr>
              <w:t>3</w:t>
            </w:r>
          </w:p>
        </w:tc>
        <w:tc>
          <w:tcPr>
            <w:tcW w:w="7364" w:type="dxa"/>
          </w:tcPr>
          <w:p>
            <w:pPr>
              <w:spacing w:after="156" w:afterLines="50" w:line="300" w:lineRule="auto"/>
              <w:rPr>
                <w:rFonts w:cs="Arial"/>
                <w:bCs/>
                <w:szCs w:val="21"/>
                <w:highlight w:val="none"/>
              </w:rPr>
            </w:pPr>
            <w:r>
              <w:rPr>
                <w:rFonts w:cs="Arial"/>
                <w:b/>
                <w:bCs/>
                <w:szCs w:val="21"/>
                <w:highlight w:val="none"/>
              </w:rPr>
              <w:t>地质及水文资料</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1.3.1</w:t>
            </w:r>
          </w:p>
        </w:tc>
        <w:tc>
          <w:tcPr>
            <w:tcW w:w="7364" w:type="dxa"/>
          </w:tcPr>
          <w:p>
            <w:pPr>
              <w:pStyle w:val="29"/>
              <w:spacing w:after="156" w:afterLines="50" w:line="300" w:lineRule="auto"/>
              <w:rPr>
                <w:rFonts w:hAnsi="宋体" w:cs="Arial"/>
                <w:bCs/>
                <w:sz w:val="21"/>
                <w:szCs w:val="21"/>
                <w:highlight w:val="none"/>
              </w:rPr>
            </w:pPr>
            <w:r>
              <w:rPr>
                <w:rFonts w:hint="eastAsia" w:hAnsi="宋体" w:cs="Arial"/>
                <w:sz w:val="21"/>
                <w:szCs w:val="21"/>
                <w:highlight w:val="none"/>
              </w:rPr>
              <w:t>现场地质及水文资料和信息数据如下：</w:t>
            </w:r>
            <w:r>
              <w:rPr>
                <w:rFonts w:hint="eastAsia" w:hAnsi="宋体"/>
                <w:szCs w:val="21"/>
                <w:highlight w:val="none"/>
                <w:u w:val="single"/>
              </w:rPr>
              <w:t xml:space="preserve">      /     </w:t>
            </w:r>
            <w:r>
              <w:rPr>
                <w:rFonts w:hint="eastAsia" w:hAnsi="宋体"/>
                <w:sz w:val="21"/>
                <w:szCs w:val="21"/>
                <w:highlight w:val="none"/>
                <w:u w:val="single"/>
              </w:rPr>
              <w:t xml:space="preserve">   </w:t>
            </w:r>
            <w:r>
              <w:rPr>
                <w:rFonts w:hint="eastAsia" w:hAnsi="宋体"/>
                <w:sz w:val="21"/>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bCs/>
                <w:szCs w:val="21"/>
                <w:highlight w:val="none"/>
              </w:rPr>
              <w:t>1.</w:t>
            </w:r>
            <w:r>
              <w:rPr>
                <w:rFonts w:hint="eastAsia" w:cs="Arial"/>
                <w:b/>
                <w:bCs/>
                <w:szCs w:val="21"/>
                <w:highlight w:val="none"/>
              </w:rPr>
              <w:t>4</w:t>
            </w:r>
          </w:p>
        </w:tc>
        <w:tc>
          <w:tcPr>
            <w:tcW w:w="7364" w:type="dxa"/>
          </w:tcPr>
          <w:p>
            <w:pPr>
              <w:pStyle w:val="29"/>
              <w:spacing w:after="156" w:afterLines="50" w:line="300" w:lineRule="auto"/>
              <w:rPr>
                <w:rFonts w:hAnsi="宋体" w:cs="Arial"/>
                <w:sz w:val="21"/>
                <w:szCs w:val="21"/>
                <w:highlight w:val="none"/>
              </w:rPr>
            </w:pPr>
            <w:r>
              <w:rPr>
                <w:rFonts w:hint="eastAsia" w:hAnsi="宋体" w:cs="Arial"/>
                <w:b/>
                <w:bCs/>
                <w:sz w:val="21"/>
                <w:szCs w:val="21"/>
                <w:highlight w:val="none"/>
              </w:rPr>
              <w:t>资料和信息的使用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1.4.1</w:t>
            </w:r>
          </w:p>
        </w:tc>
        <w:tc>
          <w:tcPr>
            <w:tcW w:w="7364" w:type="dxa"/>
          </w:tcPr>
          <w:p>
            <w:pPr>
              <w:pStyle w:val="29"/>
              <w:spacing w:after="156" w:afterLines="50" w:line="300" w:lineRule="auto"/>
              <w:rPr>
                <w:rFonts w:hAnsi="宋体" w:cs="Arial"/>
                <w:bCs/>
                <w:sz w:val="21"/>
                <w:szCs w:val="21"/>
                <w:highlight w:val="none"/>
              </w:rPr>
            </w:pPr>
            <w:r>
              <w:rPr>
                <w:rFonts w:hint="eastAsia" w:hAnsi="宋体" w:cs="Arial"/>
                <w:sz w:val="21"/>
                <w:szCs w:val="21"/>
                <w:highlight w:val="none"/>
              </w:rPr>
              <w:t>合同文件中载明的涉及本工程现场条件、周围环境、地质及水文等情况的资料和信息数据，是发包人现有的和客观的，发包人保证有关资料和信息数据的真实、准确。但承包人据此作出的推论、判断和决策，由承包人自行负责。</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379" w:name="_Toc28487"/>
            <w:bookmarkStart w:id="2380" w:name="_Toc342296548"/>
            <w:bookmarkStart w:id="2381" w:name="_Toc241459791"/>
            <w:bookmarkStart w:id="2382" w:name="_Toc434331535"/>
            <w:r>
              <w:rPr>
                <w:rFonts w:hint="eastAsia" w:ascii="宋体" w:hAnsi="宋体" w:cs="Arial"/>
                <w:sz w:val="21"/>
                <w:szCs w:val="21"/>
                <w:highlight w:val="none"/>
              </w:rPr>
              <w:t xml:space="preserve">2. </w:t>
            </w:r>
            <w:r>
              <w:rPr>
                <w:rFonts w:ascii="宋体" w:hAnsi="宋体" w:cs="Arial"/>
                <w:sz w:val="21"/>
                <w:szCs w:val="21"/>
                <w:highlight w:val="none"/>
              </w:rPr>
              <w:t>承包范围</w:t>
            </w:r>
            <w:bookmarkEnd w:id="2379"/>
            <w:bookmarkEnd w:id="2380"/>
            <w:bookmarkEnd w:id="2381"/>
            <w:bookmarkEnd w:id="2382"/>
          </w:p>
        </w:tc>
      </w:tr>
      <w:tr>
        <w:tblPrEx>
          <w:tblCellMar>
            <w:top w:w="0" w:type="dxa"/>
            <w:left w:w="108" w:type="dxa"/>
            <w:bottom w:w="0" w:type="dxa"/>
            <w:right w:w="108" w:type="dxa"/>
          </w:tblCellMar>
        </w:tblPrEx>
        <w:tc>
          <w:tcPr>
            <w:tcW w:w="1056" w:type="dxa"/>
          </w:tcPr>
          <w:p>
            <w:pPr>
              <w:spacing w:after="156" w:afterLines="50" w:line="300" w:lineRule="auto"/>
              <w:outlineLvl w:val="4"/>
              <w:rPr>
                <w:rFonts w:cs="Arial"/>
                <w:b/>
                <w:bCs/>
                <w:szCs w:val="21"/>
                <w:highlight w:val="none"/>
              </w:rPr>
            </w:pPr>
            <w:bookmarkStart w:id="2383" w:name="_Toc263259782"/>
            <w:r>
              <w:rPr>
                <w:rFonts w:cs="Arial"/>
                <w:b/>
                <w:bCs/>
                <w:szCs w:val="21"/>
                <w:highlight w:val="none"/>
              </w:rPr>
              <w:t>2.1</w:t>
            </w:r>
            <w:bookmarkEnd w:id="2383"/>
          </w:p>
        </w:tc>
        <w:tc>
          <w:tcPr>
            <w:tcW w:w="7364" w:type="dxa"/>
          </w:tcPr>
          <w:p>
            <w:pPr>
              <w:spacing w:after="156" w:afterLines="50" w:line="300" w:lineRule="auto"/>
              <w:outlineLvl w:val="4"/>
              <w:rPr>
                <w:rFonts w:cs="Arial"/>
                <w:b/>
                <w:bCs/>
                <w:szCs w:val="21"/>
                <w:highlight w:val="none"/>
              </w:rPr>
            </w:pPr>
            <w:bookmarkStart w:id="2384" w:name="_Toc263259783"/>
            <w:r>
              <w:rPr>
                <w:rFonts w:cs="Arial"/>
                <w:b/>
                <w:bCs/>
                <w:szCs w:val="21"/>
                <w:highlight w:val="none"/>
              </w:rPr>
              <w:t>承包范围</w:t>
            </w:r>
            <w:bookmarkEnd w:id="2384"/>
          </w:p>
        </w:tc>
      </w:tr>
      <w:tr>
        <w:tblPrEx>
          <w:tblCellMar>
            <w:top w:w="0" w:type="dxa"/>
            <w:left w:w="108" w:type="dxa"/>
            <w:bottom w:w="0" w:type="dxa"/>
            <w:right w:w="108" w:type="dxa"/>
          </w:tblCellMar>
        </w:tblPrEx>
        <w:tc>
          <w:tcPr>
            <w:tcW w:w="1056" w:type="dxa"/>
          </w:tcPr>
          <w:p>
            <w:pPr>
              <w:spacing w:after="156" w:afterLines="50" w:line="300" w:lineRule="auto"/>
              <w:outlineLvl w:val="4"/>
              <w:rPr>
                <w:rFonts w:cs="Arial"/>
                <w:b/>
                <w:bCs/>
                <w:szCs w:val="21"/>
                <w:highlight w:val="none"/>
              </w:rPr>
            </w:pPr>
            <w:bookmarkStart w:id="2385" w:name="_Toc263259784"/>
            <w:r>
              <w:rPr>
                <w:rFonts w:cs="Arial"/>
                <w:b/>
                <w:szCs w:val="21"/>
                <w:highlight w:val="none"/>
              </w:rPr>
              <w:t>2.1.1</w:t>
            </w:r>
            <w:bookmarkEnd w:id="2385"/>
          </w:p>
        </w:tc>
        <w:tc>
          <w:tcPr>
            <w:tcW w:w="7364" w:type="dxa"/>
          </w:tcPr>
          <w:p>
            <w:pPr>
              <w:spacing w:after="156" w:afterLines="50" w:line="300" w:lineRule="auto"/>
              <w:outlineLvl w:val="4"/>
              <w:rPr>
                <w:rFonts w:cs="Arial"/>
                <w:b/>
                <w:bCs/>
                <w:szCs w:val="21"/>
                <w:highlight w:val="none"/>
              </w:rPr>
            </w:pPr>
            <w:bookmarkStart w:id="2386" w:name="_Toc263259785"/>
            <w:r>
              <w:rPr>
                <w:rFonts w:hint="eastAsia" w:cs="Arial"/>
                <w:b/>
                <w:bCs/>
                <w:szCs w:val="21"/>
                <w:highlight w:val="none"/>
              </w:rPr>
              <w:t>承包人自行施工范围</w:t>
            </w:r>
            <w:bookmarkEnd w:id="2386"/>
          </w:p>
        </w:tc>
      </w:tr>
      <w:tr>
        <w:tblPrEx>
          <w:tblCellMar>
            <w:top w:w="0" w:type="dxa"/>
            <w:left w:w="108" w:type="dxa"/>
            <w:bottom w:w="0" w:type="dxa"/>
            <w:right w:w="108" w:type="dxa"/>
          </w:tblCellMar>
        </w:tblPrEx>
        <w:trPr>
          <w:trHeight w:val="510" w:hRule="atLeast"/>
        </w:trPr>
        <w:tc>
          <w:tcPr>
            <w:tcW w:w="1056" w:type="dxa"/>
          </w:tcPr>
          <w:p>
            <w:pPr>
              <w:pStyle w:val="29"/>
              <w:spacing w:after="156" w:afterLines="50" w:line="300" w:lineRule="auto"/>
              <w:rPr>
                <w:rFonts w:hAnsi="宋体" w:cs="Arial"/>
                <w:sz w:val="21"/>
                <w:szCs w:val="21"/>
                <w:highlight w:val="none"/>
              </w:rPr>
            </w:pPr>
          </w:p>
        </w:tc>
        <w:tc>
          <w:tcPr>
            <w:tcW w:w="7364" w:type="dxa"/>
          </w:tcPr>
          <w:p>
            <w:pPr>
              <w:rPr>
                <w:highlight w:val="none"/>
              </w:rPr>
            </w:pPr>
            <w:r>
              <w:rPr>
                <w:rFonts w:hint="eastAsia" w:cs="Arial"/>
                <w:szCs w:val="21"/>
                <w:highlight w:val="none"/>
              </w:rPr>
              <w:t>本工程承包人自行施工的工程范围如下：见前附表</w:t>
            </w:r>
          </w:p>
          <w:p>
            <w:pPr>
              <w:spacing w:after="156" w:afterLines="50" w:line="300" w:lineRule="auto"/>
              <w:rPr>
                <w:szCs w:val="21"/>
                <w:highlight w:val="none"/>
                <w:u w:val="single"/>
              </w:rPr>
            </w:pP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Ansi="宋体" w:cs="Arial"/>
                <w:b/>
                <w:sz w:val="21"/>
                <w:szCs w:val="21"/>
                <w:highlight w:val="none"/>
              </w:rPr>
              <w:t>2.</w:t>
            </w:r>
            <w:r>
              <w:rPr>
                <w:rFonts w:hint="eastAsia" w:hAnsi="宋体" w:cs="Arial"/>
                <w:b/>
                <w:sz w:val="21"/>
                <w:szCs w:val="21"/>
                <w:highlight w:val="none"/>
              </w:rPr>
              <w:t>1.2</w:t>
            </w:r>
          </w:p>
        </w:tc>
        <w:tc>
          <w:tcPr>
            <w:tcW w:w="7364" w:type="dxa"/>
          </w:tcPr>
          <w:p>
            <w:pPr>
              <w:spacing w:after="156" w:afterLines="50" w:line="300" w:lineRule="auto"/>
              <w:rPr>
                <w:rFonts w:cs="Arial"/>
                <w:szCs w:val="21"/>
                <w:highlight w:val="none"/>
              </w:rPr>
            </w:pPr>
            <w:r>
              <w:rPr>
                <w:rFonts w:hint="eastAsia" w:cs="Arial"/>
                <w:b/>
                <w:szCs w:val="21"/>
                <w:highlight w:val="none"/>
              </w:rPr>
              <w:t>承包范围内的暂估价项目</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2.1.2.1</w:t>
            </w:r>
          </w:p>
        </w:tc>
        <w:tc>
          <w:tcPr>
            <w:tcW w:w="7364" w:type="dxa"/>
          </w:tcPr>
          <w:p>
            <w:pPr>
              <w:spacing w:after="156" w:afterLines="50" w:line="300" w:lineRule="auto"/>
              <w:rPr>
                <w:rFonts w:cs="Arial"/>
                <w:szCs w:val="21"/>
                <w:highlight w:val="none"/>
              </w:rPr>
            </w:pPr>
            <w:r>
              <w:rPr>
                <w:rFonts w:hint="eastAsia" w:cs="Arial"/>
                <w:szCs w:val="21"/>
                <w:highlight w:val="none"/>
              </w:rPr>
              <w:t>承包范围内以暂估价形式实施的专业工程见第五章“工程量清单”表4.10-3“专业工程暂估价表”。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2.1.2.2</w:t>
            </w:r>
          </w:p>
        </w:tc>
        <w:tc>
          <w:tcPr>
            <w:tcW w:w="7364" w:type="dxa"/>
          </w:tcPr>
          <w:p>
            <w:pPr>
              <w:spacing w:after="156" w:afterLines="50" w:line="300" w:lineRule="auto"/>
              <w:rPr>
                <w:rFonts w:cs="Arial"/>
                <w:szCs w:val="21"/>
                <w:highlight w:val="none"/>
              </w:rPr>
            </w:pPr>
            <w:r>
              <w:rPr>
                <w:rFonts w:hint="eastAsia" w:cs="Arial"/>
                <w:szCs w:val="21"/>
                <w:highlight w:val="none"/>
              </w:rPr>
              <w:t>承包范围内以暂估价形式实施的材料和工程设备见第五章“工程量清单”表4.10-2“材料和工程设备暂估表”。</w:t>
            </w:r>
          </w:p>
        </w:tc>
      </w:tr>
      <w:tr>
        <w:tc>
          <w:tcPr>
            <w:tcW w:w="1056" w:type="dxa"/>
          </w:tcPr>
          <w:p>
            <w:pPr>
              <w:spacing w:after="156" w:afterLines="50" w:line="300" w:lineRule="auto"/>
              <w:rPr>
                <w:rFonts w:cs="Arial"/>
                <w:szCs w:val="21"/>
                <w:highlight w:val="none"/>
              </w:rPr>
            </w:pPr>
            <w:r>
              <w:rPr>
                <w:rFonts w:hint="eastAsia" w:cs="Arial"/>
                <w:szCs w:val="21"/>
                <w:highlight w:val="none"/>
              </w:rPr>
              <w:t>2.1.2.3</w:t>
            </w:r>
          </w:p>
        </w:tc>
        <w:tc>
          <w:tcPr>
            <w:tcW w:w="7364" w:type="dxa"/>
          </w:tcPr>
          <w:p>
            <w:pPr>
              <w:spacing w:after="156" w:afterLines="50" w:line="300" w:lineRule="auto"/>
              <w:rPr>
                <w:rFonts w:cs="Arial"/>
                <w:szCs w:val="21"/>
                <w:highlight w:val="none"/>
              </w:rPr>
            </w:pPr>
            <w:r>
              <w:rPr>
                <w:rFonts w:hint="eastAsia" w:cs="Arial"/>
                <w:szCs w:val="21"/>
                <w:highlight w:val="none"/>
              </w:rPr>
              <w:t>上述暂估价项目与本节第2.1.1项承包人自行施工范围的工作界面划分如下：</w:t>
            </w:r>
          </w:p>
          <w:p>
            <w:pPr>
              <w:spacing w:after="156" w:afterLines="50" w:line="300" w:lineRule="auto"/>
              <w:rPr>
                <w:rFonts w:cs="Arial"/>
                <w:szCs w:val="21"/>
                <w:highlight w:val="none"/>
              </w:rPr>
            </w:pP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szCs w:val="21"/>
                <w:highlight w:val="none"/>
              </w:rPr>
              <w:t>2.</w:t>
            </w:r>
            <w:r>
              <w:rPr>
                <w:rFonts w:hint="eastAsia" w:cs="Arial"/>
                <w:b/>
                <w:szCs w:val="21"/>
                <w:highlight w:val="none"/>
              </w:rPr>
              <w:t>1.3</w:t>
            </w:r>
          </w:p>
        </w:tc>
        <w:tc>
          <w:tcPr>
            <w:tcW w:w="7364" w:type="dxa"/>
          </w:tcPr>
          <w:p>
            <w:pPr>
              <w:spacing w:after="156" w:afterLines="50" w:line="300" w:lineRule="auto"/>
              <w:rPr>
                <w:rFonts w:cs="Arial"/>
                <w:szCs w:val="21"/>
                <w:highlight w:val="none"/>
              </w:rPr>
            </w:pPr>
            <w:r>
              <w:rPr>
                <w:rFonts w:hint="eastAsia" w:cs="Arial"/>
                <w:b/>
                <w:szCs w:val="21"/>
                <w:highlight w:val="none"/>
              </w:rPr>
              <w:t>承包范围内的暂列金额项目</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2.1.3.1</w:t>
            </w:r>
          </w:p>
        </w:tc>
        <w:tc>
          <w:tcPr>
            <w:tcW w:w="7364" w:type="dxa"/>
          </w:tcPr>
          <w:p>
            <w:pPr>
              <w:spacing w:after="156" w:afterLines="50" w:line="300" w:lineRule="auto"/>
              <w:rPr>
                <w:rFonts w:cs="Arial"/>
                <w:szCs w:val="21"/>
                <w:highlight w:val="none"/>
              </w:rPr>
            </w:pPr>
            <w:r>
              <w:rPr>
                <w:rFonts w:hint="eastAsia" w:cs="Arial"/>
                <w:szCs w:val="21"/>
                <w:highlight w:val="none"/>
              </w:rPr>
              <w:t>以暂列金额（包括计日工）方式实施的项目见第五章“工程量清单”表4.10-1“暂列金额明细表” （不包括计日工）和表4.10-4“计日工表”，其中计日工金额为承包人在其投标报价中按表4.10-4“计日工表”所列计日工子目、数量和相应规定填报的金额。</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2.1.3.2</w:t>
            </w:r>
          </w:p>
        </w:tc>
        <w:tc>
          <w:tcPr>
            <w:tcW w:w="7364" w:type="dxa"/>
          </w:tcPr>
          <w:p>
            <w:pPr>
              <w:spacing w:after="156" w:afterLines="50" w:line="300" w:lineRule="auto"/>
              <w:rPr>
                <w:rFonts w:cs="Arial"/>
                <w:szCs w:val="21"/>
                <w:highlight w:val="none"/>
              </w:rPr>
            </w:pPr>
            <w:r>
              <w:rPr>
                <w:rFonts w:hint="eastAsia" w:cs="Arial"/>
                <w:szCs w:val="21"/>
                <w:highlight w:val="none"/>
              </w:rPr>
              <w:t>暂列金额明细表中每笔暂列金额所对应的子目，包括计日工，均只是可能发生的子目。承包人应当充分认识到，合同履行过程中所列暂列金额可能不发生，也可能部分发生。即便发生，监理人按照合同约定发出的使用暂列金额的指示也不限于只能用于表中所列子目。</w:t>
            </w:r>
          </w:p>
        </w:tc>
      </w:tr>
      <w:tr>
        <w:tc>
          <w:tcPr>
            <w:tcW w:w="1056" w:type="dxa"/>
          </w:tcPr>
          <w:p>
            <w:pPr>
              <w:spacing w:after="156" w:afterLines="50" w:line="300" w:lineRule="auto"/>
              <w:rPr>
                <w:rFonts w:cs="Arial"/>
                <w:szCs w:val="21"/>
                <w:highlight w:val="none"/>
              </w:rPr>
            </w:pPr>
            <w:r>
              <w:rPr>
                <w:rFonts w:hint="eastAsia" w:cs="Arial"/>
                <w:szCs w:val="21"/>
                <w:highlight w:val="none"/>
              </w:rPr>
              <w:t>2.1.3.3</w:t>
            </w:r>
          </w:p>
        </w:tc>
        <w:tc>
          <w:tcPr>
            <w:tcW w:w="7364" w:type="dxa"/>
          </w:tcPr>
          <w:p>
            <w:pPr>
              <w:spacing w:after="156" w:afterLines="50" w:line="300" w:lineRule="auto"/>
              <w:rPr>
                <w:rFonts w:cs="Arial"/>
                <w:szCs w:val="21"/>
                <w:highlight w:val="none"/>
              </w:rPr>
            </w:pPr>
            <w:r>
              <w:rPr>
                <w:rFonts w:hint="eastAsia" w:cs="Arial"/>
                <w:szCs w:val="21"/>
                <w:highlight w:val="none"/>
              </w:rPr>
              <w:t>暂列金额是否实际发生、其再分和合并等均不应成为承包人要求任何追加费用和(或)延长工期的理由。</w:t>
            </w:r>
          </w:p>
        </w:tc>
      </w:tr>
      <w:tr>
        <w:tc>
          <w:tcPr>
            <w:tcW w:w="1056" w:type="dxa"/>
          </w:tcPr>
          <w:p>
            <w:pPr>
              <w:spacing w:after="156" w:afterLines="50" w:line="300" w:lineRule="auto"/>
              <w:rPr>
                <w:rFonts w:cs="Arial"/>
                <w:szCs w:val="21"/>
                <w:highlight w:val="none"/>
              </w:rPr>
            </w:pPr>
            <w:r>
              <w:rPr>
                <w:rFonts w:hint="eastAsia" w:cs="Arial"/>
                <w:szCs w:val="21"/>
                <w:highlight w:val="none"/>
              </w:rPr>
              <w:t>2.1.3.4</w:t>
            </w:r>
          </w:p>
        </w:tc>
        <w:tc>
          <w:tcPr>
            <w:tcW w:w="7364" w:type="dxa"/>
          </w:tcPr>
          <w:p>
            <w:pPr>
              <w:spacing w:after="156" w:afterLines="50" w:line="300" w:lineRule="auto"/>
              <w:rPr>
                <w:rFonts w:cs="Arial"/>
                <w:szCs w:val="21"/>
                <w:highlight w:val="none"/>
              </w:rPr>
            </w:pPr>
            <w:r>
              <w:rPr>
                <w:rFonts w:hint="eastAsia" w:cs="Arial"/>
                <w:szCs w:val="21"/>
                <w:highlight w:val="none"/>
              </w:rPr>
              <w:t>关于暂列金额的其他说明：</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bCs/>
                <w:szCs w:val="21"/>
                <w:highlight w:val="none"/>
              </w:rPr>
              <w:t>2.</w:t>
            </w:r>
            <w:r>
              <w:rPr>
                <w:rFonts w:hint="eastAsia" w:cs="Arial"/>
                <w:b/>
                <w:bCs/>
                <w:szCs w:val="21"/>
                <w:highlight w:val="none"/>
              </w:rPr>
              <w:t>2</w:t>
            </w:r>
          </w:p>
        </w:tc>
        <w:tc>
          <w:tcPr>
            <w:tcW w:w="7364" w:type="dxa"/>
          </w:tcPr>
          <w:p>
            <w:pPr>
              <w:spacing w:after="156" w:afterLines="50" w:line="300" w:lineRule="auto"/>
              <w:rPr>
                <w:rFonts w:cs="Arial"/>
                <w:szCs w:val="21"/>
                <w:highlight w:val="none"/>
              </w:rPr>
            </w:pPr>
            <w:r>
              <w:rPr>
                <w:rFonts w:hint="eastAsia" w:cs="Arial"/>
                <w:b/>
                <w:bCs/>
                <w:szCs w:val="21"/>
                <w:highlight w:val="none"/>
              </w:rPr>
              <w:t>发包人发包专业工程和发包人供应的材料和工程设备</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2.2.1</w:t>
            </w:r>
          </w:p>
        </w:tc>
        <w:tc>
          <w:tcPr>
            <w:tcW w:w="7364" w:type="dxa"/>
          </w:tcPr>
          <w:p>
            <w:pPr>
              <w:spacing w:after="156" w:afterLines="50" w:line="300" w:lineRule="auto"/>
              <w:rPr>
                <w:szCs w:val="21"/>
                <w:highlight w:val="none"/>
                <w:u w:val="single"/>
              </w:rPr>
            </w:pPr>
            <w:r>
              <w:rPr>
                <w:rFonts w:hint="eastAsia"/>
                <w:szCs w:val="21"/>
                <w:highlight w:val="none"/>
              </w:rPr>
              <w:t>由发包人发包的专业工程属于与本工程有关的其他工程，不属于承包人的承包范围。</w:t>
            </w:r>
            <w:r>
              <w:rPr>
                <w:rFonts w:hint="eastAsia" w:cs="Arial"/>
                <w:szCs w:val="21"/>
                <w:highlight w:val="none"/>
              </w:rPr>
              <w:t>发包人发包的专业工程如下：</w:t>
            </w:r>
            <w:r>
              <w:rPr>
                <w:rFonts w:hint="eastAsia"/>
                <w:szCs w:val="21"/>
                <w:highlight w:val="none"/>
                <w:u w:val="single"/>
              </w:rPr>
              <w:t xml:space="preserve">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2.2.2</w:t>
            </w:r>
          </w:p>
        </w:tc>
        <w:tc>
          <w:tcPr>
            <w:tcW w:w="7364" w:type="dxa"/>
          </w:tcPr>
          <w:p>
            <w:pPr>
              <w:spacing w:after="156" w:afterLines="50" w:line="300" w:lineRule="auto"/>
              <w:rPr>
                <w:rFonts w:cs="Arial"/>
                <w:szCs w:val="21"/>
                <w:highlight w:val="none"/>
              </w:rPr>
            </w:pPr>
            <w:r>
              <w:rPr>
                <w:rFonts w:hint="eastAsia"/>
                <w:szCs w:val="21"/>
                <w:highlight w:val="none"/>
              </w:rPr>
              <w:t>由发包人供应的材料和工程设备不属于承包人的承包范围。</w:t>
            </w:r>
            <w:r>
              <w:rPr>
                <w:rFonts w:hint="eastAsia" w:cs="Arial"/>
                <w:szCs w:val="21"/>
                <w:highlight w:val="none"/>
              </w:rPr>
              <w:t>发包人供应的材料和工程设备见合同附件二“发包人供应的材料和工程设备一览表”。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b/>
                <w:bCs/>
                <w:szCs w:val="21"/>
                <w:highlight w:val="none"/>
              </w:rPr>
              <w:t>2.</w:t>
            </w:r>
            <w:r>
              <w:rPr>
                <w:rFonts w:hint="eastAsia" w:cs="Arial"/>
                <w:b/>
                <w:bCs/>
                <w:szCs w:val="21"/>
                <w:highlight w:val="none"/>
              </w:rPr>
              <w:t>3</w:t>
            </w:r>
          </w:p>
        </w:tc>
        <w:tc>
          <w:tcPr>
            <w:tcW w:w="7364" w:type="dxa"/>
          </w:tcPr>
          <w:p>
            <w:pPr>
              <w:spacing w:after="156" w:afterLines="50" w:line="300" w:lineRule="auto"/>
              <w:rPr>
                <w:b/>
                <w:szCs w:val="21"/>
                <w:highlight w:val="none"/>
              </w:rPr>
            </w:pPr>
            <w:r>
              <w:rPr>
                <w:rFonts w:hint="eastAsia" w:cs="Arial"/>
                <w:b/>
                <w:bCs/>
                <w:szCs w:val="21"/>
                <w:highlight w:val="none"/>
              </w:rPr>
              <w:t>承包人与</w:t>
            </w:r>
            <w:r>
              <w:rPr>
                <w:rFonts w:hint="eastAsia" w:cs="Arial"/>
                <w:b/>
                <w:szCs w:val="21"/>
                <w:highlight w:val="none"/>
              </w:rPr>
              <w:t>发包人发包专业工程承包人</w:t>
            </w:r>
            <w:r>
              <w:rPr>
                <w:rFonts w:hint="eastAsia" w:cs="Arial"/>
                <w:b/>
                <w:bCs/>
                <w:szCs w:val="21"/>
                <w:highlight w:val="none"/>
              </w:rPr>
              <w:t>的工作界面</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2.3.1</w:t>
            </w:r>
          </w:p>
        </w:tc>
        <w:tc>
          <w:tcPr>
            <w:tcW w:w="7364" w:type="dxa"/>
          </w:tcPr>
          <w:p>
            <w:pPr>
              <w:spacing w:after="156" w:afterLines="50" w:line="300" w:lineRule="auto"/>
              <w:rPr>
                <w:rFonts w:cs="Arial"/>
                <w:szCs w:val="21"/>
                <w:highlight w:val="none"/>
              </w:rPr>
            </w:pPr>
            <w:r>
              <w:rPr>
                <w:rFonts w:hint="eastAsia" w:cs="Arial"/>
                <w:szCs w:val="21"/>
                <w:highlight w:val="none"/>
              </w:rPr>
              <w:t>承包人与发包人发包专业工程承包人以及与发包人供应的材料和设备的供应商之间的工作界面划分如下：</w:t>
            </w:r>
            <w:r>
              <w:rPr>
                <w:rFonts w:hint="eastAsia"/>
                <w:szCs w:val="21"/>
                <w:highlight w:val="none"/>
                <w:u w:val="single"/>
              </w:rPr>
              <w:t xml:space="preserve">  详见清单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b/>
                <w:bCs/>
                <w:szCs w:val="21"/>
                <w:highlight w:val="none"/>
              </w:rPr>
              <w:t>2.4</w:t>
            </w:r>
          </w:p>
        </w:tc>
        <w:tc>
          <w:tcPr>
            <w:tcW w:w="7364" w:type="dxa"/>
          </w:tcPr>
          <w:p>
            <w:pPr>
              <w:spacing w:after="156" w:afterLines="50" w:line="300" w:lineRule="auto"/>
              <w:rPr>
                <w:rFonts w:cs="Arial"/>
                <w:szCs w:val="21"/>
                <w:highlight w:val="none"/>
              </w:rPr>
            </w:pPr>
            <w:r>
              <w:rPr>
                <w:rFonts w:hint="eastAsia" w:cs="Arial"/>
                <w:b/>
                <w:bCs/>
                <w:szCs w:val="21"/>
                <w:highlight w:val="none"/>
              </w:rPr>
              <w:t>承包人需要为发包人和监理人提供的现场办公条件和设施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2.4.1</w:t>
            </w:r>
          </w:p>
        </w:tc>
        <w:tc>
          <w:tcPr>
            <w:tcW w:w="7364" w:type="dxa"/>
          </w:tcPr>
          <w:p>
            <w:pPr>
              <w:spacing w:after="156" w:afterLines="50" w:line="300" w:lineRule="auto"/>
              <w:rPr>
                <w:rFonts w:cs="Arial"/>
                <w:szCs w:val="21"/>
                <w:highlight w:val="none"/>
              </w:rPr>
            </w:pPr>
            <w:r>
              <w:rPr>
                <w:rFonts w:hint="eastAsia" w:cs="Arial"/>
                <w:szCs w:val="21"/>
                <w:highlight w:val="none"/>
              </w:rPr>
              <w:t>承包人需要为发包人和监理人提供的现场办公条件和设施及其详细要求如下：</w:t>
            </w:r>
          </w:p>
          <w:p>
            <w:pPr>
              <w:spacing w:after="156" w:afterLines="50" w:line="300" w:lineRule="auto"/>
              <w:ind w:left="110"/>
              <w:rPr>
                <w:rFonts w:cs="Arial"/>
                <w:szCs w:val="21"/>
                <w:highlight w:val="none"/>
              </w:rPr>
            </w:pPr>
            <w:r>
              <w:rPr>
                <w:rFonts w:hint="eastAsia"/>
                <w:szCs w:val="21"/>
                <w:highlight w:val="none"/>
                <w:u w:val="single"/>
              </w:rPr>
              <w:t>/。</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387" w:name="_Toc342296549"/>
            <w:bookmarkStart w:id="2388" w:name="_Toc241459792"/>
            <w:bookmarkStart w:id="2389" w:name="_Toc434331536"/>
            <w:bookmarkStart w:id="2390" w:name="_Toc20764"/>
            <w:r>
              <w:rPr>
                <w:rFonts w:hint="eastAsia" w:ascii="宋体" w:hAnsi="宋体" w:cs="Arial"/>
                <w:sz w:val="21"/>
                <w:szCs w:val="21"/>
                <w:highlight w:val="none"/>
              </w:rPr>
              <w:t xml:space="preserve">3. </w:t>
            </w:r>
            <w:r>
              <w:rPr>
                <w:rFonts w:ascii="宋体" w:hAnsi="宋体" w:cs="Arial"/>
                <w:sz w:val="21"/>
                <w:szCs w:val="21"/>
                <w:highlight w:val="none"/>
              </w:rPr>
              <w:t>工期要求</w:t>
            </w:r>
            <w:bookmarkEnd w:id="2387"/>
            <w:bookmarkEnd w:id="2388"/>
            <w:bookmarkEnd w:id="2389"/>
            <w:bookmarkEnd w:id="2390"/>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b/>
                <w:bCs/>
                <w:szCs w:val="21"/>
                <w:highlight w:val="none"/>
              </w:rPr>
              <w:t>3</w:t>
            </w:r>
            <w:r>
              <w:rPr>
                <w:rFonts w:cs="Arial"/>
                <w:b/>
                <w:bCs/>
                <w:szCs w:val="21"/>
                <w:highlight w:val="none"/>
              </w:rPr>
              <w:t>.</w:t>
            </w:r>
            <w:r>
              <w:rPr>
                <w:rFonts w:hint="eastAsia" w:cs="Arial"/>
                <w:b/>
                <w:bCs/>
                <w:szCs w:val="21"/>
                <w:highlight w:val="none"/>
              </w:rPr>
              <w:t>1</w:t>
            </w:r>
          </w:p>
        </w:tc>
        <w:tc>
          <w:tcPr>
            <w:tcW w:w="7364" w:type="dxa"/>
          </w:tcPr>
          <w:p>
            <w:pPr>
              <w:pStyle w:val="29"/>
              <w:spacing w:after="156" w:afterLines="50" w:line="300" w:lineRule="auto"/>
              <w:rPr>
                <w:rFonts w:hAnsi="宋体" w:cs="Arial"/>
                <w:sz w:val="21"/>
                <w:szCs w:val="21"/>
                <w:highlight w:val="none"/>
              </w:rPr>
            </w:pPr>
            <w:r>
              <w:rPr>
                <w:rFonts w:hint="eastAsia" w:hAnsi="宋体" w:cs="Arial"/>
                <w:b/>
                <w:bCs/>
                <w:sz w:val="21"/>
                <w:szCs w:val="21"/>
                <w:highlight w:val="none"/>
              </w:rPr>
              <w:t>合同工期</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本工程合同工期和计划开、竣工日期为承包人在投标函附录中承诺的工期和计划开、竣工日期，并在合同协议书中载明。</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391" w:name="_Toc263259787"/>
            <w:r>
              <w:rPr>
                <w:rFonts w:hint="eastAsia" w:cs="Arial"/>
                <w:b/>
                <w:bCs/>
                <w:szCs w:val="21"/>
                <w:highlight w:val="none"/>
              </w:rPr>
              <w:t>3.2</w:t>
            </w:r>
            <w:bookmarkEnd w:id="2391"/>
          </w:p>
        </w:tc>
        <w:tc>
          <w:tcPr>
            <w:tcW w:w="7364" w:type="dxa"/>
          </w:tcPr>
          <w:p>
            <w:pPr>
              <w:spacing w:after="156" w:afterLines="50" w:line="300" w:lineRule="auto"/>
              <w:outlineLvl w:val="3"/>
              <w:rPr>
                <w:rFonts w:cs="Arial"/>
                <w:b/>
                <w:bCs/>
                <w:szCs w:val="21"/>
                <w:highlight w:val="none"/>
              </w:rPr>
            </w:pPr>
            <w:bookmarkStart w:id="2392" w:name="_Toc263259788"/>
            <w:r>
              <w:rPr>
                <w:rFonts w:hint="eastAsia" w:cs="Arial"/>
                <w:b/>
                <w:bCs/>
                <w:szCs w:val="21"/>
                <w:highlight w:val="none"/>
              </w:rPr>
              <w:t>关于工期的一般规定</w:t>
            </w:r>
            <w:bookmarkEnd w:id="2392"/>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3.2.1</w:t>
            </w:r>
          </w:p>
        </w:tc>
        <w:tc>
          <w:tcPr>
            <w:tcW w:w="7364" w:type="dxa"/>
          </w:tcPr>
          <w:p>
            <w:pPr>
              <w:spacing w:after="156" w:afterLines="50" w:line="300" w:lineRule="auto"/>
              <w:rPr>
                <w:rFonts w:cs="Arial"/>
                <w:szCs w:val="21"/>
                <w:highlight w:val="none"/>
              </w:rPr>
            </w:pPr>
            <w:r>
              <w:rPr>
                <w:rFonts w:hint="eastAsia" w:cs="Arial"/>
                <w:szCs w:val="21"/>
                <w:highlight w:val="none"/>
              </w:rPr>
              <w:t>承包人在投标函中承诺的工期和计划开、竣工日期之间发生矛盾或者不一致时，以承包人承诺的工期为准。实际开工日期以通用合同条款第11.1款约定的监理人发出的开工通知中载明的开工日期为准。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3.2.2</w:t>
            </w:r>
          </w:p>
        </w:tc>
        <w:tc>
          <w:tcPr>
            <w:tcW w:w="7364" w:type="dxa"/>
          </w:tcPr>
          <w:p>
            <w:pPr>
              <w:spacing w:after="156" w:afterLines="50" w:line="300" w:lineRule="auto"/>
              <w:rPr>
                <w:rFonts w:cs="Arial"/>
                <w:szCs w:val="21"/>
                <w:highlight w:val="none"/>
              </w:rPr>
            </w:pPr>
            <w:r>
              <w:rPr>
                <w:rFonts w:hint="eastAsia" w:cs="Arial"/>
                <w:szCs w:val="21"/>
                <w:highlight w:val="none"/>
              </w:rPr>
              <w:t>如果承包人在投标函附录中承诺的工期提前于发包人在本工程招标文件中所要求的工期，承包人在施工组织设计中应当制定相应的工期保证措施，由此而增加的费用应当被认为已经包括在投标总价中。除合同另有约定外，合同履约过程中发包人不会因此再向承包人支付任何性质的技术措施费用、赶工费用或其他任何性质的提前完工奖励等费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3.2.3</w:t>
            </w:r>
          </w:p>
        </w:tc>
        <w:tc>
          <w:tcPr>
            <w:tcW w:w="7364" w:type="dxa"/>
          </w:tcPr>
          <w:p>
            <w:pPr>
              <w:spacing w:after="156" w:afterLines="50" w:line="300" w:lineRule="auto"/>
              <w:rPr>
                <w:rFonts w:cs="Arial"/>
                <w:szCs w:val="21"/>
                <w:highlight w:val="none"/>
              </w:rPr>
            </w:pPr>
            <w:r>
              <w:rPr>
                <w:rFonts w:hint="eastAsia" w:cs="Arial"/>
                <w:szCs w:val="21"/>
                <w:highlight w:val="none"/>
              </w:rPr>
              <w:t>承包人在投标函附录中所承诺的工期应当包括实施并完成本节上述2.1.2项规定的暂估价项目和上述2.1.3项规定的实际可能发生的暂列金额在内的所有工作的工期。</w:t>
            </w:r>
          </w:p>
        </w:tc>
      </w:tr>
      <w:tr>
        <w:tblPrEx>
          <w:tblCellMar>
            <w:top w:w="0" w:type="dxa"/>
            <w:left w:w="108" w:type="dxa"/>
            <w:bottom w:w="0" w:type="dxa"/>
            <w:right w:w="108" w:type="dxa"/>
          </w:tblCellMar>
        </w:tblPrEx>
        <w:tc>
          <w:tcPr>
            <w:tcW w:w="8420" w:type="dxa"/>
            <w:gridSpan w:val="2"/>
          </w:tcPr>
          <w:p>
            <w:pPr>
              <w:pStyle w:val="4"/>
              <w:rPr>
                <w:rFonts w:ascii="宋体" w:hAnsi="宋体" w:cs="Arial"/>
                <w:b w:val="0"/>
                <w:bCs w:val="0"/>
                <w:szCs w:val="21"/>
                <w:highlight w:val="none"/>
              </w:rPr>
            </w:pPr>
            <w:bookmarkStart w:id="2393" w:name="_Toc342296550"/>
            <w:bookmarkStart w:id="2394" w:name="_Toc434331537"/>
            <w:bookmarkStart w:id="2395" w:name="_Toc241459793"/>
            <w:bookmarkStart w:id="2396" w:name="_Toc13787"/>
            <w:r>
              <w:rPr>
                <w:rFonts w:hint="eastAsia" w:ascii="宋体" w:hAnsi="宋体" w:cs="Arial"/>
                <w:sz w:val="21"/>
                <w:szCs w:val="21"/>
                <w:highlight w:val="none"/>
              </w:rPr>
              <w:t xml:space="preserve">4. </w:t>
            </w:r>
            <w:r>
              <w:rPr>
                <w:rFonts w:ascii="宋体" w:hAnsi="宋体" w:cs="Arial"/>
                <w:sz w:val="21"/>
                <w:szCs w:val="21"/>
                <w:highlight w:val="none"/>
              </w:rPr>
              <w:t>质量</w:t>
            </w:r>
            <w:r>
              <w:rPr>
                <w:rFonts w:hint="eastAsia" w:ascii="宋体" w:hAnsi="宋体" w:cs="Arial"/>
                <w:sz w:val="21"/>
                <w:szCs w:val="21"/>
                <w:highlight w:val="none"/>
              </w:rPr>
              <w:t>要求</w:t>
            </w:r>
            <w:bookmarkEnd w:id="2393"/>
            <w:bookmarkEnd w:id="2394"/>
            <w:bookmarkEnd w:id="2395"/>
            <w:bookmarkEnd w:id="2396"/>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b/>
                <w:bCs/>
                <w:szCs w:val="21"/>
                <w:highlight w:val="none"/>
              </w:rPr>
              <w:t>4</w:t>
            </w:r>
            <w:r>
              <w:rPr>
                <w:rFonts w:cs="Arial"/>
                <w:b/>
                <w:bCs/>
                <w:szCs w:val="21"/>
                <w:highlight w:val="none"/>
              </w:rPr>
              <w:t>.1</w:t>
            </w:r>
          </w:p>
        </w:tc>
        <w:tc>
          <w:tcPr>
            <w:tcW w:w="7364" w:type="dxa"/>
          </w:tcPr>
          <w:p>
            <w:pPr>
              <w:pStyle w:val="29"/>
              <w:spacing w:after="156" w:afterLines="50" w:line="300" w:lineRule="auto"/>
              <w:rPr>
                <w:rFonts w:hAnsi="宋体" w:cs="Arial"/>
                <w:sz w:val="21"/>
                <w:szCs w:val="21"/>
                <w:highlight w:val="none"/>
              </w:rPr>
            </w:pPr>
            <w:r>
              <w:rPr>
                <w:rFonts w:hAnsi="宋体" w:cs="Arial"/>
                <w:b/>
                <w:bCs/>
                <w:szCs w:val="21"/>
                <w:highlight w:val="none"/>
              </w:rPr>
              <w:t>质量</w:t>
            </w:r>
            <w:r>
              <w:rPr>
                <w:rFonts w:hint="eastAsia" w:hAnsi="宋体" w:cs="Arial"/>
                <w:b/>
                <w:bCs/>
                <w:szCs w:val="21"/>
                <w:highlight w:val="none"/>
              </w:rPr>
              <w:t>标准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4.1.1</w:t>
            </w:r>
          </w:p>
        </w:tc>
        <w:tc>
          <w:tcPr>
            <w:tcW w:w="7364" w:type="dxa"/>
          </w:tcPr>
          <w:p>
            <w:pPr>
              <w:spacing w:after="156" w:afterLines="50" w:line="300" w:lineRule="auto"/>
              <w:rPr>
                <w:rFonts w:cs="Arial"/>
                <w:szCs w:val="21"/>
                <w:highlight w:val="none"/>
              </w:rPr>
            </w:pPr>
            <w:r>
              <w:rPr>
                <w:rFonts w:hint="eastAsia" w:cs="Arial"/>
                <w:szCs w:val="21"/>
                <w:highlight w:val="none"/>
              </w:rPr>
              <w:t>本工程要求的质量标准为</w:t>
            </w:r>
            <w:r>
              <w:rPr>
                <w:rFonts w:hint="eastAsia" w:cs="Arial"/>
                <w:szCs w:val="21"/>
                <w:highlight w:val="none"/>
                <w:u w:val="single"/>
              </w:rPr>
              <w:t xml:space="preserve">符合现行国家有关工程施工验收规范和标准的要求（合格）。  </w:t>
            </w:r>
          </w:p>
        </w:tc>
      </w:tr>
      <w:tr>
        <w:tc>
          <w:tcPr>
            <w:tcW w:w="1056" w:type="dxa"/>
          </w:tcPr>
          <w:p>
            <w:pPr>
              <w:spacing w:after="156" w:afterLines="50" w:line="300" w:lineRule="auto"/>
              <w:rPr>
                <w:rFonts w:cs="Arial"/>
                <w:szCs w:val="21"/>
                <w:highlight w:val="none"/>
              </w:rPr>
            </w:pPr>
            <w:r>
              <w:rPr>
                <w:rFonts w:hint="eastAsia" w:cs="Arial"/>
                <w:b/>
                <w:bCs/>
                <w:szCs w:val="21"/>
                <w:highlight w:val="none"/>
              </w:rPr>
              <w:t>4</w:t>
            </w:r>
            <w:r>
              <w:rPr>
                <w:rFonts w:cs="Arial"/>
                <w:b/>
                <w:bCs/>
                <w:szCs w:val="21"/>
                <w:highlight w:val="none"/>
              </w:rPr>
              <w:t>.</w:t>
            </w:r>
            <w:r>
              <w:rPr>
                <w:rFonts w:hint="eastAsia" w:cs="Arial"/>
                <w:b/>
                <w:bCs/>
                <w:szCs w:val="21"/>
                <w:highlight w:val="none"/>
              </w:rPr>
              <w:t>2</w:t>
            </w:r>
          </w:p>
        </w:tc>
        <w:tc>
          <w:tcPr>
            <w:tcW w:w="7364" w:type="dxa"/>
          </w:tcPr>
          <w:p>
            <w:pPr>
              <w:pStyle w:val="29"/>
              <w:spacing w:after="156" w:afterLines="50" w:line="300" w:lineRule="auto"/>
              <w:rPr>
                <w:rFonts w:hAnsi="宋体" w:cs="Arial"/>
                <w:sz w:val="21"/>
                <w:szCs w:val="21"/>
                <w:highlight w:val="none"/>
              </w:rPr>
            </w:pPr>
            <w:r>
              <w:rPr>
                <w:rFonts w:hAnsi="宋体" w:cs="Arial"/>
                <w:b/>
                <w:bCs/>
                <w:sz w:val="21"/>
                <w:szCs w:val="21"/>
                <w:highlight w:val="none"/>
              </w:rPr>
              <w:t>特殊</w:t>
            </w:r>
            <w:r>
              <w:rPr>
                <w:rFonts w:hint="eastAsia" w:hAnsi="宋体" w:cs="Arial"/>
                <w:b/>
                <w:bCs/>
                <w:sz w:val="21"/>
                <w:szCs w:val="21"/>
                <w:highlight w:val="none"/>
              </w:rPr>
              <w:t>质量</w:t>
            </w:r>
            <w:r>
              <w:rPr>
                <w:rFonts w:hAnsi="宋体" w:cs="Arial"/>
                <w:b/>
                <w:bCs/>
                <w:sz w:val="21"/>
                <w:szCs w:val="21"/>
                <w:highlight w:val="none"/>
              </w:rPr>
              <w:t>要求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4.2.1</w:t>
            </w:r>
          </w:p>
        </w:tc>
        <w:tc>
          <w:tcPr>
            <w:tcW w:w="7364" w:type="dxa"/>
          </w:tcPr>
          <w:p>
            <w:pPr>
              <w:spacing w:after="156" w:afterLines="50" w:line="300" w:lineRule="auto"/>
              <w:rPr>
                <w:rFonts w:cs="Arial"/>
                <w:szCs w:val="21"/>
                <w:highlight w:val="none"/>
              </w:rPr>
            </w:pPr>
            <w:r>
              <w:rPr>
                <w:rFonts w:hint="eastAsia" w:cs="Arial"/>
                <w:szCs w:val="21"/>
                <w:highlight w:val="none"/>
              </w:rPr>
              <w:t>有关本工程质量方面的特殊要求如下：</w:t>
            </w:r>
          </w:p>
          <w:p>
            <w:pPr>
              <w:spacing w:after="156" w:afterLines="50" w:line="300" w:lineRule="auto"/>
              <w:rPr>
                <w:rFonts w:cs="Arial"/>
                <w:szCs w:val="21"/>
                <w:highlight w:val="none"/>
              </w:rPr>
            </w:pP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397" w:name="_Toc241459794"/>
            <w:bookmarkStart w:id="2398" w:name="_Toc434331538"/>
            <w:bookmarkStart w:id="2399" w:name="_Toc14101"/>
            <w:bookmarkStart w:id="2400" w:name="_Toc342296551"/>
            <w:r>
              <w:rPr>
                <w:rFonts w:hint="eastAsia" w:ascii="宋体" w:hAnsi="宋体" w:cs="Arial"/>
                <w:sz w:val="21"/>
                <w:szCs w:val="21"/>
                <w:highlight w:val="none"/>
              </w:rPr>
              <w:t xml:space="preserve">5. </w:t>
            </w:r>
            <w:r>
              <w:rPr>
                <w:rFonts w:ascii="宋体" w:hAnsi="宋体" w:cs="Arial"/>
                <w:sz w:val="21"/>
                <w:szCs w:val="21"/>
                <w:highlight w:val="none"/>
              </w:rPr>
              <w:t>适用规范</w:t>
            </w:r>
            <w:r>
              <w:rPr>
                <w:rFonts w:hint="eastAsia" w:ascii="宋体" w:hAnsi="宋体" w:cs="Arial"/>
                <w:sz w:val="21"/>
                <w:szCs w:val="21"/>
                <w:highlight w:val="none"/>
              </w:rPr>
              <w:t>和标准</w:t>
            </w:r>
            <w:bookmarkEnd w:id="2397"/>
            <w:bookmarkEnd w:id="2398"/>
            <w:bookmarkEnd w:id="2399"/>
            <w:bookmarkEnd w:id="2400"/>
          </w:p>
        </w:tc>
      </w:tr>
      <w:tr>
        <w:tc>
          <w:tcPr>
            <w:tcW w:w="1056" w:type="dxa"/>
          </w:tcPr>
          <w:p>
            <w:pPr>
              <w:spacing w:after="156" w:afterLines="50" w:line="300" w:lineRule="auto"/>
              <w:rPr>
                <w:rFonts w:cs="Arial"/>
                <w:szCs w:val="21"/>
                <w:highlight w:val="none"/>
              </w:rPr>
            </w:pPr>
            <w:r>
              <w:rPr>
                <w:rFonts w:hint="eastAsia" w:cs="Arial"/>
                <w:b/>
                <w:bCs/>
                <w:szCs w:val="21"/>
                <w:highlight w:val="none"/>
              </w:rPr>
              <w:t>5</w:t>
            </w:r>
            <w:r>
              <w:rPr>
                <w:rFonts w:cs="Arial"/>
                <w:b/>
                <w:bCs/>
                <w:szCs w:val="21"/>
                <w:highlight w:val="none"/>
              </w:rPr>
              <w:t>.1</w:t>
            </w:r>
          </w:p>
        </w:tc>
        <w:tc>
          <w:tcPr>
            <w:tcW w:w="7364" w:type="dxa"/>
          </w:tcPr>
          <w:p>
            <w:pPr>
              <w:pStyle w:val="29"/>
              <w:spacing w:after="156" w:afterLines="50" w:line="300" w:lineRule="auto"/>
              <w:rPr>
                <w:rFonts w:hAnsi="宋体" w:cs="Arial"/>
                <w:sz w:val="21"/>
                <w:szCs w:val="21"/>
                <w:highlight w:val="none"/>
              </w:rPr>
            </w:pPr>
            <w:r>
              <w:rPr>
                <w:rFonts w:hAnsi="宋体" w:cs="Arial"/>
                <w:b/>
                <w:bCs/>
                <w:sz w:val="21"/>
                <w:szCs w:val="21"/>
                <w:highlight w:val="none"/>
              </w:rPr>
              <w:t>适用的规范</w:t>
            </w:r>
            <w:r>
              <w:rPr>
                <w:rFonts w:hint="eastAsia" w:hAnsi="宋体" w:cs="Arial"/>
                <w:b/>
                <w:bCs/>
                <w:sz w:val="21"/>
                <w:szCs w:val="21"/>
                <w:highlight w:val="none"/>
              </w:rPr>
              <w:t>、标准和规程</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5.1.1</w:t>
            </w:r>
          </w:p>
        </w:tc>
        <w:tc>
          <w:tcPr>
            <w:tcW w:w="7364"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除合同另有约定外，本工程适用现行国家、行业和地方规范、标准和规程。适用于本工程的国家、行业和地方的规范、标准和规程等的名录见本章第三节。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spacing w:after="156" w:afterLines="50" w:line="300" w:lineRule="auto"/>
              <w:rPr>
                <w:rFonts w:cs="Arial"/>
                <w:szCs w:val="21"/>
                <w:highlight w:val="none"/>
              </w:rPr>
            </w:pPr>
            <w:r>
              <w:rPr>
                <w:rFonts w:ascii="Arial" w:cs="Arial"/>
                <w:szCs w:val="21"/>
                <w:highlight w:val="none"/>
              </w:rPr>
              <w:t>构成合同文件的任何内容与</w:t>
            </w:r>
            <w:r>
              <w:rPr>
                <w:rFonts w:hint="eastAsia" w:ascii="Arial" w:cs="Arial"/>
                <w:szCs w:val="21"/>
                <w:highlight w:val="none"/>
              </w:rPr>
              <w:t>适用的</w:t>
            </w:r>
            <w:r>
              <w:rPr>
                <w:rFonts w:ascii="Arial" w:cs="Arial"/>
                <w:szCs w:val="21"/>
                <w:highlight w:val="none"/>
              </w:rPr>
              <w:t>规范、标准和规程之间出现矛盾，承包人应书面要求</w:t>
            </w:r>
            <w:r>
              <w:rPr>
                <w:rFonts w:hint="eastAsia" w:ascii="Arial" w:cs="Arial"/>
                <w:szCs w:val="21"/>
                <w:highlight w:val="none"/>
              </w:rPr>
              <w:t>监理</w:t>
            </w:r>
            <w:r>
              <w:rPr>
                <w:rFonts w:ascii="Arial" w:cs="Arial"/>
                <w:szCs w:val="21"/>
                <w:highlight w:val="none"/>
              </w:rPr>
              <w:t>人予以澄清，除</w:t>
            </w:r>
            <w:r>
              <w:rPr>
                <w:rFonts w:hint="eastAsia" w:ascii="Arial" w:cs="Arial"/>
                <w:szCs w:val="21"/>
                <w:highlight w:val="none"/>
              </w:rPr>
              <w:t>监理</w:t>
            </w:r>
            <w:r>
              <w:rPr>
                <w:rFonts w:ascii="Arial" w:cs="Arial"/>
                <w:szCs w:val="21"/>
                <w:highlight w:val="none"/>
              </w:rPr>
              <w:t>人有特别指示</w:t>
            </w:r>
            <w:r>
              <w:rPr>
                <w:rFonts w:hint="eastAsia" w:ascii="Arial" w:cs="Arial"/>
                <w:szCs w:val="21"/>
                <w:highlight w:val="none"/>
              </w:rPr>
              <w:t>外</w:t>
            </w:r>
            <w:r>
              <w:rPr>
                <w:rFonts w:ascii="Arial" w:cs="Arial"/>
                <w:szCs w:val="21"/>
                <w:highlight w:val="none"/>
              </w:rPr>
              <w:t>，承包人应按照其中要求最严格的标准执行。</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5</w:t>
            </w:r>
            <w:r>
              <w:rPr>
                <w:rFonts w:cs="Arial"/>
                <w:szCs w:val="21"/>
                <w:highlight w:val="none"/>
              </w:rPr>
              <w:t>.1.</w:t>
            </w:r>
            <w:r>
              <w:rPr>
                <w:rFonts w:hint="eastAsia" w:cs="Arial"/>
                <w:szCs w:val="21"/>
                <w:highlight w:val="none"/>
              </w:rPr>
              <w:t>3</w:t>
            </w:r>
          </w:p>
        </w:tc>
        <w:tc>
          <w:tcPr>
            <w:tcW w:w="7364" w:type="dxa"/>
          </w:tcPr>
          <w:p>
            <w:pPr>
              <w:spacing w:after="156" w:afterLines="50" w:line="300" w:lineRule="auto"/>
              <w:rPr>
                <w:rFonts w:ascii="Arial" w:cs="Arial"/>
                <w:szCs w:val="21"/>
                <w:highlight w:val="none"/>
              </w:rPr>
            </w:pPr>
            <w:r>
              <w:rPr>
                <w:rFonts w:hint="eastAsia" w:ascii="Arial" w:cs="Arial"/>
                <w:szCs w:val="21"/>
                <w:highlight w:val="none"/>
              </w:rPr>
              <w:t>除合同另有约定外，</w:t>
            </w:r>
            <w:r>
              <w:rPr>
                <w:rFonts w:ascii="Arial" w:cs="Arial"/>
                <w:szCs w:val="21"/>
                <w:highlight w:val="none"/>
              </w:rPr>
              <w:t>材料、施工工艺和本工程都应依照本技术标准和要求以及</w:t>
            </w:r>
            <w:r>
              <w:rPr>
                <w:rFonts w:hint="eastAsia" w:ascii="Arial" w:cs="Arial"/>
                <w:szCs w:val="21"/>
                <w:highlight w:val="none"/>
              </w:rPr>
              <w:t>适用的</w:t>
            </w:r>
            <w:r>
              <w:rPr>
                <w:rFonts w:ascii="Arial" w:cs="Arial"/>
                <w:szCs w:val="21"/>
                <w:highlight w:val="none"/>
              </w:rPr>
              <w:t>现行规范、标准和规程的最新版本执行</w:t>
            </w:r>
            <w:r>
              <w:rPr>
                <w:rFonts w:hint="eastAsia" w:ascii="Arial" w:cs="Arial"/>
                <w:szCs w:val="21"/>
                <w:highlight w:val="none"/>
              </w:rPr>
              <w:t>。</w:t>
            </w:r>
            <w:r>
              <w:rPr>
                <w:rFonts w:hint="eastAsia" w:cs="Arial"/>
                <w:szCs w:val="21"/>
                <w:highlight w:val="none"/>
              </w:rPr>
              <w:t>若</w:t>
            </w:r>
            <w:r>
              <w:rPr>
                <w:rFonts w:hint="eastAsia" w:ascii="Arial" w:cs="Arial"/>
                <w:szCs w:val="21"/>
                <w:highlight w:val="none"/>
              </w:rPr>
              <w:t>适用的</w:t>
            </w:r>
            <w:r>
              <w:rPr>
                <w:rFonts w:ascii="Arial" w:cs="Arial"/>
                <w:szCs w:val="21"/>
                <w:highlight w:val="none"/>
              </w:rPr>
              <w:t>现行规范、标准和规程的最新版本</w:t>
            </w:r>
            <w:r>
              <w:rPr>
                <w:rFonts w:hint="eastAsia" w:ascii="Arial" w:cs="Arial"/>
                <w:szCs w:val="21"/>
                <w:highlight w:val="none"/>
              </w:rPr>
              <w:t>是</w:t>
            </w:r>
            <w:r>
              <w:rPr>
                <w:rFonts w:hint="eastAsia" w:cs="Arial"/>
                <w:szCs w:val="21"/>
                <w:highlight w:val="none"/>
              </w:rPr>
              <w:t>在基准日后颁布的，且相应标准发生变更并成为合同文件中最严格的标准，</w:t>
            </w:r>
            <w:r>
              <w:rPr>
                <w:rFonts w:hint="eastAsia"/>
                <w:szCs w:val="21"/>
                <w:highlight w:val="none"/>
              </w:rPr>
              <w:t>则应按合同条款第</w:t>
            </w:r>
            <w:r>
              <w:rPr>
                <w:szCs w:val="21"/>
                <w:highlight w:val="none"/>
              </w:rPr>
              <w:t>15</w:t>
            </w:r>
            <w:r>
              <w:rPr>
                <w:rFonts w:hint="eastAsia"/>
                <w:szCs w:val="21"/>
                <w:highlight w:val="none"/>
              </w:rPr>
              <w:t>条的约定办理。</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01" w:name="_Toc263259791"/>
            <w:r>
              <w:rPr>
                <w:rFonts w:hint="eastAsia" w:cs="Arial"/>
                <w:b/>
                <w:bCs/>
                <w:szCs w:val="21"/>
                <w:highlight w:val="none"/>
              </w:rPr>
              <w:t>5</w:t>
            </w:r>
            <w:r>
              <w:rPr>
                <w:rFonts w:cs="Arial"/>
                <w:b/>
                <w:bCs/>
                <w:szCs w:val="21"/>
                <w:highlight w:val="none"/>
              </w:rPr>
              <w:t>.2</w:t>
            </w:r>
            <w:bookmarkEnd w:id="2401"/>
          </w:p>
        </w:tc>
        <w:tc>
          <w:tcPr>
            <w:tcW w:w="7364" w:type="dxa"/>
          </w:tcPr>
          <w:p>
            <w:pPr>
              <w:spacing w:after="156" w:afterLines="50" w:line="300" w:lineRule="auto"/>
              <w:outlineLvl w:val="3"/>
              <w:rPr>
                <w:rFonts w:cs="Arial"/>
                <w:b/>
                <w:bCs/>
                <w:szCs w:val="21"/>
                <w:highlight w:val="none"/>
              </w:rPr>
            </w:pPr>
            <w:bookmarkStart w:id="2402" w:name="_Toc263259792"/>
            <w:r>
              <w:rPr>
                <w:rFonts w:cs="Arial"/>
                <w:b/>
                <w:bCs/>
                <w:szCs w:val="21"/>
                <w:highlight w:val="none"/>
              </w:rPr>
              <w:t>特殊技术</w:t>
            </w:r>
            <w:r>
              <w:rPr>
                <w:rFonts w:hint="eastAsia" w:cs="Arial"/>
                <w:b/>
                <w:bCs/>
                <w:szCs w:val="21"/>
                <w:highlight w:val="none"/>
              </w:rPr>
              <w:t>标准和要求</w:t>
            </w:r>
            <w:bookmarkEnd w:id="2402"/>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5.2.1</w:t>
            </w:r>
          </w:p>
        </w:tc>
        <w:tc>
          <w:tcPr>
            <w:tcW w:w="7364" w:type="dxa"/>
          </w:tcPr>
          <w:p>
            <w:pPr>
              <w:spacing w:after="156" w:afterLines="50" w:line="300" w:lineRule="auto"/>
              <w:rPr>
                <w:szCs w:val="21"/>
                <w:highlight w:val="none"/>
              </w:rPr>
            </w:pPr>
            <w:r>
              <w:rPr>
                <w:rFonts w:hint="eastAsia" w:cs="Arial"/>
                <w:szCs w:val="21"/>
                <w:highlight w:val="none"/>
              </w:rPr>
              <w:t>适用本工程的特殊技术标准和要求见本章第二节。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5</w:t>
            </w:r>
            <w:r>
              <w:rPr>
                <w:rFonts w:cs="Arial"/>
                <w:szCs w:val="21"/>
                <w:highlight w:val="none"/>
              </w:rPr>
              <w:t>.2.2</w:t>
            </w:r>
          </w:p>
        </w:tc>
        <w:tc>
          <w:tcPr>
            <w:tcW w:w="7364" w:type="dxa"/>
          </w:tcPr>
          <w:p>
            <w:pPr>
              <w:spacing w:after="156" w:afterLines="50" w:line="300" w:lineRule="auto"/>
              <w:rPr>
                <w:rFonts w:cs="Arial"/>
                <w:szCs w:val="21"/>
                <w:highlight w:val="none"/>
              </w:rPr>
            </w:pPr>
            <w:r>
              <w:rPr>
                <w:rFonts w:hint="eastAsia" w:cs="Arial"/>
                <w:szCs w:val="21"/>
                <w:highlight w:val="none"/>
              </w:rPr>
              <w:t>有合同约束力的</w:t>
            </w:r>
            <w:r>
              <w:rPr>
                <w:rFonts w:cs="Arial"/>
                <w:szCs w:val="21"/>
                <w:highlight w:val="none"/>
              </w:rPr>
              <w:t>图纸和其他设计文件中的有关</w:t>
            </w:r>
            <w:r>
              <w:rPr>
                <w:rFonts w:hint="eastAsia" w:cs="Arial"/>
                <w:szCs w:val="21"/>
                <w:highlight w:val="none"/>
              </w:rPr>
              <w:t>文字说明是本节的组成内容。</w:t>
            </w:r>
          </w:p>
        </w:tc>
      </w:tr>
      <w:tr>
        <w:tc>
          <w:tcPr>
            <w:tcW w:w="8420" w:type="dxa"/>
            <w:gridSpan w:val="2"/>
          </w:tcPr>
          <w:p>
            <w:pPr>
              <w:pStyle w:val="4"/>
              <w:rPr>
                <w:rFonts w:ascii="宋体" w:hAnsi="宋体" w:cs="Arial"/>
                <w:b w:val="0"/>
                <w:bCs w:val="0"/>
                <w:szCs w:val="21"/>
                <w:highlight w:val="none"/>
              </w:rPr>
            </w:pPr>
            <w:bookmarkStart w:id="2403" w:name="_Toc434331539"/>
            <w:bookmarkStart w:id="2404" w:name="_Toc31347"/>
            <w:bookmarkStart w:id="2405" w:name="_Toc342296552"/>
            <w:r>
              <w:rPr>
                <w:rFonts w:hint="eastAsia" w:ascii="宋体" w:hAnsi="宋体" w:cs="Arial"/>
                <w:sz w:val="21"/>
                <w:szCs w:val="21"/>
                <w:highlight w:val="none"/>
              </w:rPr>
              <w:t>6.</w:t>
            </w:r>
            <w:bookmarkStart w:id="2406" w:name="_Toc241459795"/>
            <w:r>
              <w:rPr>
                <w:rFonts w:ascii="宋体" w:hAnsi="宋体" w:cs="Arial"/>
                <w:sz w:val="21"/>
                <w:szCs w:val="21"/>
                <w:highlight w:val="none"/>
              </w:rPr>
              <w:t xml:space="preserve"> 安全文明施工</w:t>
            </w:r>
            <w:bookmarkEnd w:id="2403"/>
            <w:bookmarkEnd w:id="2404"/>
            <w:bookmarkEnd w:id="2405"/>
            <w:bookmarkEnd w:id="2406"/>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07" w:name="_Toc263259794"/>
            <w:r>
              <w:rPr>
                <w:rFonts w:hint="eastAsia" w:cs="Arial"/>
                <w:b/>
                <w:bCs/>
                <w:szCs w:val="21"/>
                <w:highlight w:val="none"/>
              </w:rPr>
              <w:t>6</w:t>
            </w:r>
            <w:r>
              <w:rPr>
                <w:rFonts w:cs="Arial"/>
                <w:b/>
                <w:bCs/>
                <w:szCs w:val="21"/>
                <w:highlight w:val="none"/>
              </w:rPr>
              <w:t>.1</w:t>
            </w:r>
            <w:bookmarkEnd w:id="2407"/>
          </w:p>
        </w:tc>
        <w:tc>
          <w:tcPr>
            <w:tcW w:w="7364" w:type="dxa"/>
          </w:tcPr>
          <w:p>
            <w:pPr>
              <w:spacing w:after="156" w:afterLines="50" w:line="300" w:lineRule="auto"/>
              <w:outlineLvl w:val="3"/>
              <w:rPr>
                <w:rFonts w:cs="Arial"/>
                <w:b/>
                <w:bCs/>
                <w:szCs w:val="21"/>
                <w:highlight w:val="none"/>
              </w:rPr>
            </w:pPr>
            <w:bookmarkStart w:id="2408" w:name="_Toc263259795"/>
            <w:r>
              <w:rPr>
                <w:rFonts w:hint="eastAsia" w:cs="Arial"/>
                <w:b/>
                <w:bCs/>
                <w:szCs w:val="21"/>
                <w:highlight w:val="none"/>
              </w:rPr>
              <w:t>安全防护</w:t>
            </w:r>
            <w:bookmarkEnd w:id="240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6.1.1</w:t>
            </w:r>
          </w:p>
        </w:tc>
        <w:tc>
          <w:tcPr>
            <w:tcW w:w="7364" w:type="dxa"/>
          </w:tcPr>
          <w:p>
            <w:pPr>
              <w:spacing w:after="156" w:afterLines="50" w:line="300" w:lineRule="auto"/>
              <w:rPr>
                <w:rFonts w:cs="Arial"/>
                <w:szCs w:val="21"/>
                <w:highlight w:val="none"/>
              </w:rPr>
            </w:pPr>
            <w:r>
              <w:rPr>
                <w:rFonts w:hint="eastAsia" w:cs="Arial"/>
                <w:szCs w:val="21"/>
                <w:highlight w:val="none"/>
              </w:rPr>
              <w:t>在工程施工、竣工、交付及修补任何缺陷的过程中，承包人应当始终遵守国家和地方有关安全生产的法律、法规、规范、标准和规程等，按照</w:t>
            </w:r>
            <w:r>
              <w:rPr>
                <w:rFonts w:hint="eastAsia"/>
                <w:szCs w:val="21"/>
                <w:highlight w:val="none"/>
              </w:rPr>
              <w:t>通用合同条款第</w:t>
            </w:r>
            <w:r>
              <w:rPr>
                <w:rFonts w:hint="eastAsia"/>
                <w:bCs/>
                <w:szCs w:val="21"/>
                <w:highlight w:val="none"/>
              </w:rPr>
              <w:t>9.2</w:t>
            </w:r>
            <w:r>
              <w:rPr>
                <w:rFonts w:hint="eastAsia"/>
                <w:szCs w:val="21"/>
                <w:highlight w:val="none"/>
              </w:rPr>
              <w:t>款的约定履行其安全施工职责。</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.2</w:t>
            </w:r>
          </w:p>
        </w:tc>
        <w:tc>
          <w:tcPr>
            <w:tcW w:w="7364" w:type="dxa"/>
          </w:tcPr>
          <w:p>
            <w:pPr>
              <w:spacing w:after="156" w:afterLines="50" w:line="300" w:lineRule="auto"/>
              <w:rPr>
                <w:szCs w:val="21"/>
                <w:highlight w:val="none"/>
              </w:rPr>
            </w:pPr>
            <w:r>
              <w:rPr>
                <w:rFonts w:hint="eastAsia"/>
                <w:szCs w:val="21"/>
                <w:highlight w:val="none"/>
              </w:rPr>
              <w:t>承包人应坚持“安全第一，预防为主”的方针，建立、健全安全生产责任制度和安全生产教育培训制度。在整个工程施工期间，承包人应在施工场地（现场）设立、提供和维护并在有关工作完成或竣工后撤除：</w:t>
            </w:r>
          </w:p>
          <w:p>
            <w:pPr>
              <w:numPr>
                <w:ilvl w:val="0"/>
                <w:numId w:val="24"/>
              </w:numPr>
              <w:spacing w:after="156" w:afterLines="50" w:line="300" w:lineRule="auto"/>
              <w:rPr>
                <w:szCs w:val="21"/>
                <w:highlight w:val="none"/>
              </w:rPr>
            </w:pPr>
            <w:r>
              <w:rPr>
                <w:rFonts w:hint="eastAsia"/>
                <w:szCs w:val="21"/>
                <w:highlight w:val="none"/>
              </w:rPr>
              <w:t>设立在现场入口显著位置的现场施工总平面图、总平面管理、安全生产、文明施工、环境保护、质量控制、材料管理等的规章制度和主要参建单位名称和工程概况等说明的图板；</w:t>
            </w:r>
          </w:p>
          <w:p>
            <w:pPr>
              <w:numPr>
                <w:ilvl w:val="0"/>
                <w:numId w:val="24"/>
              </w:numPr>
              <w:spacing w:after="156" w:afterLines="50" w:line="300" w:lineRule="auto"/>
              <w:rPr>
                <w:szCs w:val="21"/>
                <w:highlight w:val="none"/>
              </w:rPr>
            </w:pPr>
            <w:r>
              <w:rPr>
                <w:rFonts w:hint="eastAsia"/>
                <w:szCs w:val="21"/>
                <w:highlight w:val="none"/>
              </w:rPr>
              <w:t>为确保工程安全施工须设立的足够的标志、宣传画、标语、指示牌、警告牌、火警、匪警和急救电话提示牌等等；</w:t>
            </w:r>
          </w:p>
          <w:p>
            <w:pPr>
              <w:numPr>
                <w:ilvl w:val="0"/>
                <w:numId w:val="24"/>
              </w:numPr>
              <w:spacing w:after="156" w:afterLines="50" w:line="300" w:lineRule="auto"/>
              <w:rPr>
                <w:szCs w:val="21"/>
                <w:highlight w:val="none"/>
              </w:rPr>
            </w:pPr>
            <w:r>
              <w:rPr>
                <w:rFonts w:hint="eastAsia"/>
                <w:szCs w:val="21"/>
                <w:highlight w:val="none"/>
              </w:rPr>
              <w:t>洞口和临边位置的安全防护设施，包括护身栏杆、脚手架、洞口盖板和加筋、竖井防护栏杆、防护棚、防护网、坡道等等；</w:t>
            </w:r>
          </w:p>
          <w:p>
            <w:pPr>
              <w:numPr>
                <w:ilvl w:val="0"/>
                <w:numId w:val="24"/>
              </w:numPr>
              <w:spacing w:after="156" w:afterLines="50" w:line="300" w:lineRule="auto"/>
              <w:rPr>
                <w:szCs w:val="21"/>
                <w:highlight w:val="none"/>
              </w:rPr>
            </w:pPr>
            <w:r>
              <w:rPr>
                <w:rFonts w:hint="eastAsia"/>
                <w:szCs w:val="21"/>
                <w:highlight w:val="none"/>
              </w:rPr>
              <w:t>安全带、安全绳、安全帽、安全网、绝缘鞋、绝缘手套、防护口罩和防护衣等安全生产用品；</w:t>
            </w:r>
          </w:p>
          <w:p>
            <w:pPr>
              <w:numPr>
                <w:ilvl w:val="0"/>
                <w:numId w:val="24"/>
              </w:numPr>
              <w:spacing w:after="156" w:afterLines="50" w:line="300" w:lineRule="auto"/>
              <w:rPr>
                <w:szCs w:val="21"/>
                <w:highlight w:val="none"/>
              </w:rPr>
            </w:pPr>
            <w:r>
              <w:rPr>
                <w:rFonts w:hint="eastAsia"/>
                <w:szCs w:val="21"/>
                <w:highlight w:val="none"/>
              </w:rPr>
              <w:t>所有机械设备包括各类电动工具的安全保护和接地装置和操作说明；</w:t>
            </w:r>
          </w:p>
          <w:p>
            <w:pPr>
              <w:numPr>
                <w:ilvl w:val="0"/>
                <w:numId w:val="24"/>
              </w:numPr>
              <w:spacing w:after="156" w:afterLines="50" w:line="300" w:lineRule="auto"/>
              <w:rPr>
                <w:szCs w:val="21"/>
                <w:highlight w:val="none"/>
              </w:rPr>
            </w:pPr>
            <w:r>
              <w:rPr>
                <w:rFonts w:hint="eastAsia"/>
                <w:szCs w:val="21"/>
                <w:highlight w:val="none"/>
              </w:rPr>
              <w:t>装备良好的临时急救站和配备称职的医护人员；</w:t>
            </w:r>
          </w:p>
          <w:p>
            <w:pPr>
              <w:numPr>
                <w:ilvl w:val="0"/>
                <w:numId w:val="24"/>
              </w:numPr>
              <w:spacing w:after="156" w:afterLines="50" w:line="300" w:lineRule="auto"/>
              <w:rPr>
                <w:szCs w:val="21"/>
                <w:highlight w:val="none"/>
              </w:rPr>
            </w:pPr>
            <w:r>
              <w:rPr>
                <w:rFonts w:hint="eastAsia"/>
                <w:szCs w:val="21"/>
                <w:highlight w:val="none"/>
              </w:rPr>
              <w:t>主要作业场所和临时安全疏散通道24小时36伏安全照明和必要的警示等以防止各种可能的事故；</w:t>
            </w:r>
          </w:p>
          <w:p>
            <w:pPr>
              <w:numPr>
                <w:ilvl w:val="0"/>
                <w:numId w:val="24"/>
              </w:numPr>
              <w:spacing w:after="156" w:afterLines="50" w:line="300" w:lineRule="auto"/>
              <w:rPr>
                <w:rFonts w:cs="Arial"/>
                <w:szCs w:val="21"/>
                <w:highlight w:val="none"/>
              </w:rPr>
            </w:pPr>
            <w:r>
              <w:rPr>
                <w:rFonts w:hint="eastAsia"/>
                <w:szCs w:val="21"/>
                <w:highlight w:val="none"/>
              </w:rPr>
              <w:t>足够数量的和合格的手提灭火器；</w:t>
            </w:r>
          </w:p>
          <w:p>
            <w:pPr>
              <w:numPr>
                <w:ilvl w:val="0"/>
                <w:numId w:val="24"/>
              </w:numPr>
              <w:spacing w:after="156" w:afterLines="50" w:line="300" w:lineRule="auto"/>
              <w:rPr>
                <w:rFonts w:cs="Arial"/>
                <w:szCs w:val="21"/>
                <w:highlight w:val="none"/>
              </w:rPr>
            </w:pPr>
            <w:r>
              <w:rPr>
                <w:rFonts w:hint="eastAsia"/>
                <w:szCs w:val="21"/>
                <w:highlight w:val="none"/>
              </w:rPr>
              <w:t>装备良好的易燃易爆物品仓库和相应的使用管理制度；</w:t>
            </w:r>
          </w:p>
          <w:p>
            <w:pPr>
              <w:numPr>
                <w:ilvl w:val="0"/>
                <w:numId w:val="24"/>
              </w:numPr>
              <w:spacing w:after="156" w:afterLines="50" w:line="300" w:lineRule="auto"/>
              <w:rPr>
                <w:rFonts w:cs="Arial"/>
                <w:szCs w:val="21"/>
                <w:highlight w:val="none"/>
              </w:rPr>
            </w:pPr>
            <w:r>
              <w:rPr>
                <w:rFonts w:hint="eastAsia"/>
                <w:szCs w:val="21"/>
                <w:highlight w:val="none"/>
              </w:rPr>
              <w:t>对涉及明火施工的工作制定诸如用火证等的管理制度；</w:t>
            </w:r>
          </w:p>
          <w:p>
            <w:pPr>
              <w:numPr>
                <w:ilvl w:val="0"/>
                <w:numId w:val="24"/>
              </w:numPr>
              <w:spacing w:after="156" w:afterLines="50" w:line="300" w:lineRule="auto"/>
              <w:rPr>
                <w:rFonts w:cs="Arial"/>
                <w:szCs w:val="21"/>
                <w:highlight w:val="none"/>
              </w:rPr>
            </w:pPr>
            <w:r>
              <w:rPr>
                <w:rFonts w:hint="eastAsia"/>
                <w:szCs w:val="21"/>
                <w:highlight w:val="none"/>
              </w:rPr>
              <w:t>其他：</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.3</w:t>
            </w:r>
          </w:p>
        </w:tc>
        <w:tc>
          <w:tcPr>
            <w:tcW w:w="7364" w:type="dxa"/>
          </w:tcPr>
          <w:p>
            <w:pPr>
              <w:spacing w:after="156" w:afterLines="50" w:line="300" w:lineRule="auto"/>
              <w:rPr>
                <w:rFonts w:cs="Arial"/>
                <w:szCs w:val="21"/>
                <w:highlight w:val="none"/>
              </w:rPr>
            </w:pPr>
            <w:r>
              <w:rPr>
                <w:rFonts w:hint="eastAsia"/>
                <w:szCs w:val="21"/>
                <w:highlight w:val="none"/>
              </w:rPr>
              <w:t>安全文明施工费用必须专款专用，承包人应对其由于安全文明施工费用和施工安全措施不到位而发生的安全事故承担全部责任。</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.4</w:t>
            </w:r>
          </w:p>
        </w:tc>
        <w:tc>
          <w:tcPr>
            <w:tcW w:w="7364" w:type="dxa"/>
          </w:tcPr>
          <w:p>
            <w:pPr>
              <w:spacing w:after="156" w:afterLines="50" w:line="300" w:lineRule="auto"/>
              <w:rPr>
                <w:rFonts w:cs="Arial"/>
                <w:szCs w:val="21"/>
                <w:highlight w:val="none"/>
              </w:rPr>
            </w:pPr>
            <w:r>
              <w:rPr>
                <w:rFonts w:hint="eastAsia" w:ascii="Arial" w:hAnsi="Arial" w:cs="Arial"/>
                <w:szCs w:val="21"/>
                <w:highlight w:val="none"/>
              </w:rPr>
              <w:t>承包人应建立专门的施工场地（现场）安全生产管理机构，配备足够数量的和符合有关规定的专职安全生产管理人员，负责日常安全</w:t>
            </w:r>
            <w:r>
              <w:rPr>
                <w:rFonts w:hint="eastAsia"/>
                <w:szCs w:val="21"/>
                <w:highlight w:val="none"/>
              </w:rPr>
              <w:t>生产</w:t>
            </w:r>
            <w:r>
              <w:rPr>
                <w:rFonts w:hint="eastAsia" w:ascii="Arial" w:hAnsi="Arial" w:cs="Arial"/>
                <w:szCs w:val="21"/>
                <w:highlight w:val="none"/>
              </w:rPr>
              <w:t>巡查和专项检查，</w:t>
            </w:r>
            <w:r>
              <w:rPr>
                <w:rFonts w:hint="eastAsia"/>
                <w:szCs w:val="21"/>
                <w:highlight w:val="none"/>
              </w:rPr>
              <w:t>召集和主持现场全体人员参加的安全生产例会（每周至少一次）</w:t>
            </w:r>
            <w:r>
              <w:rPr>
                <w:rFonts w:hint="eastAsia" w:ascii="Arial" w:hAnsi="Arial" w:cs="Arial"/>
                <w:szCs w:val="21"/>
                <w:highlight w:val="none"/>
              </w:rPr>
              <w:t>，</w:t>
            </w:r>
            <w:r>
              <w:rPr>
                <w:rFonts w:hint="eastAsia"/>
                <w:szCs w:val="21"/>
                <w:highlight w:val="none"/>
              </w:rPr>
              <w:t>负责安全技术交底和技术方案的安全把关，负责制定或审核安全隐患的整改措施并监督落实，负责安全资料的整理和管理，及时消除安全隐患，做好安全检查记录，确保所有的安全设施都处于良好的运转状态。承包人项目经理和专职安全生产管理人员均应当具备有效的安全生产考核合格证书。</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.5</w:t>
            </w:r>
          </w:p>
        </w:tc>
        <w:tc>
          <w:tcPr>
            <w:tcW w:w="7364" w:type="dxa"/>
          </w:tcPr>
          <w:p>
            <w:pPr>
              <w:spacing w:after="156" w:afterLines="50" w:line="300" w:lineRule="auto"/>
              <w:rPr>
                <w:rFonts w:cs="Arial"/>
                <w:szCs w:val="21"/>
                <w:highlight w:val="none"/>
              </w:rPr>
            </w:pPr>
            <w:r>
              <w:rPr>
                <w:rFonts w:cs="Arial"/>
                <w:szCs w:val="21"/>
                <w:highlight w:val="none"/>
              </w:rPr>
              <w:t>承包人应</w:t>
            </w:r>
            <w:r>
              <w:rPr>
                <w:rFonts w:hint="eastAsia" w:cs="Arial"/>
                <w:szCs w:val="21"/>
                <w:highlight w:val="none"/>
              </w:rPr>
              <w:t>遵照有关法规要求，</w:t>
            </w:r>
            <w:r>
              <w:rPr>
                <w:rFonts w:hint="eastAsia"/>
                <w:szCs w:val="21"/>
                <w:highlight w:val="none"/>
              </w:rPr>
              <w:t>编印安全防护手册发给进场施工人员，</w:t>
            </w:r>
            <w:r>
              <w:rPr>
                <w:rFonts w:hint="eastAsia" w:cs="Arial"/>
                <w:szCs w:val="21"/>
                <w:highlight w:val="none"/>
              </w:rPr>
              <w:t>做好进场施工人员上岗前的安全教育和培训工作，并建立考核制度，只有考核合格的人员才能进场施工作业。</w:t>
            </w:r>
            <w:r>
              <w:rPr>
                <w:rFonts w:hint="eastAsia"/>
                <w:szCs w:val="21"/>
                <w:highlight w:val="none"/>
              </w:rPr>
              <w:t>特种作业人员还</w:t>
            </w:r>
            <w:r>
              <w:rPr>
                <w:rFonts w:hint="eastAsia" w:cs="Arial"/>
                <w:szCs w:val="21"/>
                <w:highlight w:val="none"/>
              </w:rPr>
              <w:t>应经过专门的安全作业培训，并取得特种作业操作资格证书后方可上岗。</w:t>
            </w:r>
            <w:r>
              <w:rPr>
                <w:rFonts w:cs="Arial"/>
                <w:szCs w:val="21"/>
                <w:highlight w:val="none"/>
              </w:rPr>
              <w:t>在</w:t>
            </w:r>
            <w:r>
              <w:rPr>
                <w:rFonts w:hint="eastAsia" w:cs="Arial"/>
                <w:szCs w:val="21"/>
                <w:highlight w:val="none"/>
              </w:rPr>
              <w:t>任何分部分项工程开始</w:t>
            </w:r>
            <w:r>
              <w:rPr>
                <w:rFonts w:cs="Arial"/>
                <w:szCs w:val="21"/>
                <w:highlight w:val="none"/>
              </w:rPr>
              <w:t>施工前</w:t>
            </w:r>
            <w:r>
              <w:rPr>
                <w:rFonts w:hint="eastAsia" w:cs="Arial"/>
                <w:szCs w:val="21"/>
                <w:highlight w:val="none"/>
              </w:rPr>
              <w:t>，承包人应当就</w:t>
            </w:r>
            <w:r>
              <w:rPr>
                <w:rFonts w:cs="Arial"/>
                <w:szCs w:val="21"/>
                <w:highlight w:val="none"/>
              </w:rPr>
              <w:t>有关安全施工的技术要求向施工作业班组</w:t>
            </w:r>
            <w:r>
              <w:rPr>
                <w:rFonts w:hint="eastAsia" w:cs="Arial"/>
                <w:szCs w:val="21"/>
                <w:highlight w:val="none"/>
              </w:rPr>
              <w:t>和</w:t>
            </w:r>
            <w:r>
              <w:rPr>
                <w:rFonts w:cs="Arial"/>
                <w:szCs w:val="21"/>
                <w:highlight w:val="none"/>
              </w:rPr>
              <w:t>作业人员</w:t>
            </w:r>
            <w:r>
              <w:rPr>
                <w:rFonts w:hint="eastAsia" w:cs="Arial"/>
                <w:szCs w:val="21"/>
                <w:highlight w:val="none"/>
              </w:rPr>
              <w:t>等进行安全交底，并由双方签字确认。</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.6</w:t>
            </w:r>
          </w:p>
        </w:tc>
        <w:tc>
          <w:tcPr>
            <w:tcW w:w="7364" w:type="dxa"/>
          </w:tcPr>
          <w:p>
            <w:pPr>
              <w:spacing w:after="156" w:afterLines="50" w:line="300" w:lineRule="auto"/>
              <w:rPr>
                <w:rFonts w:cs="Arial"/>
                <w:szCs w:val="21"/>
                <w:highlight w:val="none"/>
              </w:rPr>
            </w:pPr>
            <w:r>
              <w:rPr>
                <w:rFonts w:hint="eastAsia"/>
                <w:szCs w:val="21"/>
                <w:highlight w:val="none"/>
              </w:rPr>
              <w:t>承包人应为其进场施工人员配备必需的安全防护设施和设备，</w:t>
            </w:r>
            <w:r>
              <w:rPr>
                <w:rFonts w:hint="eastAsia" w:cs="Arial"/>
                <w:szCs w:val="21"/>
                <w:highlight w:val="none"/>
              </w:rPr>
              <w:t>承包人还应</w:t>
            </w:r>
            <w:r>
              <w:rPr>
                <w:rFonts w:cs="Arial"/>
                <w:szCs w:val="21"/>
                <w:highlight w:val="none"/>
              </w:rPr>
              <w:t>为</w:t>
            </w:r>
            <w:r>
              <w:rPr>
                <w:rFonts w:hint="eastAsia" w:cs="Arial"/>
                <w:szCs w:val="21"/>
                <w:highlight w:val="none"/>
              </w:rPr>
              <w:t>施工场地（现场）</w:t>
            </w:r>
            <w:r>
              <w:rPr>
                <w:rFonts w:cs="Arial"/>
                <w:szCs w:val="21"/>
                <w:highlight w:val="none"/>
              </w:rPr>
              <w:t>邻近地区的所有者和占有者、公众和其他人员，提供</w:t>
            </w:r>
            <w:r>
              <w:rPr>
                <w:rFonts w:hint="eastAsia" w:cs="Arial"/>
                <w:szCs w:val="21"/>
                <w:highlight w:val="none"/>
              </w:rPr>
              <w:t>一切必要</w:t>
            </w:r>
            <w:r>
              <w:rPr>
                <w:rFonts w:cs="Arial"/>
                <w:szCs w:val="21"/>
                <w:highlight w:val="none"/>
              </w:rPr>
              <w:t>的临时道路、人行道、防护棚</w:t>
            </w:r>
            <w:r>
              <w:rPr>
                <w:rFonts w:hint="eastAsia" w:cs="Arial"/>
                <w:szCs w:val="21"/>
                <w:highlight w:val="none"/>
              </w:rPr>
              <w:t>、</w:t>
            </w:r>
            <w:r>
              <w:rPr>
                <w:rFonts w:cs="Arial"/>
                <w:szCs w:val="21"/>
                <w:highlight w:val="none"/>
              </w:rPr>
              <w:t>围栏</w:t>
            </w:r>
            <w:r>
              <w:rPr>
                <w:rFonts w:hint="eastAsia" w:cs="Arial"/>
                <w:szCs w:val="21"/>
                <w:highlight w:val="none"/>
              </w:rPr>
              <w:t>及警告</w:t>
            </w:r>
            <w:r>
              <w:rPr>
                <w:rFonts w:cs="Arial"/>
                <w:szCs w:val="21"/>
                <w:highlight w:val="none"/>
              </w:rPr>
              <w:t>等</w:t>
            </w:r>
            <w:r>
              <w:rPr>
                <w:rFonts w:hint="eastAsia" w:cs="Arial"/>
                <w:szCs w:val="21"/>
                <w:highlight w:val="none"/>
              </w:rPr>
              <w:t>，以确保财产和人身安全以及最大程度地降低施工可能造成的不便</w:t>
            </w:r>
            <w:r>
              <w:rPr>
                <w:rFonts w:cs="Arial"/>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.7</w:t>
            </w:r>
          </w:p>
        </w:tc>
        <w:tc>
          <w:tcPr>
            <w:tcW w:w="7364" w:type="dxa"/>
          </w:tcPr>
          <w:p>
            <w:pPr>
              <w:spacing w:after="156" w:afterLines="50" w:line="300" w:lineRule="auto"/>
              <w:rPr>
                <w:rFonts w:cs="Arial"/>
                <w:szCs w:val="21"/>
                <w:highlight w:val="none"/>
              </w:rPr>
            </w:pPr>
            <w:r>
              <w:rPr>
                <w:rFonts w:hint="eastAsia"/>
                <w:szCs w:val="21"/>
                <w:highlight w:val="none"/>
              </w:rPr>
              <w:t>承包人应在施工场地（现场）入口处、施工起重机械、临时用电设施、脚手架、出入通道口、楼梯口、孔洞口、隧道口、基坑边沿、危险品存放处等危险部位设置一切必需的安全警示标志，包括但不限于标准道路标志、报警标志、危险标志、控制标志、安全标志、指示标志、</w:t>
            </w:r>
            <w:r>
              <w:rPr>
                <w:rFonts w:cs="Arial"/>
                <w:szCs w:val="21"/>
                <w:highlight w:val="none"/>
              </w:rPr>
              <w:t>警告</w:t>
            </w:r>
            <w:r>
              <w:rPr>
                <w:rFonts w:hint="eastAsia" w:cs="Arial"/>
                <w:szCs w:val="21"/>
                <w:highlight w:val="none"/>
              </w:rPr>
              <w:t>标志</w:t>
            </w:r>
            <w:r>
              <w:rPr>
                <w:rFonts w:hint="eastAsia"/>
                <w:szCs w:val="21"/>
                <w:highlight w:val="none"/>
              </w:rPr>
              <w:t>等，并配备必要的</w:t>
            </w:r>
            <w:r>
              <w:rPr>
                <w:rFonts w:cs="Arial"/>
                <w:szCs w:val="21"/>
                <w:highlight w:val="none"/>
              </w:rPr>
              <w:t>照明</w:t>
            </w:r>
            <w:r>
              <w:rPr>
                <w:rFonts w:hint="eastAsia" w:cs="Arial"/>
                <w:szCs w:val="21"/>
                <w:highlight w:val="none"/>
              </w:rPr>
              <w:t>、</w:t>
            </w:r>
            <w:r>
              <w:rPr>
                <w:rFonts w:cs="Arial"/>
                <w:szCs w:val="21"/>
                <w:highlight w:val="none"/>
              </w:rPr>
              <w:t>防护</w:t>
            </w:r>
            <w:r>
              <w:rPr>
                <w:rFonts w:hint="eastAsia" w:cs="Arial"/>
                <w:szCs w:val="21"/>
                <w:highlight w:val="none"/>
              </w:rPr>
              <w:t>和</w:t>
            </w:r>
            <w:r>
              <w:rPr>
                <w:rFonts w:cs="Arial"/>
                <w:szCs w:val="21"/>
                <w:highlight w:val="none"/>
              </w:rPr>
              <w:t>看守</w:t>
            </w:r>
            <w:r>
              <w:rPr>
                <w:rFonts w:hint="eastAsia"/>
                <w:szCs w:val="21"/>
                <w:highlight w:val="none"/>
              </w:rPr>
              <w:t>。承包人应当按监理人的指示，经常补充或更换失效的警示和标志。</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.8</w:t>
            </w:r>
          </w:p>
        </w:tc>
        <w:tc>
          <w:tcPr>
            <w:tcW w:w="7364" w:type="dxa"/>
          </w:tcPr>
          <w:p>
            <w:pPr>
              <w:spacing w:after="156" w:afterLines="50" w:line="300" w:lineRule="auto"/>
              <w:rPr>
                <w:szCs w:val="21"/>
                <w:highlight w:val="none"/>
              </w:rPr>
            </w:pPr>
            <w:r>
              <w:rPr>
                <w:rFonts w:hint="eastAsia"/>
                <w:szCs w:val="21"/>
                <w:highlight w:val="none"/>
              </w:rPr>
              <w:t>承包人应对施工场地（现场）内由其提供并安装的所有提升架、外用电梯和塔吊等垂直和水平运输机械进行安全围护，包括卸料平台门的安全开关、警示铃和警示灯，卸料平台的护身栏杆，脚手架和安全网等等；所有的机械设备应设置安全操作防护罩，并在醒目位置张挂详细的安全操作要点等。</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.9</w:t>
            </w:r>
          </w:p>
        </w:tc>
        <w:tc>
          <w:tcPr>
            <w:tcW w:w="7364" w:type="dxa"/>
          </w:tcPr>
          <w:p>
            <w:pPr>
              <w:spacing w:after="156" w:afterLines="50" w:line="300" w:lineRule="auto"/>
              <w:rPr>
                <w:szCs w:val="21"/>
                <w:highlight w:val="none"/>
              </w:rPr>
            </w:pPr>
            <w:r>
              <w:rPr>
                <w:rFonts w:hint="eastAsia"/>
                <w:szCs w:val="21"/>
                <w:highlight w:val="none"/>
              </w:rPr>
              <w:t>承包人应对所有用于提升的挂钩、挂环、钢丝绳、铁扁担等进行定期检测、检查和标定；如果监理人认为，任何此类设施已经损坏或有使用不当之处，承包人应立即以合格的产品进行更换；所有垂直和水平运输机械的搭设、顶升、使用和拆除必须严格依照现行有关法规、规章、规范、标准和规程等的要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.10</w:t>
            </w:r>
          </w:p>
        </w:tc>
        <w:tc>
          <w:tcPr>
            <w:tcW w:w="7364" w:type="dxa"/>
          </w:tcPr>
          <w:p>
            <w:pPr>
              <w:spacing w:after="156" w:afterLines="50" w:line="300" w:lineRule="auto"/>
              <w:rPr>
                <w:szCs w:val="21"/>
                <w:highlight w:val="none"/>
              </w:rPr>
            </w:pPr>
            <w:r>
              <w:rPr>
                <w:rFonts w:hint="eastAsia"/>
                <w:szCs w:val="21"/>
                <w:highlight w:val="none"/>
              </w:rPr>
              <w:t>所有机械和工器具应定期保养、校核和维护，以保证它们处于良好和安全的工作状态。保养、校核和维护工作应尽可能安排在非工作时间进行，并为上述机械和工器具准备足够的备用配件，以确保工程的施工能不间断地进行。</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.11</w:t>
            </w:r>
          </w:p>
        </w:tc>
        <w:tc>
          <w:tcPr>
            <w:tcW w:w="7364" w:type="dxa"/>
          </w:tcPr>
          <w:p>
            <w:pPr>
              <w:spacing w:after="156" w:afterLines="50" w:line="300" w:lineRule="auto"/>
              <w:rPr>
                <w:szCs w:val="21"/>
                <w:highlight w:val="none"/>
              </w:rPr>
            </w:pPr>
            <w:r>
              <w:rPr>
                <w:rFonts w:hint="eastAsia"/>
                <w:szCs w:val="21"/>
                <w:highlight w:val="none"/>
              </w:rPr>
              <w:t>在永久工程和施工边坡、建筑物基坑、地下洞室等的开挖过程中，应根据其施工安全的需要和（或）监理人指示，安装必要的施工安全监测仪器，及时进行必要的施工安全监测，并定期将安全监测成果提交监理人，以防止引起任何沉降、变形或其他影响正常施工进度的损害。</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.12</w:t>
            </w:r>
          </w:p>
        </w:tc>
        <w:tc>
          <w:tcPr>
            <w:tcW w:w="7364" w:type="dxa"/>
          </w:tcPr>
          <w:p>
            <w:pPr>
              <w:spacing w:after="156" w:afterLines="50" w:line="300" w:lineRule="auto"/>
              <w:rPr>
                <w:szCs w:val="21"/>
                <w:highlight w:val="none"/>
              </w:rPr>
            </w:pPr>
            <w:r>
              <w:rPr>
                <w:rFonts w:hint="eastAsia"/>
                <w:szCs w:val="21"/>
                <w:highlight w:val="none"/>
              </w:rPr>
              <w:t>承包人应对任何施工中的永久工程进行必要的支撑或临时加固。除非承包人已获得监理人书面许可并按要求进行了必要的加固或支撑，不允许承包人在任何已完成的永久性结构上堆放超过设计允许荷载的任何材料、物品或设备。在任何情况下，承包人均应对其任何上述超载行为引起的后果负责，并承担相应的修缮费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.13</w:t>
            </w:r>
          </w:p>
        </w:tc>
        <w:tc>
          <w:tcPr>
            <w:tcW w:w="7364" w:type="dxa"/>
          </w:tcPr>
          <w:p>
            <w:pPr>
              <w:spacing w:after="156" w:afterLines="50" w:line="300" w:lineRule="auto"/>
              <w:rPr>
                <w:szCs w:val="21"/>
                <w:highlight w:val="none"/>
              </w:rPr>
            </w:pPr>
            <w:r>
              <w:rPr>
                <w:rFonts w:hint="eastAsia"/>
                <w:szCs w:val="21"/>
                <w:highlight w:val="none"/>
              </w:rPr>
              <w:t>承包人应成立应急救援小组，配备必要的应急救援器材和设备，制定灾害和生产安全事故的应急救援预案，并将应急救援预案报送监理人。应急救援预案应能随时组织应救专职人员、并定期组织演练。</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.14</w:t>
            </w:r>
          </w:p>
        </w:tc>
        <w:tc>
          <w:tcPr>
            <w:tcW w:w="7364" w:type="dxa"/>
          </w:tcPr>
          <w:p>
            <w:pPr>
              <w:spacing w:after="156" w:afterLines="50" w:line="300" w:lineRule="auto"/>
              <w:rPr>
                <w:szCs w:val="21"/>
                <w:highlight w:val="none"/>
              </w:rPr>
            </w:pPr>
            <w:r>
              <w:rPr>
                <w:rFonts w:hint="eastAsia"/>
                <w:szCs w:val="21"/>
                <w:highlight w:val="none"/>
              </w:rPr>
              <w:t>施工过程中需要使用爆破或带炸药的工具等危险性施工方法时，承包人应提前通知监理人。经监理人批准后，承包人应依照有关法律、法规、规章以及政府有关主管机构制定的规范性文件等的规定，向有关机构提出申请并获得相关许可。承包人应严格依照上述规定使用、储藏、管理爆破物品或带炸药的工具等，并负责由于这类物品的使用可能引起的任何损失或损害的赔偿。任何情况下，承包人不得在已完永久性工程中和空心砌体中使用爆破方法。</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w:t>
            </w:r>
            <w:r>
              <w:rPr>
                <w:rFonts w:hint="eastAsia" w:cs="Arial"/>
                <w:szCs w:val="21"/>
                <w:highlight w:val="none"/>
              </w:rPr>
              <w:t>5</w:t>
            </w:r>
          </w:p>
        </w:tc>
        <w:tc>
          <w:tcPr>
            <w:tcW w:w="7364" w:type="dxa"/>
          </w:tcPr>
          <w:p>
            <w:pPr>
              <w:spacing w:after="156" w:afterLines="50" w:line="300" w:lineRule="auto"/>
              <w:rPr>
                <w:szCs w:val="21"/>
                <w:highlight w:val="none"/>
              </w:rPr>
            </w:pPr>
            <w:r>
              <w:rPr>
                <w:rFonts w:hint="eastAsia"/>
                <w:szCs w:val="21"/>
                <w:highlight w:val="none"/>
              </w:rPr>
              <w:t>基坑支护与降水工程、土方开挖工程、模板工程、起重吊装工程、脚手架工程、拆除工程和爆破工程等达到一定规模和危险性较大的分部分项工程，承包人应当编制专项施工方案，其中深基坑、地下暗挖和高大模板工程的专项施工方案，还应组织专家进行论证和审查。</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w:t>
            </w:r>
            <w:r>
              <w:rPr>
                <w:rFonts w:hint="eastAsia" w:cs="Arial"/>
                <w:szCs w:val="21"/>
                <w:highlight w:val="none"/>
              </w:rPr>
              <w:t>6</w:t>
            </w:r>
          </w:p>
        </w:tc>
        <w:tc>
          <w:tcPr>
            <w:tcW w:w="7364" w:type="dxa"/>
          </w:tcPr>
          <w:p>
            <w:pPr>
              <w:spacing w:after="156" w:afterLines="50" w:line="300" w:lineRule="auto"/>
              <w:rPr>
                <w:rFonts w:cs="Arial"/>
                <w:szCs w:val="21"/>
                <w:highlight w:val="none"/>
              </w:rPr>
            </w:pPr>
            <w:r>
              <w:rPr>
                <w:rFonts w:hint="eastAsia"/>
                <w:szCs w:val="21"/>
                <w:highlight w:val="none"/>
              </w:rPr>
              <w:t>承包人应按照通用合同条款第9.5款的约定处理本工程施工过程中发生的事故。发生施工安全事故后，承包人必须立即报告监理人和发包人，并在事故发生后一小时内向发包人提交事故情况书面报告，并根据《生产安全事故报告和调查处理条例》的规定，及时向工程所在</w:t>
            </w:r>
            <w:r>
              <w:rPr>
                <w:szCs w:val="21"/>
                <w:highlight w:val="none"/>
              </w:rPr>
              <w:t>地县级以上</w:t>
            </w:r>
            <w:r>
              <w:rPr>
                <w:rFonts w:hint="eastAsia"/>
                <w:szCs w:val="21"/>
                <w:highlight w:val="none"/>
              </w:rPr>
              <w:t>地方</w:t>
            </w:r>
            <w:r>
              <w:rPr>
                <w:szCs w:val="21"/>
                <w:highlight w:val="none"/>
              </w:rPr>
              <w:t>人民政府安全生产监督管理部门和</w:t>
            </w:r>
            <w:r>
              <w:rPr>
                <w:rFonts w:hint="eastAsia"/>
                <w:szCs w:val="21"/>
                <w:highlight w:val="none"/>
              </w:rPr>
              <w:t>建设行政主管部门</w:t>
            </w:r>
            <w:r>
              <w:rPr>
                <w:szCs w:val="21"/>
                <w:highlight w:val="none"/>
              </w:rPr>
              <w:t>报告</w:t>
            </w:r>
            <w:r>
              <w:rPr>
                <w:rFonts w:hint="eastAsia"/>
                <w:szCs w:val="21"/>
                <w:highlight w:val="none"/>
              </w:rPr>
              <w:t>。情况紧急时，事故现场有关人员可以直接向工程所在</w:t>
            </w:r>
            <w:r>
              <w:rPr>
                <w:szCs w:val="21"/>
                <w:highlight w:val="none"/>
              </w:rPr>
              <w:t>地县级以上</w:t>
            </w:r>
            <w:r>
              <w:rPr>
                <w:rFonts w:hint="eastAsia"/>
                <w:szCs w:val="21"/>
                <w:highlight w:val="none"/>
              </w:rPr>
              <w:t>地方</w:t>
            </w:r>
            <w:r>
              <w:rPr>
                <w:szCs w:val="21"/>
                <w:highlight w:val="none"/>
              </w:rPr>
              <w:t>人民政府安全生产监督管理部门和</w:t>
            </w:r>
            <w:r>
              <w:rPr>
                <w:rFonts w:hint="eastAsia"/>
                <w:szCs w:val="21"/>
                <w:highlight w:val="none"/>
              </w:rPr>
              <w:t>建设行政主管部门</w:t>
            </w:r>
            <w:r>
              <w:rPr>
                <w:szCs w:val="21"/>
                <w:highlight w:val="none"/>
              </w:rPr>
              <w:t>报告</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.1</w:t>
            </w:r>
            <w:r>
              <w:rPr>
                <w:rFonts w:hint="eastAsia" w:cs="Arial"/>
                <w:szCs w:val="21"/>
                <w:highlight w:val="none"/>
              </w:rPr>
              <w:t>7</w:t>
            </w:r>
          </w:p>
        </w:tc>
        <w:tc>
          <w:tcPr>
            <w:tcW w:w="7364" w:type="dxa"/>
          </w:tcPr>
          <w:p>
            <w:pPr>
              <w:spacing w:after="156" w:afterLines="50" w:line="300" w:lineRule="auto"/>
              <w:rPr>
                <w:szCs w:val="21"/>
                <w:highlight w:val="none"/>
              </w:rPr>
            </w:pPr>
            <w:r>
              <w:rPr>
                <w:rFonts w:hint="eastAsia"/>
                <w:szCs w:val="21"/>
                <w:highlight w:val="none"/>
              </w:rPr>
              <w:t>承包人还应根据有关法律、法规、规定和条例等的要求，制定一套安全生产应急措施和程序，保证一旦出现任何安全事故，能立即保护好现场，抢救伤员和财产，保证施工生产的正常进行，防止损失扩大。</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18</w:t>
            </w:r>
          </w:p>
        </w:tc>
        <w:tc>
          <w:tcPr>
            <w:tcW w:w="7364" w:type="dxa"/>
          </w:tcPr>
          <w:p>
            <w:pPr>
              <w:spacing w:after="156" w:afterLines="50" w:line="300" w:lineRule="auto"/>
              <w:rPr>
                <w:rFonts w:cs="Arial"/>
                <w:szCs w:val="21"/>
                <w:highlight w:val="none"/>
              </w:rPr>
            </w:pPr>
            <w:r>
              <w:rPr>
                <w:rFonts w:hint="eastAsia" w:cs="Arial"/>
                <w:szCs w:val="21"/>
                <w:highlight w:val="none"/>
              </w:rPr>
              <w:t>安全防护方面的其他</w:t>
            </w:r>
            <w:r>
              <w:rPr>
                <w:rFonts w:cs="Arial"/>
                <w:szCs w:val="21"/>
                <w:highlight w:val="none"/>
              </w:rPr>
              <w:t>要求</w:t>
            </w:r>
            <w:r>
              <w:rPr>
                <w:rFonts w:hint="eastAsia" w:cs="Arial"/>
                <w:szCs w:val="21"/>
                <w:highlight w:val="none"/>
              </w:rPr>
              <w:t>如下：</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09" w:name="_Toc263259796"/>
            <w:r>
              <w:rPr>
                <w:rFonts w:hint="eastAsia" w:cs="Arial"/>
                <w:b/>
                <w:bCs/>
                <w:szCs w:val="21"/>
                <w:highlight w:val="none"/>
              </w:rPr>
              <w:t>6</w:t>
            </w:r>
            <w:r>
              <w:rPr>
                <w:rFonts w:cs="Arial"/>
                <w:b/>
                <w:bCs/>
                <w:szCs w:val="21"/>
                <w:highlight w:val="none"/>
              </w:rPr>
              <w:t>.</w:t>
            </w:r>
            <w:r>
              <w:rPr>
                <w:rFonts w:hint="eastAsia" w:cs="Arial"/>
                <w:b/>
                <w:bCs/>
                <w:szCs w:val="21"/>
                <w:highlight w:val="none"/>
              </w:rPr>
              <w:t>2</w:t>
            </w:r>
            <w:bookmarkEnd w:id="2409"/>
          </w:p>
        </w:tc>
        <w:tc>
          <w:tcPr>
            <w:tcW w:w="7364" w:type="dxa"/>
          </w:tcPr>
          <w:p>
            <w:pPr>
              <w:spacing w:after="156" w:afterLines="50" w:line="300" w:lineRule="auto"/>
              <w:outlineLvl w:val="3"/>
              <w:rPr>
                <w:rFonts w:cs="Arial"/>
                <w:b/>
                <w:bCs/>
                <w:szCs w:val="21"/>
                <w:highlight w:val="none"/>
              </w:rPr>
            </w:pPr>
            <w:bookmarkStart w:id="2410" w:name="_Toc263259797"/>
            <w:r>
              <w:rPr>
                <w:rFonts w:hint="eastAsia" w:cs="Arial"/>
                <w:b/>
                <w:bCs/>
                <w:szCs w:val="21"/>
                <w:highlight w:val="none"/>
              </w:rPr>
              <w:t>临时消防</w:t>
            </w:r>
            <w:bookmarkEnd w:id="2410"/>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6.2.1</w:t>
            </w:r>
          </w:p>
        </w:tc>
        <w:tc>
          <w:tcPr>
            <w:tcW w:w="7364" w:type="dxa"/>
          </w:tcPr>
          <w:p>
            <w:pPr>
              <w:spacing w:after="156" w:afterLines="50" w:line="300" w:lineRule="auto"/>
              <w:rPr>
                <w:rFonts w:cs="Arial"/>
                <w:szCs w:val="21"/>
                <w:highlight w:val="none"/>
              </w:rPr>
            </w:pPr>
            <w:r>
              <w:rPr>
                <w:rFonts w:hint="eastAsia" w:cs="Arial"/>
                <w:szCs w:val="21"/>
                <w:highlight w:val="none"/>
              </w:rPr>
              <w:t>承包人应建立消防安全责任制度，制定用火、用电和使用易燃易爆等危险品的消防安全管理制度和操作规程。各项制度和规程等应满足相关法律法规和政府消防管理机构的要求。</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w:t>
            </w:r>
            <w:r>
              <w:rPr>
                <w:rFonts w:hAnsi="宋体" w:cs="Arial"/>
                <w:sz w:val="21"/>
                <w:szCs w:val="21"/>
                <w:highlight w:val="none"/>
              </w:rPr>
              <w:t>.</w:t>
            </w:r>
            <w:r>
              <w:rPr>
                <w:rFonts w:hint="eastAsia" w:hAnsi="宋体" w:cs="Arial"/>
                <w:sz w:val="21"/>
                <w:szCs w:val="21"/>
                <w:highlight w:val="none"/>
              </w:rPr>
              <w:t>2</w:t>
            </w:r>
            <w:r>
              <w:rPr>
                <w:rFonts w:hAnsi="宋体" w:cs="Arial"/>
                <w:sz w:val="21"/>
                <w:szCs w:val="21"/>
                <w:highlight w:val="none"/>
              </w:rPr>
              <w:t>.2</w:t>
            </w:r>
          </w:p>
        </w:tc>
        <w:tc>
          <w:tcPr>
            <w:tcW w:w="7364" w:type="dxa"/>
          </w:tcPr>
          <w:p>
            <w:pPr>
              <w:spacing w:after="156" w:afterLines="50" w:line="300" w:lineRule="auto"/>
              <w:rPr>
                <w:rFonts w:cs="Arial"/>
                <w:szCs w:val="21"/>
                <w:highlight w:val="none"/>
              </w:rPr>
            </w:pPr>
            <w:r>
              <w:rPr>
                <w:rFonts w:cs="Arial"/>
                <w:szCs w:val="21"/>
                <w:highlight w:val="none"/>
              </w:rPr>
              <w:t>承包人应根据相关法律法规和消防管理</w:t>
            </w:r>
            <w:r>
              <w:rPr>
                <w:rFonts w:hint="eastAsia" w:cs="Arial"/>
                <w:szCs w:val="21"/>
                <w:highlight w:val="none"/>
              </w:rPr>
              <w:t>部门</w:t>
            </w:r>
            <w:r>
              <w:rPr>
                <w:rFonts w:cs="Arial"/>
                <w:szCs w:val="21"/>
                <w:highlight w:val="none"/>
              </w:rPr>
              <w:t>的要求，为施工中的永久工程和所有临时工程提供必要的临时消防和紧急疏散设施，包括提供</w:t>
            </w:r>
            <w:r>
              <w:rPr>
                <w:rFonts w:hint="eastAsia" w:cs="Arial"/>
                <w:szCs w:val="21"/>
                <w:highlight w:val="none"/>
              </w:rPr>
              <w:t>并维持畅通的消防通道、</w:t>
            </w:r>
            <w:r>
              <w:rPr>
                <w:rFonts w:cs="Arial"/>
                <w:szCs w:val="21"/>
                <w:highlight w:val="none"/>
              </w:rPr>
              <w:t>临时消火栓、灭火器、水龙带、灭火桶、灭火铲、灭火斧、消防水管、阀门、检查井、临时消防水箱、泵房和紧随工作面的临时疏散楼梯</w:t>
            </w:r>
            <w:r>
              <w:rPr>
                <w:rFonts w:hint="eastAsia" w:cs="Arial"/>
                <w:szCs w:val="21"/>
                <w:highlight w:val="none"/>
              </w:rPr>
              <w:t>或疏散设施，消防设施的设立和</w:t>
            </w:r>
            <w:r>
              <w:rPr>
                <w:rFonts w:hint="eastAsia"/>
                <w:szCs w:val="21"/>
                <w:highlight w:val="none"/>
              </w:rPr>
              <w:t>消防设备的型号和功率应满足消防任务的需要，始终保持能够随时投入正常使用的状态，并设立明显标志。</w:t>
            </w:r>
            <w:r>
              <w:rPr>
                <w:rFonts w:cs="Arial"/>
                <w:szCs w:val="21"/>
                <w:highlight w:val="none"/>
              </w:rPr>
              <w:t>承包人的临时消防系统和配置应分别经过监理人和消防管理</w:t>
            </w:r>
            <w:r>
              <w:rPr>
                <w:rFonts w:hint="eastAsia" w:cs="Arial"/>
                <w:szCs w:val="21"/>
                <w:highlight w:val="none"/>
              </w:rPr>
              <w:t>部门</w:t>
            </w:r>
            <w:r>
              <w:rPr>
                <w:rFonts w:cs="Arial"/>
                <w:szCs w:val="21"/>
                <w:highlight w:val="none"/>
              </w:rPr>
              <w:t>的审批和验收；承包人还应自费获得消防管理</w:t>
            </w:r>
            <w:r>
              <w:rPr>
                <w:rFonts w:hint="eastAsia" w:cs="Arial"/>
                <w:szCs w:val="21"/>
                <w:highlight w:val="none"/>
              </w:rPr>
              <w:t>部门</w:t>
            </w:r>
            <w:r>
              <w:rPr>
                <w:rFonts w:cs="Arial"/>
                <w:szCs w:val="21"/>
                <w:highlight w:val="none"/>
              </w:rPr>
              <w:t>的临时消防证书。所有的临时消防设施属于承包人所有，</w:t>
            </w:r>
            <w:r>
              <w:rPr>
                <w:rFonts w:hint="eastAsia" w:cs="Arial"/>
                <w:szCs w:val="21"/>
                <w:highlight w:val="none"/>
              </w:rPr>
              <w:t>至</w:t>
            </w:r>
            <w:r>
              <w:rPr>
                <w:rFonts w:cs="Arial"/>
                <w:szCs w:val="21"/>
                <w:highlight w:val="none"/>
              </w:rPr>
              <w:t>工程实际</w:t>
            </w:r>
            <w:r>
              <w:rPr>
                <w:rFonts w:hint="eastAsia" w:cs="Arial"/>
                <w:szCs w:val="21"/>
                <w:highlight w:val="none"/>
              </w:rPr>
              <w:t>竣</w:t>
            </w:r>
            <w:r>
              <w:rPr>
                <w:rFonts w:cs="Arial"/>
                <w:szCs w:val="21"/>
                <w:highlight w:val="none"/>
              </w:rPr>
              <w:t>工时</w:t>
            </w:r>
            <w:r>
              <w:rPr>
                <w:rFonts w:hint="eastAsia" w:cs="Arial"/>
                <w:szCs w:val="21"/>
                <w:highlight w:val="none"/>
              </w:rPr>
              <w:t>且</w:t>
            </w:r>
            <w:r>
              <w:rPr>
                <w:rFonts w:cs="Arial"/>
                <w:szCs w:val="21"/>
                <w:highlight w:val="none"/>
              </w:rPr>
              <w:t>永久性消防系统投入使用后从现场拆除。</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w:t>
            </w:r>
            <w:r>
              <w:rPr>
                <w:rFonts w:hAnsi="宋体" w:cs="Arial"/>
                <w:sz w:val="21"/>
                <w:szCs w:val="21"/>
                <w:highlight w:val="none"/>
              </w:rPr>
              <w:t>.</w:t>
            </w:r>
            <w:r>
              <w:rPr>
                <w:rFonts w:hint="eastAsia" w:hAnsi="宋体" w:cs="Arial"/>
                <w:sz w:val="21"/>
                <w:szCs w:val="21"/>
                <w:highlight w:val="none"/>
              </w:rPr>
              <w:t>2</w:t>
            </w:r>
            <w:r>
              <w:rPr>
                <w:rFonts w:hAnsi="宋体" w:cs="Arial"/>
                <w:sz w:val="21"/>
                <w:szCs w:val="21"/>
                <w:highlight w:val="none"/>
              </w:rPr>
              <w:t>.3</w:t>
            </w:r>
          </w:p>
        </w:tc>
        <w:tc>
          <w:tcPr>
            <w:tcW w:w="7364" w:type="dxa"/>
          </w:tcPr>
          <w:p>
            <w:pPr>
              <w:spacing w:after="156" w:afterLines="50" w:line="300" w:lineRule="auto"/>
              <w:rPr>
                <w:rFonts w:cs="Arial"/>
                <w:szCs w:val="21"/>
                <w:highlight w:val="none"/>
              </w:rPr>
            </w:pPr>
            <w:r>
              <w:rPr>
                <w:rFonts w:hint="eastAsia" w:cs="Arial"/>
                <w:szCs w:val="21"/>
                <w:highlight w:val="none"/>
              </w:rPr>
              <w:t>承包人应当</w:t>
            </w:r>
            <w:r>
              <w:rPr>
                <w:rFonts w:cs="Arial"/>
                <w:szCs w:val="21"/>
                <w:highlight w:val="none"/>
              </w:rPr>
              <w:t>成立由项目主要负责人担任组长的临时消防组或消防队，宣传消防基本知识和基本操作培训</w:t>
            </w:r>
            <w:r>
              <w:rPr>
                <w:rFonts w:hint="eastAsia" w:cs="Arial"/>
                <w:szCs w:val="21"/>
                <w:highlight w:val="none"/>
              </w:rPr>
              <w:t>，组织消防演练，保证一旦发生火灾，能够组织有效的自救，保护生命和财产安全。</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w:t>
            </w:r>
            <w:r>
              <w:rPr>
                <w:rFonts w:hAnsi="宋体" w:cs="Arial"/>
                <w:sz w:val="21"/>
                <w:szCs w:val="21"/>
                <w:highlight w:val="none"/>
              </w:rPr>
              <w:t>.</w:t>
            </w:r>
            <w:r>
              <w:rPr>
                <w:rFonts w:hint="eastAsia" w:hAnsi="宋体" w:cs="Arial"/>
                <w:sz w:val="21"/>
                <w:szCs w:val="21"/>
                <w:highlight w:val="none"/>
              </w:rPr>
              <w:t>2</w:t>
            </w:r>
            <w:r>
              <w:rPr>
                <w:rFonts w:hAnsi="宋体" w:cs="Arial"/>
                <w:sz w:val="21"/>
                <w:szCs w:val="21"/>
                <w:highlight w:val="none"/>
              </w:rPr>
              <w:t>.</w:t>
            </w:r>
            <w:r>
              <w:rPr>
                <w:rFonts w:hint="eastAsia" w:hAnsi="宋体" w:cs="Arial"/>
                <w:sz w:val="21"/>
                <w:szCs w:val="21"/>
                <w:highlight w:val="none"/>
              </w:rPr>
              <w:t>4</w:t>
            </w:r>
          </w:p>
        </w:tc>
        <w:tc>
          <w:tcPr>
            <w:tcW w:w="7364" w:type="dxa"/>
          </w:tcPr>
          <w:p>
            <w:pPr>
              <w:spacing w:after="156" w:afterLines="50" w:line="300" w:lineRule="auto"/>
              <w:rPr>
                <w:rFonts w:cs="Arial"/>
                <w:szCs w:val="21"/>
                <w:highlight w:val="none"/>
              </w:rPr>
            </w:pPr>
            <w:r>
              <w:rPr>
                <w:rFonts w:hint="eastAsia" w:cs="Arial"/>
                <w:szCs w:val="21"/>
                <w:highlight w:val="none"/>
              </w:rPr>
              <w:t>施工场地（现场）内的</w:t>
            </w:r>
            <w:r>
              <w:rPr>
                <w:rFonts w:cs="Arial"/>
                <w:szCs w:val="21"/>
                <w:highlight w:val="none"/>
              </w:rPr>
              <w:t>易燃</w:t>
            </w:r>
            <w:r>
              <w:rPr>
                <w:rFonts w:hint="eastAsia" w:cs="Arial"/>
                <w:szCs w:val="21"/>
                <w:highlight w:val="none"/>
              </w:rPr>
              <w:t>、易爆物品应单独和安全地存放，设专人进行存放和领用管理。施工场地（现场）</w:t>
            </w:r>
            <w:r>
              <w:rPr>
                <w:rFonts w:cs="Arial"/>
                <w:szCs w:val="21"/>
                <w:highlight w:val="none"/>
              </w:rPr>
              <w:t>储有或正在使用易燃</w:t>
            </w:r>
            <w:r>
              <w:rPr>
                <w:rFonts w:hint="eastAsia" w:cs="Arial"/>
                <w:szCs w:val="21"/>
                <w:highlight w:val="none"/>
              </w:rPr>
              <w:t>、易爆</w:t>
            </w:r>
            <w:r>
              <w:rPr>
                <w:rFonts w:cs="Arial"/>
                <w:szCs w:val="21"/>
                <w:highlight w:val="none"/>
              </w:rPr>
              <w:t>或可燃材料时或有明火施工的工序</w:t>
            </w:r>
            <w:r>
              <w:rPr>
                <w:rFonts w:hint="eastAsia" w:cs="Arial"/>
                <w:szCs w:val="21"/>
                <w:highlight w:val="none"/>
              </w:rPr>
              <w:t>，应当</w:t>
            </w:r>
            <w:r>
              <w:rPr>
                <w:rFonts w:cs="Arial"/>
                <w:szCs w:val="21"/>
                <w:highlight w:val="none"/>
              </w:rPr>
              <w:t>实行严格的</w:t>
            </w:r>
            <w:r>
              <w:rPr>
                <w:rFonts w:hint="eastAsia" w:cs="Arial"/>
                <w:szCs w:val="21"/>
                <w:highlight w:val="none"/>
              </w:rPr>
              <w:t>“</w:t>
            </w:r>
            <w:r>
              <w:rPr>
                <w:rFonts w:cs="Arial"/>
                <w:szCs w:val="21"/>
                <w:highlight w:val="none"/>
              </w:rPr>
              <w:t>用火证</w:t>
            </w:r>
            <w:r>
              <w:rPr>
                <w:rFonts w:hint="eastAsia" w:cs="Arial"/>
                <w:szCs w:val="21"/>
                <w:highlight w:val="none"/>
              </w:rPr>
              <w:t>”</w:t>
            </w:r>
            <w:r>
              <w:rPr>
                <w:rFonts w:cs="Arial"/>
                <w:szCs w:val="21"/>
                <w:highlight w:val="none"/>
              </w:rPr>
              <w:t>管理</w:t>
            </w:r>
            <w:r>
              <w:rPr>
                <w:rFonts w:hint="eastAsia" w:cs="Arial"/>
                <w:szCs w:val="21"/>
                <w:highlight w:val="none"/>
              </w:rPr>
              <w:t>制度。</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2</w:t>
            </w:r>
            <w:r>
              <w:rPr>
                <w:rFonts w:cs="Arial"/>
                <w:szCs w:val="21"/>
                <w:highlight w:val="none"/>
              </w:rPr>
              <w:t>.</w:t>
            </w:r>
            <w:r>
              <w:rPr>
                <w:rFonts w:hint="eastAsia" w:cs="Arial"/>
                <w:szCs w:val="21"/>
                <w:highlight w:val="none"/>
              </w:rPr>
              <w:t>5</w:t>
            </w:r>
          </w:p>
        </w:tc>
        <w:tc>
          <w:tcPr>
            <w:tcW w:w="7364" w:type="dxa"/>
          </w:tcPr>
          <w:p>
            <w:pPr>
              <w:spacing w:after="156" w:afterLines="50" w:line="300" w:lineRule="auto"/>
              <w:rPr>
                <w:rFonts w:cs="Arial"/>
                <w:szCs w:val="21"/>
                <w:highlight w:val="none"/>
              </w:rPr>
            </w:pPr>
            <w:r>
              <w:rPr>
                <w:rFonts w:hint="eastAsia" w:cs="Arial"/>
                <w:szCs w:val="21"/>
                <w:highlight w:val="none"/>
              </w:rPr>
              <w:t>临时消防方面的其他</w:t>
            </w:r>
            <w:r>
              <w:rPr>
                <w:rFonts w:cs="Arial"/>
                <w:szCs w:val="21"/>
                <w:highlight w:val="none"/>
              </w:rPr>
              <w:t>要求</w:t>
            </w:r>
            <w:r>
              <w:rPr>
                <w:rFonts w:hint="eastAsia" w:cs="Arial"/>
                <w:szCs w:val="21"/>
                <w:highlight w:val="none"/>
              </w:rPr>
              <w:t>如下：</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11" w:name="_Toc263259798"/>
            <w:r>
              <w:rPr>
                <w:rFonts w:hint="eastAsia" w:cs="Arial"/>
                <w:b/>
                <w:bCs/>
                <w:szCs w:val="21"/>
                <w:highlight w:val="none"/>
              </w:rPr>
              <w:t>6.3</w:t>
            </w:r>
            <w:bookmarkEnd w:id="2411"/>
          </w:p>
        </w:tc>
        <w:tc>
          <w:tcPr>
            <w:tcW w:w="7364" w:type="dxa"/>
          </w:tcPr>
          <w:p>
            <w:pPr>
              <w:spacing w:after="156" w:afterLines="50" w:line="300" w:lineRule="auto"/>
              <w:outlineLvl w:val="3"/>
              <w:rPr>
                <w:rFonts w:cs="Arial"/>
                <w:b/>
                <w:bCs/>
                <w:szCs w:val="21"/>
                <w:highlight w:val="none"/>
              </w:rPr>
            </w:pPr>
            <w:bookmarkStart w:id="2412" w:name="_Toc263259799"/>
            <w:r>
              <w:rPr>
                <w:rFonts w:hint="eastAsia" w:cs="Arial"/>
                <w:b/>
                <w:bCs/>
                <w:szCs w:val="21"/>
                <w:highlight w:val="none"/>
              </w:rPr>
              <w:t>临时供电</w:t>
            </w:r>
            <w:bookmarkEnd w:id="2412"/>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6.3.1</w:t>
            </w:r>
          </w:p>
        </w:tc>
        <w:tc>
          <w:tcPr>
            <w:tcW w:w="7364" w:type="dxa"/>
          </w:tcPr>
          <w:p>
            <w:pPr>
              <w:spacing w:after="156" w:afterLines="50" w:line="300" w:lineRule="auto"/>
              <w:rPr>
                <w:rFonts w:cs="Arial"/>
                <w:b/>
                <w:bCs/>
                <w:szCs w:val="21"/>
                <w:highlight w:val="none"/>
              </w:rPr>
            </w:pPr>
            <w:r>
              <w:rPr>
                <w:rFonts w:hint="eastAsia"/>
                <w:szCs w:val="21"/>
                <w:highlight w:val="none"/>
              </w:rPr>
              <w:t>承包人应当根据《施工现场临时用电安全技术规范》（JGJ46-2005）及其适用的修订版本的规定和施工要求编制施工临时用电方案。临时用电方案及其变更必须履行“编制、审核、批准”程序。施工临时用电方案应当由电气工程技术人员组织编制，经企业技术负责人批准后实施，经编制、审核、批准部门和使用单位共同验收合格后方可投入使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6.3.2</w:t>
            </w:r>
          </w:p>
        </w:tc>
        <w:tc>
          <w:tcPr>
            <w:tcW w:w="7364" w:type="dxa"/>
          </w:tcPr>
          <w:p>
            <w:pPr>
              <w:pStyle w:val="29"/>
              <w:spacing w:after="156" w:afterLines="50" w:line="300" w:lineRule="auto"/>
              <w:rPr>
                <w:rFonts w:hAnsi="宋体" w:cs="Arial"/>
                <w:sz w:val="21"/>
                <w:szCs w:val="21"/>
                <w:highlight w:val="none"/>
              </w:rPr>
            </w:pPr>
            <w:r>
              <w:rPr>
                <w:rFonts w:hint="eastAsia" w:hAnsi="宋体"/>
                <w:sz w:val="21"/>
                <w:szCs w:val="21"/>
                <w:highlight w:val="none"/>
              </w:rPr>
              <w:t>承包人应为施工场地（现场），包括为工程各区域，提供、设立和维护必要的临时电力供应系统，并保证电力供应系统始终处于满足供电管理部门要求和正常施工生产所要求的状态，并在工程实际竣工和相应永久系统投入使用后从现场拆除。</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6.3.3</w:t>
            </w:r>
          </w:p>
        </w:tc>
        <w:tc>
          <w:tcPr>
            <w:tcW w:w="7364" w:type="dxa"/>
          </w:tcPr>
          <w:p>
            <w:pPr>
              <w:pStyle w:val="29"/>
              <w:spacing w:after="156" w:afterLines="50" w:line="300" w:lineRule="auto"/>
              <w:rPr>
                <w:rFonts w:hAnsi="宋体"/>
                <w:sz w:val="21"/>
                <w:szCs w:val="21"/>
                <w:highlight w:val="none"/>
              </w:rPr>
            </w:pPr>
            <w:r>
              <w:rPr>
                <w:rFonts w:hint="eastAsia" w:hAnsi="宋体"/>
                <w:sz w:val="21"/>
                <w:szCs w:val="21"/>
                <w:highlight w:val="none"/>
              </w:rPr>
              <w:t>临时供电系统的电缆、电线、配电箱、控制柜、开关箱、漏电保护器等材料设备均应当具有生产（制造）许可证、产品合格证并经过检验合格的产品。临时用电采用三相五线制、三级配电和两极漏电保护供电，三相四线制配电的电缆线路必须采用五芯电缆，按规定设立零</w:t>
            </w:r>
            <w:r>
              <w:rPr>
                <w:rFonts w:hAnsi="宋体"/>
                <w:sz w:val="21"/>
                <w:szCs w:val="21"/>
                <w:highlight w:val="none"/>
              </w:rPr>
              <w:t>线</w:t>
            </w:r>
            <w:r>
              <w:rPr>
                <w:rFonts w:hint="eastAsia" w:hAnsi="宋体"/>
                <w:sz w:val="21"/>
                <w:szCs w:val="21"/>
                <w:highlight w:val="none"/>
              </w:rPr>
              <w:t>和接地</w:t>
            </w:r>
            <w:r>
              <w:rPr>
                <w:rFonts w:hAnsi="宋体"/>
                <w:sz w:val="21"/>
                <w:szCs w:val="21"/>
                <w:highlight w:val="none"/>
              </w:rPr>
              <w:t>线</w:t>
            </w:r>
            <w:r>
              <w:rPr>
                <w:rFonts w:hint="eastAsia" w:hAnsi="宋体"/>
                <w:sz w:val="21"/>
                <w:szCs w:val="21"/>
                <w:highlight w:val="none"/>
              </w:rPr>
              <w:t>。电缆和电线的铺设要符合安全用电标准要求，电缆线路应采用埋地或架空敷设，严禁严地面明设，并应避免机械损伤和介质腐蚀。埋地电缆路径应设方位标志。各种配电设备均设有防止漏电和防雨防水设施。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6.3.4</w:t>
            </w:r>
          </w:p>
        </w:tc>
        <w:tc>
          <w:tcPr>
            <w:tcW w:w="7364" w:type="dxa"/>
          </w:tcPr>
          <w:p>
            <w:pPr>
              <w:pStyle w:val="29"/>
              <w:spacing w:after="156" w:afterLines="50" w:line="300" w:lineRule="auto"/>
              <w:rPr>
                <w:rFonts w:hAnsi="宋体"/>
                <w:sz w:val="21"/>
                <w:szCs w:val="21"/>
                <w:highlight w:val="none"/>
              </w:rPr>
            </w:pPr>
            <w:r>
              <w:rPr>
                <w:rFonts w:hint="eastAsia" w:hAnsi="宋体"/>
                <w:sz w:val="21"/>
                <w:szCs w:val="21"/>
                <w:highlight w:val="none"/>
              </w:rPr>
              <w:t>承包人应在施工作业区、施工道路、临时设施、办公区和生活区设置足够的照明，地下工程照明系统的电压不得高于</w:t>
            </w:r>
            <w:r>
              <w:rPr>
                <w:rFonts w:hAnsi="宋体"/>
                <w:bCs/>
                <w:sz w:val="21"/>
                <w:szCs w:val="21"/>
                <w:highlight w:val="none"/>
              </w:rPr>
              <w:t>36V</w:t>
            </w:r>
            <w:r>
              <w:rPr>
                <w:rFonts w:hint="eastAsia" w:hAnsi="宋体"/>
                <w:sz w:val="21"/>
                <w:szCs w:val="21"/>
                <w:highlight w:val="none"/>
              </w:rPr>
              <w:t>，在潮湿和易触及带电体场所的照明供电电压不应大于</w:t>
            </w:r>
            <w:r>
              <w:rPr>
                <w:rFonts w:hAnsi="宋体"/>
                <w:bCs/>
                <w:sz w:val="21"/>
                <w:szCs w:val="21"/>
                <w:highlight w:val="none"/>
              </w:rPr>
              <w:t>24V</w:t>
            </w:r>
            <w:r>
              <w:rPr>
                <w:rFonts w:hint="eastAsia" w:hAnsi="宋体"/>
                <w:sz w:val="21"/>
                <w:szCs w:val="21"/>
                <w:highlight w:val="none"/>
              </w:rPr>
              <w:t>。不便于使用电器照明的工作面应采用特殊照明设施。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6.3.5</w:t>
            </w:r>
          </w:p>
        </w:tc>
        <w:tc>
          <w:tcPr>
            <w:tcW w:w="7364" w:type="dxa"/>
          </w:tcPr>
          <w:p>
            <w:pPr>
              <w:spacing w:after="156" w:afterLines="50" w:line="300" w:lineRule="auto"/>
              <w:rPr>
                <w:rFonts w:cs="Arial"/>
                <w:szCs w:val="21"/>
                <w:highlight w:val="none"/>
              </w:rPr>
            </w:pPr>
            <w:r>
              <w:rPr>
                <w:rFonts w:hint="eastAsia"/>
                <w:szCs w:val="21"/>
                <w:highlight w:val="none"/>
              </w:rPr>
              <w:t>凡可能漏电伤人或易受雷击的电器及建筑物均应设置接地和避雷装置。承包人应负责避雷装置的采购、安装、管理和维修，并建立定期检查制度。</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6.3.6</w:t>
            </w:r>
          </w:p>
          <w:p>
            <w:pPr>
              <w:spacing w:after="156" w:afterLines="50" w:line="300" w:lineRule="auto"/>
              <w:rPr>
                <w:rFonts w:cs="Arial"/>
                <w:szCs w:val="21"/>
                <w:highlight w:val="none"/>
              </w:rPr>
            </w:pPr>
          </w:p>
        </w:tc>
        <w:tc>
          <w:tcPr>
            <w:tcW w:w="7364" w:type="dxa"/>
          </w:tcPr>
          <w:p>
            <w:pPr>
              <w:spacing w:after="156" w:afterLines="50" w:line="300" w:lineRule="auto"/>
              <w:rPr>
                <w:rFonts w:cs="Arial"/>
                <w:szCs w:val="21"/>
                <w:highlight w:val="none"/>
              </w:rPr>
            </w:pPr>
            <w:r>
              <w:rPr>
                <w:rFonts w:hint="eastAsia" w:cs="Arial"/>
                <w:szCs w:val="21"/>
                <w:highlight w:val="none"/>
              </w:rPr>
              <w:t>临时用电方面的其他</w:t>
            </w:r>
            <w:r>
              <w:rPr>
                <w:rFonts w:cs="Arial"/>
                <w:szCs w:val="21"/>
                <w:highlight w:val="none"/>
              </w:rPr>
              <w:t>要求</w:t>
            </w:r>
            <w:r>
              <w:rPr>
                <w:rFonts w:hint="eastAsia" w:cs="Arial"/>
                <w:szCs w:val="21"/>
                <w:highlight w:val="none"/>
              </w:rPr>
              <w:t>如下：</w:t>
            </w:r>
          </w:p>
          <w:p>
            <w:pPr>
              <w:spacing w:after="156" w:afterLines="50" w:line="300" w:lineRule="auto"/>
              <w:rPr>
                <w:szCs w:val="21"/>
                <w:highlight w:val="none"/>
              </w:rPr>
            </w:pPr>
            <w:r>
              <w:rPr>
                <w:rFonts w:hint="eastAsia"/>
                <w:szCs w:val="21"/>
                <w:highlight w:val="none"/>
                <w:u w:val="single"/>
              </w:rPr>
              <w:t>现场施工所用临电自供电局产权分界点以下移交至承包人并全部由承包人负责维修、管理并承担相关费用。</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13" w:name="_Toc263259800"/>
            <w:r>
              <w:rPr>
                <w:rFonts w:hint="eastAsia" w:cs="Arial"/>
                <w:b/>
                <w:bCs/>
                <w:szCs w:val="21"/>
                <w:highlight w:val="none"/>
              </w:rPr>
              <w:t>6</w:t>
            </w:r>
            <w:r>
              <w:rPr>
                <w:rFonts w:cs="Arial"/>
                <w:b/>
                <w:bCs/>
                <w:szCs w:val="21"/>
                <w:highlight w:val="none"/>
              </w:rPr>
              <w:t>.</w:t>
            </w:r>
            <w:r>
              <w:rPr>
                <w:rFonts w:hint="eastAsia" w:cs="Arial"/>
                <w:b/>
                <w:bCs/>
                <w:szCs w:val="21"/>
                <w:highlight w:val="none"/>
              </w:rPr>
              <w:t>4</w:t>
            </w:r>
            <w:bookmarkEnd w:id="2413"/>
          </w:p>
        </w:tc>
        <w:tc>
          <w:tcPr>
            <w:tcW w:w="7364" w:type="dxa"/>
          </w:tcPr>
          <w:p>
            <w:pPr>
              <w:spacing w:after="156" w:afterLines="50" w:line="300" w:lineRule="auto"/>
              <w:outlineLvl w:val="3"/>
              <w:rPr>
                <w:rFonts w:cs="Arial"/>
                <w:b/>
                <w:bCs/>
                <w:szCs w:val="21"/>
                <w:highlight w:val="none"/>
              </w:rPr>
            </w:pPr>
            <w:bookmarkStart w:id="2414" w:name="_Toc263259801"/>
            <w:r>
              <w:rPr>
                <w:rFonts w:hint="eastAsia" w:cs="Arial"/>
                <w:b/>
                <w:bCs/>
                <w:szCs w:val="21"/>
                <w:highlight w:val="none"/>
              </w:rPr>
              <w:t>劳动保护</w:t>
            </w:r>
            <w:bookmarkEnd w:id="2414"/>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6.4.1</w:t>
            </w:r>
          </w:p>
        </w:tc>
        <w:tc>
          <w:tcPr>
            <w:tcW w:w="7364" w:type="dxa"/>
          </w:tcPr>
          <w:p>
            <w:pPr>
              <w:spacing w:after="156" w:afterLines="50" w:line="300" w:lineRule="auto"/>
              <w:rPr>
                <w:rFonts w:cs="Arial"/>
                <w:szCs w:val="21"/>
                <w:highlight w:val="none"/>
              </w:rPr>
            </w:pPr>
            <w:r>
              <w:rPr>
                <w:rFonts w:hint="eastAsia" w:cs="Arial"/>
                <w:szCs w:val="21"/>
                <w:highlight w:val="none"/>
              </w:rPr>
              <w:t>承包人应遵守所有适用于本合同的劳动法规及其他有关法律、法规、规章和规定中关于工人工资标准、劳动时间和劳动条件的规定，</w:t>
            </w:r>
            <w:r>
              <w:rPr>
                <w:rFonts w:hint="eastAsia"/>
                <w:szCs w:val="21"/>
                <w:highlight w:val="none"/>
              </w:rPr>
              <w:t>合理安排现场作业人员的劳动和休息时间，保障劳动者必须的休息时间</w:t>
            </w:r>
            <w:r>
              <w:rPr>
                <w:rFonts w:hint="eastAsia" w:cs="Arial"/>
                <w:szCs w:val="21"/>
                <w:highlight w:val="none"/>
              </w:rPr>
              <w:t>，支付合理的报酬和费用。承包人应按有关行政管理部门的规定为本合同下雇佣的职员和工人办理任何必要的证件、许可、保险和注册等，并保障发包人免于因承包人不能依照或完全依照上述所有法律、法规、规章和规定等可能给发包人带来的任何处罚、索赔、损失和损害等。</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6.4.2</w:t>
            </w:r>
          </w:p>
        </w:tc>
        <w:tc>
          <w:tcPr>
            <w:tcW w:w="7364" w:type="dxa"/>
          </w:tcPr>
          <w:p>
            <w:pPr>
              <w:spacing w:after="156" w:afterLines="50" w:line="300" w:lineRule="auto"/>
              <w:rPr>
                <w:rFonts w:cs="Arial"/>
                <w:szCs w:val="21"/>
                <w:highlight w:val="none"/>
              </w:rPr>
            </w:pPr>
            <w:r>
              <w:rPr>
                <w:rFonts w:hint="eastAsia"/>
                <w:szCs w:val="21"/>
                <w:highlight w:val="none"/>
              </w:rPr>
              <w:t>承包人应按照国家《劳动保护法》的规定，保障现场施工人员的劳动安全。</w:t>
            </w:r>
            <w:r>
              <w:rPr>
                <w:rFonts w:hint="eastAsia" w:cs="Arial"/>
                <w:szCs w:val="21"/>
                <w:highlight w:val="none"/>
              </w:rPr>
              <w:t>承包人应为本合同下雇佣的职员和工人提供适当和充分的劳动保护，包括但不限于安全防护、防寒、防雨、防尘、绝缘保护、常用药品、急救设备、传染病预防等</w:t>
            </w:r>
            <w:r>
              <w:rPr>
                <w:rFonts w:hint="eastAsia"/>
                <w:szCs w:val="21"/>
                <w:highlight w:val="none"/>
              </w:rPr>
              <w:t>。</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6.4.3</w:t>
            </w:r>
          </w:p>
        </w:tc>
        <w:tc>
          <w:tcPr>
            <w:tcW w:w="7364" w:type="dxa"/>
          </w:tcPr>
          <w:p>
            <w:pPr>
              <w:spacing w:after="156" w:afterLines="50" w:line="300" w:lineRule="auto"/>
              <w:rPr>
                <w:rFonts w:cs="Arial"/>
                <w:szCs w:val="21"/>
                <w:highlight w:val="none"/>
              </w:rPr>
            </w:pPr>
            <w:r>
              <w:rPr>
                <w:rFonts w:hint="eastAsia" w:cs="Arial"/>
                <w:szCs w:val="21"/>
                <w:highlight w:val="none"/>
              </w:rPr>
              <w:t>承包人应为其履行本合同所雇佣的职员和工人提供和维护任何必要的膳宿条件和生活环境，包括但不限于宿舍、围栏、供水（饮用及其他目的用水）、供电、卫生设备、食堂及炊具、防火及灭火设备、供热、家具及其他正常膳宿条件和生活环境所需的必需品，并应考虑宗教和民族习惯。</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w:t>
            </w:r>
            <w:r>
              <w:rPr>
                <w:rFonts w:hAnsi="宋体" w:cs="Arial"/>
                <w:sz w:val="21"/>
                <w:szCs w:val="21"/>
                <w:highlight w:val="none"/>
              </w:rPr>
              <w:t>.</w:t>
            </w:r>
            <w:r>
              <w:rPr>
                <w:rFonts w:hint="eastAsia" w:hAnsi="宋体" w:cs="Arial"/>
                <w:sz w:val="21"/>
                <w:szCs w:val="21"/>
                <w:highlight w:val="none"/>
              </w:rPr>
              <w:t>4</w:t>
            </w:r>
            <w:r>
              <w:rPr>
                <w:rFonts w:hAnsi="宋体" w:cs="Arial"/>
                <w:sz w:val="21"/>
                <w:szCs w:val="21"/>
                <w:highlight w:val="none"/>
              </w:rPr>
              <w:t>.</w:t>
            </w:r>
            <w:r>
              <w:rPr>
                <w:rFonts w:hint="eastAsia" w:hAnsi="宋体" w:cs="Arial"/>
                <w:sz w:val="21"/>
                <w:szCs w:val="21"/>
                <w:highlight w:val="none"/>
              </w:rPr>
              <w:t>4</w:t>
            </w:r>
          </w:p>
        </w:tc>
        <w:tc>
          <w:tcPr>
            <w:tcW w:w="7364" w:type="dxa"/>
          </w:tcPr>
          <w:p>
            <w:pPr>
              <w:spacing w:after="156" w:afterLines="50" w:line="300" w:lineRule="auto"/>
              <w:rPr>
                <w:rFonts w:cs="Arial"/>
                <w:szCs w:val="21"/>
                <w:highlight w:val="none"/>
              </w:rPr>
            </w:pPr>
            <w:r>
              <w:rPr>
                <w:rFonts w:hint="eastAsia"/>
                <w:szCs w:val="21"/>
                <w:highlight w:val="none"/>
              </w:rPr>
              <w:t>承包人应为现场工人提供符合政府卫生规定的生活条件并获得必要的许可，保证工人的健康和防止任何传染病，包括工人的食堂、厕所、工具房、宿舍等；承包人应聘请专业的卫生防疫部门定期对现场、工人生活基地和工程进行防疫和卫生的专业检查和处理，包括消灭白蚁、鼠害、蚊蝇和其它害虫，以防对施工人员、现场和永久工程造成任何危害。</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6</w:t>
            </w:r>
            <w:r>
              <w:rPr>
                <w:rFonts w:hAnsi="宋体" w:cs="Arial"/>
                <w:sz w:val="21"/>
                <w:szCs w:val="21"/>
                <w:highlight w:val="none"/>
              </w:rPr>
              <w:t>.</w:t>
            </w:r>
            <w:r>
              <w:rPr>
                <w:rFonts w:hint="eastAsia" w:hAnsi="宋体" w:cs="Arial"/>
                <w:sz w:val="21"/>
                <w:szCs w:val="21"/>
                <w:highlight w:val="none"/>
              </w:rPr>
              <w:t>4</w:t>
            </w:r>
            <w:r>
              <w:rPr>
                <w:rFonts w:hAnsi="宋体" w:cs="Arial"/>
                <w:sz w:val="21"/>
                <w:szCs w:val="21"/>
                <w:highlight w:val="none"/>
              </w:rPr>
              <w:t>.</w:t>
            </w:r>
            <w:r>
              <w:rPr>
                <w:rFonts w:hint="eastAsia" w:hAnsi="宋体" w:cs="Arial"/>
                <w:sz w:val="21"/>
                <w:szCs w:val="21"/>
                <w:highlight w:val="none"/>
              </w:rPr>
              <w:t>5</w:t>
            </w:r>
          </w:p>
        </w:tc>
        <w:tc>
          <w:tcPr>
            <w:tcW w:w="7364" w:type="dxa"/>
          </w:tcPr>
          <w:p>
            <w:pPr>
              <w:spacing w:after="156" w:afterLines="50" w:line="300" w:lineRule="auto"/>
              <w:rPr>
                <w:szCs w:val="21"/>
                <w:highlight w:val="none"/>
              </w:rPr>
            </w:pPr>
            <w:r>
              <w:rPr>
                <w:rFonts w:hint="eastAsia"/>
                <w:szCs w:val="21"/>
                <w:highlight w:val="none"/>
              </w:rPr>
              <w:t>承包人应在现场设立专门的临时医疗站，配备足够的设施、药物和称职的医务人员，承包人还应准备急救担架，用于一旦发生安全事故时对受伤人员的急救。</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4</w:t>
            </w:r>
            <w:r>
              <w:rPr>
                <w:rFonts w:cs="Arial"/>
                <w:szCs w:val="21"/>
                <w:highlight w:val="none"/>
              </w:rPr>
              <w:t>.</w:t>
            </w:r>
            <w:r>
              <w:rPr>
                <w:rFonts w:hint="eastAsia" w:cs="Arial"/>
                <w:szCs w:val="21"/>
                <w:highlight w:val="none"/>
              </w:rPr>
              <w:t>6</w:t>
            </w:r>
          </w:p>
        </w:tc>
        <w:tc>
          <w:tcPr>
            <w:tcW w:w="7364" w:type="dxa"/>
          </w:tcPr>
          <w:p>
            <w:pPr>
              <w:spacing w:after="156" w:afterLines="50" w:line="300" w:lineRule="auto"/>
              <w:rPr>
                <w:szCs w:val="21"/>
                <w:highlight w:val="none"/>
                <w:u w:val="single"/>
              </w:rPr>
            </w:pPr>
            <w:r>
              <w:rPr>
                <w:rFonts w:hint="eastAsia" w:cs="Arial"/>
                <w:szCs w:val="21"/>
                <w:highlight w:val="none"/>
              </w:rPr>
              <w:t>劳动保护方面的其他</w:t>
            </w:r>
            <w:r>
              <w:rPr>
                <w:rFonts w:cs="Arial"/>
                <w:szCs w:val="21"/>
                <w:highlight w:val="none"/>
              </w:rPr>
              <w:t>要求</w:t>
            </w:r>
            <w:r>
              <w:rPr>
                <w:rFonts w:hint="eastAsia" w:cs="Arial"/>
                <w:szCs w:val="21"/>
                <w:highlight w:val="none"/>
              </w:rPr>
              <w:t>如下：</w:t>
            </w:r>
            <w:r>
              <w:rPr>
                <w:rFonts w:hint="eastAsia"/>
                <w:szCs w:val="21"/>
                <w:highlight w:val="none"/>
                <w:u w:val="single"/>
              </w:rPr>
              <w:t xml:space="preserve">     /        </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15" w:name="_Toc263259802"/>
            <w:r>
              <w:rPr>
                <w:rFonts w:hint="eastAsia" w:cs="Arial"/>
                <w:b/>
                <w:bCs/>
                <w:szCs w:val="21"/>
                <w:highlight w:val="none"/>
              </w:rPr>
              <w:t>6</w:t>
            </w:r>
            <w:r>
              <w:rPr>
                <w:rFonts w:cs="Arial"/>
                <w:b/>
                <w:bCs/>
                <w:szCs w:val="21"/>
                <w:highlight w:val="none"/>
              </w:rPr>
              <w:t>.</w:t>
            </w:r>
            <w:r>
              <w:rPr>
                <w:rFonts w:hint="eastAsia" w:cs="Arial"/>
                <w:b/>
                <w:bCs/>
                <w:szCs w:val="21"/>
                <w:highlight w:val="none"/>
              </w:rPr>
              <w:t>5</w:t>
            </w:r>
            <w:bookmarkEnd w:id="2415"/>
          </w:p>
        </w:tc>
        <w:tc>
          <w:tcPr>
            <w:tcW w:w="7364" w:type="dxa"/>
          </w:tcPr>
          <w:p>
            <w:pPr>
              <w:spacing w:after="156" w:afterLines="50" w:line="300" w:lineRule="auto"/>
              <w:outlineLvl w:val="3"/>
              <w:rPr>
                <w:rFonts w:cs="Arial"/>
                <w:b/>
                <w:bCs/>
                <w:szCs w:val="21"/>
                <w:highlight w:val="none"/>
              </w:rPr>
            </w:pPr>
            <w:bookmarkStart w:id="2416" w:name="_Toc263259803"/>
            <w:r>
              <w:rPr>
                <w:rFonts w:hint="eastAsia" w:cs="Arial"/>
                <w:b/>
                <w:bCs/>
                <w:szCs w:val="21"/>
                <w:highlight w:val="none"/>
              </w:rPr>
              <w:t>脚手架</w:t>
            </w:r>
            <w:bookmarkEnd w:id="2416"/>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6.5.1</w:t>
            </w:r>
          </w:p>
        </w:tc>
        <w:tc>
          <w:tcPr>
            <w:tcW w:w="7364" w:type="dxa"/>
          </w:tcPr>
          <w:p>
            <w:pPr>
              <w:spacing w:after="156" w:afterLines="50" w:line="300" w:lineRule="auto"/>
              <w:rPr>
                <w:szCs w:val="21"/>
                <w:highlight w:val="none"/>
              </w:rPr>
            </w:pPr>
            <w:r>
              <w:rPr>
                <w:rFonts w:hint="eastAsia"/>
                <w:szCs w:val="21"/>
                <w:highlight w:val="none"/>
              </w:rPr>
              <w:t>承包人应搭设并维护一切必要的临时脚手架、挑平台并配以脚手板、安全网、护身栏杆、门架、马道、坡道、爬梯等等。脚手架和挑平台的搭设应满足有关安全生产的法律、法规、规范、标准和规程等的要求。新搭设的脚手架投入使用前，承包人必须组织安全检查和验收，并对使用脚手架的作业人员进行安全交底。</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6.5.2</w:t>
            </w:r>
          </w:p>
        </w:tc>
        <w:tc>
          <w:tcPr>
            <w:tcW w:w="7364" w:type="dxa"/>
          </w:tcPr>
          <w:p>
            <w:pPr>
              <w:spacing w:after="156" w:afterLines="50" w:line="300" w:lineRule="auto"/>
              <w:rPr>
                <w:szCs w:val="21"/>
                <w:highlight w:val="none"/>
              </w:rPr>
            </w:pPr>
            <w:r>
              <w:rPr>
                <w:rFonts w:hint="eastAsia"/>
                <w:szCs w:val="21"/>
                <w:highlight w:val="none"/>
              </w:rPr>
              <w:t>所有脚手架，尤其是大型、复杂、高耸和非常规脚手架，要编制专项施工方案，还应当经过安全验算，脚手架安全验算结果必须报送监理人核查后方可实施。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6.5.3</w:t>
            </w:r>
          </w:p>
        </w:tc>
        <w:tc>
          <w:tcPr>
            <w:tcW w:w="7364" w:type="dxa"/>
          </w:tcPr>
          <w:p>
            <w:pPr>
              <w:spacing w:after="156" w:afterLines="50" w:line="300" w:lineRule="auto"/>
              <w:rPr>
                <w:szCs w:val="21"/>
                <w:highlight w:val="none"/>
              </w:rPr>
            </w:pPr>
            <w:r>
              <w:rPr>
                <w:rFonts w:hint="eastAsia"/>
                <w:szCs w:val="21"/>
                <w:highlight w:val="none"/>
              </w:rPr>
              <w:t>搭设爬架、挂架、超高脚手架等特种或新型脚手架时，承包人应确保此类脚手架的安全性和保证此类脚手架已经过有关行政管理部门允许使用的批准，并承担与此有关的一切费用。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5</w:t>
            </w:r>
            <w:r>
              <w:rPr>
                <w:rFonts w:cs="Arial"/>
                <w:szCs w:val="21"/>
                <w:highlight w:val="none"/>
              </w:rPr>
              <w:t>.</w:t>
            </w:r>
            <w:r>
              <w:rPr>
                <w:rFonts w:hint="eastAsia" w:cs="Arial"/>
                <w:szCs w:val="21"/>
                <w:highlight w:val="none"/>
              </w:rPr>
              <w:t>4</w:t>
            </w:r>
          </w:p>
        </w:tc>
        <w:tc>
          <w:tcPr>
            <w:tcW w:w="7364" w:type="dxa"/>
          </w:tcPr>
          <w:p>
            <w:pPr>
              <w:spacing w:after="156" w:afterLines="50" w:line="300" w:lineRule="auto"/>
              <w:rPr>
                <w:szCs w:val="21"/>
                <w:highlight w:val="none"/>
              </w:rPr>
            </w:pPr>
            <w:r>
              <w:rPr>
                <w:rFonts w:hint="eastAsia"/>
                <w:szCs w:val="21"/>
                <w:highlight w:val="none"/>
              </w:rPr>
              <w:t>承包人应当加强脚手架的日常安全巡查，及时对其中的安全隐患进行整改，确保脚手架使用安全。雨、雪、雾、霜和大风等天气后，承包人必须对脚手架进行安全巡查，并及时消除安全隐患。</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5</w:t>
            </w:r>
            <w:r>
              <w:rPr>
                <w:rFonts w:cs="Arial"/>
                <w:szCs w:val="21"/>
                <w:highlight w:val="none"/>
              </w:rPr>
              <w:t>.</w:t>
            </w:r>
            <w:r>
              <w:rPr>
                <w:rFonts w:hint="eastAsia" w:cs="Arial"/>
                <w:szCs w:val="21"/>
                <w:highlight w:val="none"/>
              </w:rPr>
              <w:t>5</w:t>
            </w:r>
          </w:p>
        </w:tc>
        <w:tc>
          <w:tcPr>
            <w:tcW w:w="7364" w:type="dxa"/>
          </w:tcPr>
          <w:p>
            <w:pPr>
              <w:spacing w:after="156" w:afterLines="50" w:line="300" w:lineRule="auto"/>
              <w:rPr>
                <w:szCs w:val="21"/>
                <w:highlight w:val="none"/>
              </w:rPr>
            </w:pPr>
            <w:r>
              <w:rPr>
                <w:rFonts w:hint="eastAsia"/>
                <w:szCs w:val="21"/>
                <w:highlight w:val="none"/>
              </w:rPr>
              <w:t>承包人应允许发包人、监理人、专业分包人、独立承包人（如果有）和有关行政管理部门或者机构免费使用承包人在现场搭设的任何已有脚手架，并就其安全使用做必要交底说明。承包人在拆除任何脚手架前，应书面请示监理人他将要拆除的脚手架是否为发包人、监理人、专业分包人、独立承包人（如果有）和政府有关机构所需，只有在获得监理人书面批准后，承包人才能拆除相关脚手架，否则承包人应自费重新搭设。</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5</w:t>
            </w:r>
            <w:r>
              <w:rPr>
                <w:rFonts w:cs="Arial"/>
                <w:szCs w:val="21"/>
                <w:highlight w:val="none"/>
              </w:rPr>
              <w:t>.</w:t>
            </w:r>
            <w:r>
              <w:rPr>
                <w:rFonts w:hint="eastAsia" w:cs="Arial"/>
                <w:szCs w:val="21"/>
                <w:highlight w:val="none"/>
              </w:rPr>
              <w:t>6</w:t>
            </w:r>
          </w:p>
        </w:tc>
        <w:tc>
          <w:tcPr>
            <w:tcW w:w="7364" w:type="dxa"/>
          </w:tcPr>
          <w:p>
            <w:pPr>
              <w:spacing w:after="156" w:afterLines="50" w:line="300" w:lineRule="auto"/>
              <w:rPr>
                <w:szCs w:val="21"/>
                <w:highlight w:val="none"/>
                <w:u w:val="single"/>
              </w:rPr>
            </w:pPr>
            <w:r>
              <w:rPr>
                <w:rFonts w:hint="eastAsia" w:cs="Arial"/>
                <w:szCs w:val="21"/>
                <w:highlight w:val="none"/>
              </w:rPr>
              <w:t>脚手架的其他</w:t>
            </w:r>
            <w:r>
              <w:rPr>
                <w:rFonts w:cs="Arial"/>
                <w:szCs w:val="21"/>
                <w:highlight w:val="none"/>
              </w:rPr>
              <w:t>要求</w:t>
            </w:r>
            <w:r>
              <w:rPr>
                <w:rFonts w:hint="eastAsia" w:cs="Arial"/>
                <w:szCs w:val="21"/>
                <w:highlight w:val="none"/>
              </w:rPr>
              <w:t>如下：</w:t>
            </w:r>
            <w:r>
              <w:rPr>
                <w:rFonts w:hint="eastAsia"/>
                <w:szCs w:val="21"/>
                <w:highlight w:val="none"/>
                <w:u w:val="single"/>
              </w:rPr>
              <w:t xml:space="preserve">       /           。</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17" w:name="_Toc263259804"/>
            <w:r>
              <w:rPr>
                <w:rFonts w:hint="eastAsia" w:cs="Arial"/>
                <w:b/>
                <w:bCs/>
                <w:szCs w:val="21"/>
                <w:highlight w:val="none"/>
              </w:rPr>
              <w:t>6</w:t>
            </w:r>
            <w:r>
              <w:rPr>
                <w:rFonts w:cs="Arial"/>
                <w:b/>
                <w:bCs/>
                <w:szCs w:val="21"/>
                <w:highlight w:val="none"/>
              </w:rPr>
              <w:t>.</w:t>
            </w:r>
            <w:r>
              <w:rPr>
                <w:rFonts w:hint="eastAsia" w:cs="Arial"/>
                <w:b/>
                <w:bCs/>
                <w:szCs w:val="21"/>
                <w:highlight w:val="none"/>
              </w:rPr>
              <w:t>6</w:t>
            </w:r>
            <w:bookmarkEnd w:id="2417"/>
          </w:p>
        </w:tc>
        <w:tc>
          <w:tcPr>
            <w:tcW w:w="7364" w:type="dxa"/>
          </w:tcPr>
          <w:p>
            <w:pPr>
              <w:spacing w:after="156" w:afterLines="50" w:line="300" w:lineRule="auto"/>
              <w:outlineLvl w:val="3"/>
              <w:rPr>
                <w:rFonts w:cs="Arial"/>
                <w:b/>
                <w:bCs/>
                <w:szCs w:val="21"/>
                <w:highlight w:val="none"/>
              </w:rPr>
            </w:pPr>
            <w:bookmarkStart w:id="2418" w:name="_Toc263259805"/>
            <w:r>
              <w:rPr>
                <w:rFonts w:hint="eastAsia" w:cs="Arial"/>
                <w:b/>
                <w:bCs/>
                <w:szCs w:val="21"/>
                <w:highlight w:val="none"/>
              </w:rPr>
              <w:t>施工安全措施计划</w:t>
            </w:r>
            <w:bookmarkEnd w:id="241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6.6.1</w:t>
            </w:r>
          </w:p>
        </w:tc>
        <w:tc>
          <w:tcPr>
            <w:tcW w:w="7364" w:type="dxa"/>
          </w:tcPr>
          <w:p>
            <w:pPr>
              <w:spacing w:after="156" w:afterLines="50" w:line="300" w:lineRule="auto"/>
              <w:rPr>
                <w:szCs w:val="21"/>
                <w:highlight w:val="none"/>
              </w:rPr>
            </w:pPr>
            <w:r>
              <w:rPr>
                <w:rFonts w:hint="eastAsia"/>
                <w:szCs w:val="21"/>
                <w:highlight w:val="none"/>
              </w:rPr>
              <w:t>承包人应根据《中华人民共和国安全生产法》、《职业健康安全管理体系规范》、《中华人民共和国消防法》、《中华人民共和国道路交通安全法》、《中华人民共和国传染病防治法实施办法》和地方有关的法规等，按照合同条款第9.2.1项的约定，编制一份施工安全措施计划，报送监理人审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6</w:t>
            </w:r>
            <w:r>
              <w:rPr>
                <w:rFonts w:cs="Arial"/>
                <w:szCs w:val="21"/>
                <w:highlight w:val="none"/>
              </w:rPr>
              <w:t>.</w:t>
            </w:r>
            <w:r>
              <w:rPr>
                <w:rFonts w:hint="eastAsia" w:cs="Arial"/>
                <w:szCs w:val="21"/>
                <w:highlight w:val="none"/>
              </w:rPr>
              <w:t>2</w:t>
            </w:r>
          </w:p>
        </w:tc>
        <w:tc>
          <w:tcPr>
            <w:tcW w:w="7364" w:type="dxa"/>
          </w:tcPr>
          <w:p>
            <w:pPr>
              <w:spacing w:after="156" w:afterLines="50" w:line="300" w:lineRule="auto"/>
              <w:rPr>
                <w:szCs w:val="21"/>
                <w:highlight w:val="none"/>
              </w:rPr>
            </w:pPr>
            <w:r>
              <w:rPr>
                <w:rFonts w:hint="eastAsia"/>
                <w:szCs w:val="21"/>
                <w:highlight w:val="none"/>
              </w:rPr>
              <w:t>施工安全措施计划是承包人阐明其安全管理方针、管理体系、安全制度和安全措施等的文件，其内容应当反映现行法律法规规定的和合同条款约定的以及本条上述约定的承包人安全职责，包括但不限于：</w:t>
            </w:r>
          </w:p>
          <w:p>
            <w:pPr>
              <w:spacing w:after="156" w:afterLines="50" w:line="300" w:lineRule="auto"/>
              <w:rPr>
                <w:szCs w:val="21"/>
                <w:highlight w:val="none"/>
              </w:rPr>
            </w:pPr>
            <w:r>
              <w:rPr>
                <w:rFonts w:hint="eastAsia"/>
                <w:szCs w:val="21"/>
                <w:highlight w:val="none"/>
              </w:rPr>
              <w:t>（1）施工安全管理机构的设置；</w:t>
            </w:r>
          </w:p>
          <w:p>
            <w:pPr>
              <w:spacing w:after="156" w:afterLines="50" w:line="300" w:lineRule="auto"/>
              <w:rPr>
                <w:szCs w:val="21"/>
                <w:highlight w:val="none"/>
              </w:rPr>
            </w:pPr>
            <w:r>
              <w:rPr>
                <w:rFonts w:hint="eastAsia"/>
                <w:szCs w:val="21"/>
                <w:highlight w:val="none"/>
              </w:rPr>
              <w:t>（2）专职安全管理人员的配备；</w:t>
            </w:r>
          </w:p>
          <w:p>
            <w:pPr>
              <w:spacing w:after="156" w:afterLines="50" w:line="300" w:lineRule="auto"/>
              <w:rPr>
                <w:szCs w:val="21"/>
                <w:highlight w:val="none"/>
              </w:rPr>
            </w:pPr>
            <w:r>
              <w:rPr>
                <w:rFonts w:hint="eastAsia"/>
                <w:szCs w:val="21"/>
                <w:highlight w:val="none"/>
              </w:rPr>
              <w:t>（3）安全责任制度和管理措施；</w:t>
            </w:r>
          </w:p>
          <w:p>
            <w:pPr>
              <w:spacing w:after="156" w:afterLines="50" w:line="300" w:lineRule="auto"/>
              <w:rPr>
                <w:szCs w:val="21"/>
                <w:highlight w:val="none"/>
              </w:rPr>
            </w:pPr>
            <w:r>
              <w:rPr>
                <w:rFonts w:hint="eastAsia"/>
                <w:szCs w:val="21"/>
                <w:highlight w:val="none"/>
              </w:rPr>
              <w:t>（4）安全教育和培训制度及管理措施；</w:t>
            </w:r>
          </w:p>
          <w:p>
            <w:pPr>
              <w:spacing w:after="156" w:afterLines="50" w:line="300" w:lineRule="auto"/>
              <w:rPr>
                <w:szCs w:val="21"/>
                <w:highlight w:val="none"/>
              </w:rPr>
            </w:pPr>
            <w:r>
              <w:rPr>
                <w:rFonts w:hint="eastAsia"/>
                <w:szCs w:val="21"/>
                <w:highlight w:val="none"/>
              </w:rPr>
              <w:t>（5）各项安全生产规章制度和操作规程；</w:t>
            </w:r>
          </w:p>
          <w:p>
            <w:pPr>
              <w:spacing w:after="156" w:afterLines="50" w:line="300" w:lineRule="auto"/>
              <w:rPr>
                <w:szCs w:val="21"/>
                <w:highlight w:val="none"/>
              </w:rPr>
            </w:pPr>
            <w:r>
              <w:rPr>
                <w:rFonts w:hint="eastAsia"/>
                <w:szCs w:val="21"/>
                <w:highlight w:val="none"/>
              </w:rPr>
              <w:t>（6）各项施工安全措施和防护措施；</w:t>
            </w:r>
          </w:p>
          <w:p>
            <w:pPr>
              <w:spacing w:after="156" w:afterLines="50" w:line="300" w:lineRule="auto"/>
              <w:rPr>
                <w:szCs w:val="21"/>
                <w:highlight w:val="none"/>
              </w:rPr>
            </w:pPr>
            <w:r>
              <w:rPr>
                <w:rFonts w:hint="eastAsia"/>
                <w:szCs w:val="21"/>
                <w:highlight w:val="none"/>
              </w:rPr>
              <w:t>（7）危险品管理和使用制度；</w:t>
            </w:r>
          </w:p>
          <w:p>
            <w:pPr>
              <w:spacing w:after="156" w:afterLines="50" w:line="300" w:lineRule="auto"/>
              <w:rPr>
                <w:szCs w:val="21"/>
                <w:highlight w:val="none"/>
              </w:rPr>
            </w:pPr>
            <w:r>
              <w:rPr>
                <w:rFonts w:hint="eastAsia"/>
                <w:szCs w:val="21"/>
                <w:highlight w:val="none"/>
              </w:rPr>
              <w:t>（8）安全设施、设备、器材和劳动保护用品的配置；</w:t>
            </w:r>
          </w:p>
          <w:p>
            <w:pPr>
              <w:spacing w:after="156" w:afterLines="50" w:line="300" w:lineRule="auto"/>
              <w:rPr>
                <w:szCs w:val="21"/>
                <w:highlight w:val="none"/>
              </w:rPr>
            </w:pPr>
            <w:r>
              <w:rPr>
                <w:rFonts w:hint="eastAsia"/>
                <w:szCs w:val="21"/>
                <w:highlight w:val="none"/>
              </w:rPr>
              <w:t>（9）其他：</w:t>
            </w:r>
            <w:r>
              <w:rPr>
                <w:rFonts w:hint="eastAsia"/>
                <w:szCs w:val="21"/>
                <w:highlight w:val="none"/>
                <w:u w:val="single"/>
              </w:rPr>
              <w:t xml:space="preserve">           /                           </w:t>
            </w:r>
            <w:r>
              <w:rPr>
                <w:rFonts w:hint="eastAsia"/>
                <w:szCs w:val="21"/>
                <w:highlight w:val="none"/>
              </w:rPr>
              <w:t>。</w:t>
            </w:r>
          </w:p>
          <w:p>
            <w:pPr>
              <w:spacing w:after="156" w:afterLines="50" w:line="300" w:lineRule="auto"/>
              <w:rPr>
                <w:szCs w:val="21"/>
                <w:highlight w:val="none"/>
              </w:rPr>
            </w:pPr>
            <w:r>
              <w:rPr>
                <w:rFonts w:hint="eastAsia"/>
                <w:szCs w:val="21"/>
                <w:highlight w:val="none"/>
              </w:rPr>
              <w:t>施工安全措施的项目和范围，应符合国家颁发的《安全技术措施计划的项目总名称表》及其附录</w:t>
            </w:r>
            <w:r>
              <w:rPr>
                <w:szCs w:val="21"/>
                <w:highlight w:val="none"/>
              </w:rPr>
              <w:t>H</w:t>
            </w:r>
            <w:r>
              <w:rPr>
                <w:rFonts w:hint="eastAsia"/>
                <w:szCs w:val="21"/>
                <w:highlight w:val="none"/>
              </w:rPr>
              <w:t>、</w:t>
            </w:r>
            <w:r>
              <w:rPr>
                <w:szCs w:val="21"/>
                <w:highlight w:val="none"/>
              </w:rPr>
              <w:t>I</w:t>
            </w:r>
            <w:r>
              <w:rPr>
                <w:rFonts w:hint="eastAsia"/>
                <w:szCs w:val="21"/>
                <w:highlight w:val="none"/>
              </w:rPr>
              <w:t>、</w:t>
            </w:r>
            <w:r>
              <w:rPr>
                <w:szCs w:val="21"/>
                <w:highlight w:val="none"/>
              </w:rPr>
              <w:t>J</w:t>
            </w:r>
            <w:r>
              <w:rPr>
                <w:rFonts w:hint="eastAsia"/>
                <w:szCs w:val="21"/>
                <w:highlight w:val="none"/>
              </w:rPr>
              <w:t>的规定，即应采取以改善劳动条件，防止工伤事故，预防职业病和职业中毒为目的的一切施工安全措施，以及修建必要的安全设施、配备安全技术开发试验所需的器材、设备和技术资料，并对现场的施工管理及作业人员做好相应的安全宣传教育。</w:t>
            </w:r>
          </w:p>
        </w:tc>
      </w:tr>
      <w:tr>
        <w:tblPrEx>
          <w:tblCellMar>
            <w:top w:w="0" w:type="dxa"/>
            <w:left w:w="108" w:type="dxa"/>
            <w:bottom w:w="0" w:type="dxa"/>
            <w:right w:w="108" w:type="dxa"/>
          </w:tblCellMar>
        </w:tblPrEx>
        <w:tc>
          <w:tcPr>
            <w:tcW w:w="1056" w:type="dxa"/>
          </w:tcPr>
          <w:p>
            <w:pPr>
              <w:spacing w:after="156" w:afterLines="50" w:line="300" w:lineRule="auto"/>
              <w:rPr>
                <w:rFonts w:cs="Arial Unicode MS"/>
                <w:szCs w:val="21"/>
                <w:highlight w:val="none"/>
              </w:rPr>
            </w:pPr>
            <w:r>
              <w:rPr>
                <w:rFonts w:hint="eastAsia" w:cs="Arial Unicode MS"/>
                <w:szCs w:val="21"/>
                <w:highlight w:val="none"/>
              </w:rPr>
              <w:t>6</w:t>
            </w:r>
            <w:r>
              <w:rPr>
                <w:rFonts w:cs="Arial Unicode MS"/>
                <w:szCs w:val="21"/>
                <w:highlight w:val="none"/>
              </w:rPr>
              <w:t>.</w:t>
            </w:r>
            <w:r>
              <w:rPr>
                <w:rFonts w:hint="eastAsia" w:cs="Arial Unicode MS"/>
                <w:szCs w:val="21"/>
                <w:highlight w:val="none"/>
              </w:rPr>
              <w:t>6</w:t>
            </w:r>
            <w:r>
              <w:rPr>
                <w:rFonts w:cs="Arial Unicode MS"/>
                <w:szCs w:val="21"/>
                <w:highlight w:val="none"/>
              </w:rPr>
              <w:t>.</w:t>
            </w:r>
            <w:r>
              <w:rPr>
                <w:rFonts w:hint="eastAsia" w:cs="Arial Unicode MS"/>
                <w:szCs w:val="21"/>
                <w:highlight w:val="none"/>
              </w:rPr>
              <w:t>3</w:t>
            </w:r>
          </w:p>
        </w:tc>
        <w:tc>
          <w:tcPr>
            <w:tcW w:w="7364" w:type="dxa"/>
          </w:tcPr>
          <w:p>
            <w:pPr>
              <w:spacing w:after="156" w:afterLines="50" w:line="300" w:lineRule="auto"/>
              <w:rPr>
                <w:rFonts w:cs="Arial"/>
                <w:szCs w:val="21"/>
                <w:highlight w:val="none"/>
              </w:rPr>
            </w:pPr>
            <w:r>
              <w:rPr>
                <w:rFonts w:hint="eastAsia"/>
                <w:szCs w:val="21"/>
                <w:highlight w:val="none"/>
              </w:rPr>
              <w:t>施工安全措施计划应当在专用合同条款第9.2.1项约定的期限内报送监理人。承包人应当严格执行经监理人批准的施工安全措施计划，并及时补充、修订和完善施工安全措施计划，确保安全生产。</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19" w:name="_Toc263259806"/>
            <w:r>
              <w:rPr>
                <w:rFonts w:hint="eastAsia" w:cs="Arial"/>
                <w:b/>
                <w:bCs/>
                <w:szCs w:val="21"/>
                <w:highlight w:val="none"/>
              </w:rPr>
              <w:t>6</w:t>
            </w:r>
            <w:r>
              <w:rPr>
                <w:rFonts w:cs="Arial"/>
                <w:b/>
                <w:bCs/>
                <w:szCs w:val="21"/>
                <w:highlight w:val="none"/>
              </w:rPr>
              <w:t>.</w:t>
            </w:r>
            <w:r>
              <w:rPr>
                <w:rFonts w:hint="eastAsia" w:cs="Arial"/>
                <w:b/>
                <w:bCs/>
                <w:szCs w:val="21"/>
                <w:highlight w:val="none"/>
              </w:rPr>
              <w:t>7</w:t>
            </w:r>
            <w:bookmarkEnd w:id="2419"/>
          </w:p>
        </w:tc>
        <w:tc>
          <w:tcPr>
            <w:tcW w:w="7364" w:type="dxa"/>
          </w:tcPr>
          <w:p>
            <w:pPr>
              <w:spacing w:after="156" w:afterLines="50" w:line="300" w:lineRule="auto"/>
              <w:outlineLvl w:val="3"/>
              <w:rPr>
                <w:rFonts w:cs="Arial"/>
                <w:b/>
                <w:bCs/>
                <w:szCs w:val="21"/>
                <w:highlight w:val="none"/>
              </w:rPr>
            </w:pPr>
            <w:bookmarkStart w:id="2420" w:name="_Toc263259807"/>
            <w:r>
              <w:rPr>
                <w:rFonts w:hint="eastAsia" w:cs="Arial"/>
                <w:b/>
                <w:bCs/>
                <w:szCs w:val="21"/>
                <w:highlight w:val="none"/>
              </w:rPr>
              <w:t>文明施工</w:t>
            </w:r>
            <w:bookmarkEnd w:id="2420"/>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6.7.1</w:t>
            </w:r>
          </w:p>
        </w:tc>
        <w:tc>
          <w:tcPr>
            <w:tcW w:w="7364" w:type="dxa"/>
          </w:tcPr>
          <w:p>
            <w:pPr>
              <w:spacing w:after="156" w:afterLines="50" w:line="300" w:lineRule="auto"/>
              <w:rPr>
                <w:rFonts w:cs="Arial"/>
                <w:szCs w:val="21"/>
                <w:highlight w:val="none"/>
              </w:rPr>
            </w:pPr>
            <w:r>
              <w:rPr>
                <w:rFonts w:hint="eastAsia" w:cs="Arial"/>
                <w:szCs w:val="21"/>
                <w:highlight w:val="none"/>
              </w:rPr>
              <w:t>承包人应遵守国家和工程所在地有关法规、规范、规程和标准的规定， 履行文明施工义务，确保文明施工专项费用专款专用。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2</w:t>
            </w:r>
          </w:p>
        </w:tc>
        <w:tc>
          <w:tcPr>
            <w:tcW w:w="7364" w:type="dxa"/>
          </w:tcPr>
          <w:p>
            <w:pPr>
              <w:rPr>
                <w:rFonts w:cs="Arial"/>
                <w:szCs w:val="21"/>
                <w:highlight w:val="none"/>
              </w:rPr>
            </w:pPr>
            <w:r>
              <w:rPr>
                <w:rFonts w:hint="eastAsia" w:cs="Arial"/>
                <w:szCs w:val="21"/>
                <w:highlight w:val="none"/>
              </w:rPr>
              <w:t>承包人应当规范现场施工秩序，实行标准化管理：</w:t>
            </w:r>
          </w:p>
          <w:p>
            <w:pPr>
              <w:numPr>
                <w:ilvl w:val="0"/>
                <w:numId w:val="25"/>
              </w:numPr>
              <w:spacing w:after="156" w:afterLines="50" w:line="300" w:lineRule="auto"/>
              <w:rPr>
                <w:szCs w:val="21"/>
                <w:highlight w:val="none"/>
              </w:rPr>
            </w:pPr>
            <w:r>
              <w:rPr>
                <w:rFonts w:hint="eastAsia"/>
                <w:szCs w:val="21"/>
                <w:highlight w:val="none"/>
              </w:rPr>
              <w:t>承包人的施工场地（现场）必须干净整洁、做到无积水、无淤泥、无杂物，材料堆放整齐；</w:t>
            </w:r>
          </w:p>
          <w:p>
            <w:pPr>
              <w:numPr>
                <w:ilvl w:val="0"/>
                <w:numId w:val="25"/>
              </w:numPr>
              <w:spacing w:after="156" w:afterLines="50" w:line="300" w:lineRule="auto"/>
              <w:rPr>
                <w:szCs w:val="21"/>
                <w:highlight w:val="none"/>
              </w:rPr>
            </w:pPr>
            <w:r>
              <w:rPr>
                <w:rFonts w:hint="eastAsia"/>
                <w:szCs w:val="21"/>
                <w:highlight w:val="none"/>
              </w:rPr>
              <w:t>施工现场土方应当集中堆放，裸露的场地和集中堆放的土方应当采取覆盖、固化或绿化等措施；</w:t>
            </w:r>
          </w:p>
          <w:p>
            <w:pPr>
              <w:numPr>
                <w:ilvl w:val="0"/>
                <w:numId w:val="25"/>
              </w:numPr>
              <w:spacing w:after="156" w:afterLines="50" w:line="300" w:lineRule="auto"/>
              <w:rPr>
                <w:szCs w:val="21"/>
                <w:highlight w:val="none"/>
              </w:rPr>
            </w:pPr>
            <w:r>
              <w:rPr>
                <w:rFonts w:hint="eastAsia"/>
                <w:szCs w:val="21"/>
                <w:highlight w:val="none"/>
              </w:rPr>
              <w:t>施工场地（现场）应进行硬化处理，定期定时洒水，做好防治扬尘和大气污染工作；</w:t>
            </w:r>
          </w:p>
          <w:p>
            <w:pPr>
              <w:numPr>
                <w:ilvl w:val="0"/>
                <w:numId w:val="25"/>
              </w:numPr>
              <w:spacing w:after="156" w:afterLines="50" w:line="300" w:lineRule="auto"/>
              <w:rPr>
                <w:szCs w:val="21"/>
                <w:highlight w:val="none"/>
              </w:rPr>
            </w:pPr>
            <w:r>
              <w:rPr>
                <w:rFonts w:hint="eastAsia"/>
                <w:szCs w:val="21"/>
                <w:highlight w:val="none"/>
              </w:rPr>
              <w:t>严格遵守“工完、料尽、场地净”的原则，不留垃圾、不留剩余施工材料和施工机具，各种设备运转正常；</w:t>
            </w:r>
          </w:p>
          <w:p>
            <w:pPr>
              <w:numPr>
                <w:ilvl w:val="0"/>
                <w:numId w:val="25"/>
              </w:numPr>
              <w:spacing w:after="156" w:afterLines="50" w:line="300" w:lineRule="auto"/>
              <w:rPr>
                <w:rFonts w:cs="Arial"/>
                <w:szCs w:val="21"/>
                <w:highlight w:val="none"/>
              </w:rPr>
            </w:pPr>
            <w:r>
              <w:rPr>
                <w:rFonts w:hint="eastAsia"/>
                <w:szCs w:val="21"/>
                <w:highlight w:val="none"/>
              </w:rPr>
              <w:t>承包人修建的施工临时设施应符合监理人批准的施工规划要求，并应满足本节规定的各项安全要求；</w:t>
            </w:r>
          </w:p>
          <w:p>
            <w:pPr>
              <w:numPr>
                <w:ilvl w:val="0"/>
                <w:numId w:val="25"/>
              </w:numPr>
              <w:spacing w:after="156" w:afterLines="50" w:line="300" w:lineRule="auto"/>
              <w:rPr>
                <w:rFonts w:cs="Arial"/>
                <w:szCs w:val="21"/>
                <w:highlight w:val="none"/>
              </w:rPr>
            </w:pPr>
            <w:r>
              <w:rPr>
                <w:rFonts w:hint="eastAsia"/>
                <w:szCs w:val="21"/>
                <w:highlight w:val="none"/>
              </w:rPr>
              <w:t>监理人可要求承包人在施工场地（现场）设置各级承包人的安全文明施工责任牌等文明施工警示牌；</w:t>
            </w:r>
          </w:p>
          <w:p>
            <w:pPr>
              <w:numPr>
                <w:ilvl w:val="0"/>
                <w:numId w:val="25"/>
              </w:numPr>
              <w:spacing w:after="156" w:afterLines="50" w:line="300" w:lineRule="auto"/>
              <w:rPr>
                <w:rFonts w:cs="Arial"/>
                <w:szCs w:val="21"/>
                <w:highlight w:val="none"/>
              </w:rPr>
            </w:pPr>
            <w:r>
              <w:rPr>
                <w:rFonts w:hint="eastAsia"/>
                <w:szCs w:val="21"/>
                <w:highlight w:val="none"/>
              </w:rPr>
              <w:t>材料进入现场应按指定位置堆放整齐，不得影响现场施工和堵塞施工、消防通道。材料堆放场地应有专职的管理人员；</w:t>
            </w:r>
          </w:p>
          <w:p>
            <w:pPr>
              <w:numPr>
                <w:ilvl w:val="0"/>
                <w:numId w:val="25"/>
              </w:numPr>
              <w:spacing w:after="156" w:afterLines="50" w:line="300" w:lineRule="auto"/>
              <w:rPr>
                <w:rFonts w:cs="Arial"/>
                <w:szCs w:val="21"/>
                <w:highlight w:val="none"/>
              </w:rPr>
            </w:pPr>
            <w:r>
              <w:rPr>
                <w:rFonts w:hint="eastAsia"/>
                <w:szCs w:val="21"/>
                <w:highlight w:val="none"/>
              </w:rPr>
              <w:t>施工和安装用的各种扣件、紧固件、绳索具、小型配件、镙钉等应在专设的仓库内装箱放置；</w:t>
            </w:r>
          </w:p>
          <w:p>
            <w:pPr>
              <w:numPr>
                <w:ilvl w:val="0"/>
                <w:numId w:val="25"/>
              </w:numPr>
              <w:spacing w:after="156" w:afterLines="50" w:line="300" w:lineRule="auto"/>
              <w:rPr>
                <w:rFonts w:cs="Arial"/>
                <w:szCs w:val="21"/>
                <w:highlight w:val="none"/>
              </w:rPr>
            </w:pPr>
            <w:r>
              <w:rPr>
                <w:rFonts w:hint="eastAsia"/>
                <w:szCs w:val="21"/>
                <w:highlight w:val="none"/>
              </w:rPr>
              <w:t>现场风、水管及照明电线的布置应安全、合理、规范、有序，做到整齐美观。不得随意架设和造成隐患或影响施工；</w:t>
            </w:r>
          </w:p>
          <w:p>
            <w:pPr>
              <w:numPr>
                <w:ilvl w:val="0"/>
                <w:numId w:val="25"/>
              </w:numPr>
              <w:spacing w:after="156" w:afterLines="50" w:line="300" w:lineRule="auto"/>
              <w:rPr>
                <w:rFonts w:cs="Arial"/>
                <w:szCs w:val="21"/>
                <w:highlight w:val="none"/>
              </w:rPr>
            </w:pPr>
            <w:r>
              <w:rPr>
                <w:rFonts w:hint="eastAsia"/>
                <w:szCs w:val="21"/>
                <w:highlight w:val="none"/>
                <w:u w:val="single"/>
              </w:rPr>
              <w:t>建筑拆除工程施工时应采取有效的降尘措施</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3</w:t>
            </w:r>
          </w:p>
        </w:tc>
        <w:tc>
          <w:tcPr>
            <w:tcW w:w="7364" w:type="dxa"/>
          </w:tcPr>
          <w:p>
            <w:pPr>
              <w:spacing w:after="156" w:afterLines="50" w:line="300" w:lineRule="auto"/>
              <w:rPr>
                <w:szCs w:val="21"/>
                <w:highlight w:val="none"/>
              </w:rPr>
            </w:pPr>
            <w:r>
              <w:rPr>
                <w:rFonts w:hint="eastAsia"/>
                <w:szCs w:val="21"/>
                <w:highlight w:val="none"/>
              </w:rPr>
              <w:t>承包人应为其雇佣的施工工人建立并维护相应的生活宿舍、食堂、浴室、厕所和文化活动室等，其标准应满足政府有关机构的生活标准和卫生标准等的要求。</w:t>
            </w:r>
          </w:p>
        </w:tc>
      </w:tr>
      <w:tr>
        <w:tblPrEx>
          <w:tblCellMar>
            <w:top w:w="0" w:type="dxa"/>
            <w:left w:w="108" w:type="dxa"/>
            <w:bottom w:w="0" w:type="dxa"/>
            <w:right w:w="108" w:type="dxa"/>
          </w:tblCellMar>
        </w:tblPrEx>
        <w:trPr>
          <w:trHeight w:val="1815" w:hRule="atLeast"/>
        </w:trPr>
        <w:tc>
          <w:tcPr>
            <w:tcW w:w="1056" w:type="dxa"/>
          </w:tcPr>
          <w:p>
            <w:pPr>
              <w:spacing w:after="156" w:afterLines="50" w:line="300" w:lineRule="auto"/>
              <w:rPr>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4</w:t>
            </w:r>
          </w:p>
        </w:tc>
        <w:tc>
          <w:tcPr>
            <w:tcW w:w="7364" w:type="dxa"/>
          </w:tcPr>
          <w:p>
            <w:pPr>
              <w:spacing w:after="156" w:afterLines="50" w:line="300" w:lineRule="auto"/>
              <w:rPr>
                <w:szCs w:val="21"/>
                <w:highlight w:val="none"/>
              </w:rPr>
            </w:pPr>
            <w:r>
              <w:rPr>
                <w:rFonts w:hint="eastAsia"/>
                <w:szCs w:val="21"/>
                <w:highlight w:val="none"/>
              </w:rPr>
              <w:t>承包人应为任何已完成的、正在施工的和将要进行的任何永久和临时工程、材料、物品、设备、以及因永久工程施工而暴露的任何毗邻财产提供必要的覆盖和保护措施，以避免恶劣天气影响工程施工和造成损失。保护措施包括必要的冬季供暖、雨季用阻燃防水油布覆盖、额外的临时仓库等等。因承包人措施不得力或不到位而给工程带来的任何损失或损害由承包人自己负责。</w:t>
            </w:r>
          </w:p>
        </w:tc>
      </w:tr>
      <w:tr>
        <w:tblPrEx>
          <w:tblCellMar>
            <w:top w:w="0" w:type="dxa"/>
            <w:left w:w="108" w:type="dxa"/>
            <w:bottom w:w="0" w:type="dxa"/>
            <w:right w:w="108" w:type="dxa"/>
          </w:tblCellMar>
        </w:tblPrEx>
        <w:tc>
          <w:tcPr>
            <w:tcW w:w="1056" w:type="dxa"/>
          </w:tcPr>
          <w:p>
            <w:pPr>
              <w:spacing w:after="156" w:afterLines="50" w:line="300" w:lineRule="auto"/>
              <w:rPr>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5</w:t>
            </w:r>
          </w:p>
        </w:tc>
        <w:tc>
          <w:tcPr>
            <w:tcW w:w="7364" w:type="dxa"/>
          </w:tcPr>
          <w:p>
            <w:pPr>
              <w:spacing w:after="156" w:afterLines="50" w:line="300" w:lineRule="auto"/>
              <w:rPr>
                <w:szCs w:val="21"/>
                <w:highlight w:val="none"/>
              </w:rPr>
            </w:pPr>
            <w:r>
              <w:rPr>
                <w:szCs w:val="21"/>
                <w:highlight w:val="none"/>
              </w:rPr>
              <w:t>在工程施工期间，</w:t>
            </w:r>
            <w:r>
              <w:rPr>
                <w:rFonts w:hint="eastAsia"/>
                <w:szCs w:val="21"/>
                <w:highlight w:val="none"/>
              </w:rPr>
              <w:t>承包人</w:t>
            </w:r>
            <w:r>
              <w:rPr>
                <w:szCs w:val="21"/>
                <w:highlight w:val="none"/>
              </w:rPr>
              <w:t>应始终</w:t>
            </w:r>
            <w:r>
              <w:rPr>
                <w:rFonts w:hint="eastAsia"/>
                <w:szCs w:val="21"/>
                <w:highlight w:val="none"/>
              </w:rPr>
              <w:t>避免</w:t>
            </w:r>
            <w:r>
              <w:rPr>
                <w:szCs w:val="21"/>
                <w:highlight w:val="none"/>
              </w:rPr>
              <w:t>现场出现不必要的障碍物，妥当存放并处置</w:t>
            </w:r>
            <w:r>
              <w:rPr>
                <w:rFonts w:hint="eastAsia"/>
                <w:szCs w:val="21"/>
                <w:highlight w:val="none"/>
              </w:rPr>
              <w:t>施工</w:t>
            </w:r>
            <w:r>
              <w:rPr>
                <w:szCs w:val="21"/>
                <w:highlight w:val="none"/>
              </w:rPr>
              <w:t>设备和多余的材料</w:t>
            </w:r>
            <w:r>
              <w:rPr>
                <w:rFonts w:hint="eastAsia"/>
                <w:szCs w:val="21"/>
                <w:highlight w:val="none"/>
              </w:rPr>
              <w:t>，及时</w:t>
            </w:r>
            <w:r>
              <w:rPr>
                <w:szCs w:val="21"/>
                <w:highlight w:val="none"/>
              </w:rPr>
              <w:t>从现场清除运走任何废料、垃圾或不再需要的临时工程</w:t>
            </w:r>
            <w:r>
              <w:rPr>
                <w:rFonts w:hint="eastAsia"/>
                <w:szCs w:val="21"/>
                <w:highlight w:val="none"/>
              </w:rPr>
              <w:t>和设施</w:t>
            </w:r>
            <w:r>
              <w:rPr>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6</w:t>
            </w:r>
          </w:p>
        </w:tc>
        <w:tc>
          <w:tcPr>
            <w:tcW w:w="7364" w:type="dxa"/>
          </w:tcPr>
          <w:p>
            <w:pPr>
              <w:spacing w:after="156" w:afterLines="50" w:line="300" w:lineRule="auto"/>
              <w:rPr>
                <w:rFonts w:cs="Arial"/>
                <w:szCs w:val="21"/>
                <w:highlight w:val="none"/>
              </w:rPr>
            </w:pPr>
            <w:r>
              <w:rPr>
                <w:rFonts w:hint="eastAsia"/>
                <w:szCs w:val="21"/>
                <w:highlight w:val="none"/>
              </w:rPr>
              <w:t>承包人应为现场的工人和其他所有工作人员提供符合卫生要求的厕所，厕所应贴有磁砖并带手动或自动冲刷设备和洗手盆；承包人负责支付与该厕所相关的所有费用，并在工程竣工时，从现场拆除。承包人应在工作区域设立必要的临时厕所，并安排专门人员负责看护和定时清理，以确保现场免于随地大小便的污染。</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7</w:t>
            </w:r>
          </w:p>
        </w:tc>
        <w:tc>
          <w:tcPr>
            <w:tcW w:w="7364" w:type="dxa"/>
          </w:tcPr>
          <w:p>
            <w:pPr>
              <w:spacing w:after="156" w:afterLines="50" w:line="300" w:lineRule="auto"/>
              <w:rPr>
                <w:rFonts w:cs="Arial"/>
                <w:szCs w:val="21"/>
                <w:highlight w:val="none"/>
              </w:rPr>
            </w:pPr>
            <w:r>
              <w:rPr>
                <w:rFonts w:hint="eastAsia"/>
                <w:szCs w:val="21"/>
                <w:highlight w:val="none"/>
              </w:rPr>
              <w:t>承包人应在现场设立固定的垃圾临时存放点；</w:t>
            </w:r>
            <w:r>
              <w:rPr>
                <w:rFonts w:hint="eastAsia"/>
                <w:szCs w:val="21"/>
                <w:highlight w:val="none"/>
                <w:u w:val="single"/>
              </w:rPr>
              <w:t>施工现场应当建立</w:t>
            </w:r>
            <w:r>
              <w:rPr>
                <w:rFonts w:hint="eastAsia"/>
                <w:szCs w:val="21"/>
                <w:highlight w:val="none"/>
              </w:rPr>
              <w:t>封闭式垃圾站。建筑物内施工垃圾的清运，必须采用相应容器或管道运输，严禁凌空抛掷；所有垃圾必须在当天清除出现场，并按有关行政管理部门的规定，运送到指定的垃圾消纳场。</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8</w:t>
            </w:r>
          </w:p>
        </w:tc>
        <w:tc>
          <w:tcPr>
            <w:tcW w:w="7364" w:type="dxa"/>
          </w:tcPr>
          <w:p>
            <w:pPr>
              <w:pStyle w:val="29"/>
              <w:spacing w:after="156" w:afterLines="50" w:line="300" w:lineRule="auto"/>
              <w:rPr>
                <w:rFonts w:hAnsi="宋体"/>
                <w:sz w:val="21"/>
                <w:szCs w:val="21"/>
                <w:highlight w:val="none"/>
              </w:rPr>
            </w:pPr>
            <w:r>
              <w:rPr>
                <w:rFonts w:hint="eastAsia" w:hAnsi="宋体"/>
                <w:sz w:val="21"/>
                <w:szCs w:val="21"/>
                <w:highlight w:val="none"/>
              </w:rPr>
              <w:t>承包人应对离场垃圾和所有车辆进行防遗洒和防污染公共道路的处理。承包人在运输任何材料的过程中，应采取一切必要的措施，防止遗洒和污染公共道路；一旦出现上述遗洒或污染现象，承包人应立即采取措施进行清扫，并承担所有费用。承包人在混凝土浇注、材料运输、材料装卸、现场清理等工作中应采取一切必要的措施防止影响公共交通。</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9</w:t>
            </w:r>
          </w:p>
        </w:tc>
        <w:tc>
          <w:tcPr>
            <w:tcW w:w="7364" w:type="dxa"/>
          </w:tcPr>
          <w:p>
            <w:pPr>
              <w:pStyle w:val="29"/>
              <w:spacing w:after="156" w:afterLines="50" w:line="300" w:lineRule="auto"/>
              <w:rPr>
                <w:rFonts w:hAnsi="宋体"/>
                <w:sz w:val="21"/>
                <w:szCs w:val="21"/>
                <w:highlight w:val="none"/>
              </w:rPr>
            </w:pPr>
            <w:r>
              <w:rPr>
                <w:rFonts w:hint="eastAsia" w:hAnsi="宋体"/>
                <w:sz w:val="21"/>
                <w:szCs w:val="21"/>
                <w:highlight w:val="none"/>
              </w:rPr>
              <w:t>承包人应当制订成品保护措施计划，并提供必要的人员、材料和设备用于整个工程的成品保护，包括对已完成的所有分包人和独立承包人（如果有）的工程或工作的保护，防止已完工作遭受任何损坏或破坏。成品保护措施应当合理安排工序，并包括工作面移交制度和责任赔偿制度。成品保护措施计划最迟应当在任何专业分包人或独立承包人进场施工前不少于28天报监理人审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w:t>
            </w:r>
            <w:r>
              <w:rPr>
                <w:rFonts w:cs="Arial"/>
                <w:szCs w:val="21"/>
                <w:highlight w:val="none"/>
              </w:rPr>
              <w:t>.</w:t>
            </w:r>
            <w:r>
              <w:rPr>
                <w:rFonts w:hint="eastAsia" w:cs="Arial"/>
                <w:szCs w:val="21"/>
                <w:highlight w:val="none"/>
              </w:rPr>
              <w:t>7</w:t>
            </w:r>
            <w:r>
              <w:rPr>
                <w:rFonts w:cs="Arial"/>
                <w:szCs w:val="21"/>
                <w:highlight w:val="none"/>
              </w:rPr>
              <w:t>.</w:t>
            </w:r>
            <w:r>
              <w:rPr>
                <w:rFonts w:hint="eastAsia" w:cs="Arial"/>
                <w:szCs w:val="21"/>
                <w:highlight w:val="none"/>
              </w:rPr>
              <w:t>10</w:t>
            </w:r>
          </w:p>
        </w:tc>
        <w:tc>
          <w:tcPr>
            <w:tcW w:w="7364" w:type="dxa"/>
          </w:tcPr>
          <w:p>
            <w:pPr>
              <w:spacing w:after="156" w:afterLines="50" w:line="300" w:lineRule="auto"/>
              <w:rPr>
                <w:rFonts w:cs="Arial"/>
                <w:szCs w:val="21"/>
                <w:highlight w:val="none"/>
              </w:rPr>
            </w:pPr>
            <w:r>
              <w:rPr>
                <w:rFonts w:hint="eastAsia" w:cs="Arial"/>
                <w:szCs w:val="21"/>
                <w:highlight w:val="none"/>
              </w:rPr>
              <w:t>文明施工方面的其他</w:t>
            </w:r>
            <w:r>
              <w:rPr>
                <w:rFonts w:cs="Arial"/>
                <w:szCs w:val="21"/>
                <w:highlight w:val="none"/>
              </w:rPr>
              <w:t>要求</w:t>
            </w:r>
            <w:r>
              <w:rPr>
                <w:rFonts w:hint="eastAsia" w:cs="Arial"/>
                <w:szCs w:val="21"/>
                <w:highlight w:val="none"/>
              </w:rPr>
              <w:t>如下：</w:t>
            </w:r>
          </w:p>
          <w:p>
            <w:pPr>
              <w:spacing w:after="156" w:afterLines="50" w:line="300" w:lineRule="auto"/>
              <w:rPr>
                <w:szCs w:val="21"/>
                <w:highlight w:val="none"/>
                <w:u w:val="single"/>
              </w:rPr>
            </w:pPr>
            <w:r>
              <w:rPr>
                <w:rFonts w:hint="eastAsia"/>
                <w:szCs w:val="21"/>
                <w:highlight w:val="none"/>
                <w:u w:val="single"/>
              </w:rPr>
              <w:t>招标人对现场安全文明施工的要求除参照以上文件要求外，另行执行的标准包括但是不限于以下内容，</w:t>
            </w:r>
            <w:r>
              <w:rPr>
                <w:rFonts w:hint="eastAsia"/>
                <w:highlight w:val="none"/>
              </w:rPr>
              <w:t>由于不文明的现象发生受到管理部处罚的涉及到的罚金由承包人全额支付，同时发包人予以同等金额对承包人进行处罚</w:t>
            </w:r>
            <w:r>
              <w:rPr>
                <w:rFonts w:hint="eastAsia"/>
                <w:szCs w:val="21"/>
                <w:highlight w:val="none"/>
                <w:u w:val="single"/>
              </w:rPr>
              <w:t>:</w:t>
            </w:r>
          </w:p>
          <w:p>
            <w:pPr>
              <w:spacing w:after="156" w:afterLines="50" w:line="300" w:lineRule="auto"/>
              <w:rPr>
                <w:szCs w:val="21"/>
                <w:highlight w:val="none"/>
                <w:u w:val="single"/>
              </w:rPr>
            </w:pPr>
            <w:r>
              <w:rPr>
                <w:rFonts w:hint="eastAsia"/>
                <w:szCs w:val="21"/>
                <w:highlight w:val="none"/>
                <w:u w:val="single"/>
              </w:rPr>
              <w:t>（1）</w:t>
            </w:r>
            <w:r>
              <w:rPr>
                <w:rFonts w:hint="eastAsia"/>
                <w:szCs w:val="21"/>
                <w:highlight w:val="none"/>
                <w:u w:val="single"/>
              </w:rPr>
              <w:tab/>
            </w:r>
            <w:r>
              <w:rPr>
                <w:rFonts w:hint="eastAsia"/>
                <w:szCs w:val="21"/>
                <w:highlight w:val="none"/>
                <w:u w:val="single"/>
              </w:rPr>
              <w:t>对施工现场总平面进行科学合理布置，施工现场作业区、办公区、生活区均以道路和围墙分割，实施分区管理，大门主入口及场区内主干道路交叉口设置导向牌；</w:t>
            </w:r>
          </w:p>
          <w:p>
            <w:pPr>
              <w:spacing w:after="156" w:afterLines="50" w:line="300" w:lineRule="auto"/>
              <w:rPr>
                <w:szCs w:val="21"/>
                <w:highlight w:val="none"/>
                <w:u w:val="single"/>
              </w:rPr>
            </w:pPr>
            <w:r>
              <w:rPr>
                <w:rFonts w:hint="eastAsia"/>
                <w:szCs w:val="21"/>
                <w:highlight w:val="none"/>
                <w:u w:val="single"/>
              </w:rPr>
              <w:t>（2）</w:t>
            </w:r>
            <w:r>
              <w:rPr>
                <w:rFonts w:hint="eastAsia"/>
                <w:szCs w:val="21"/>
                <w:highlight w:val="none"/>
                <w:u w:val="single"/>
              </w:rPr>
              <w:tab/>
            </w:r>
            <w:r>
              <w:rPr>
                <w:rFonts w:hint="eastAsia"/>
                <w:szCs w:val="21"/>
                <w:highlight w:val="none"/>
                <w:u w:val="single"/>
              </w:rPr>
              <w:t>施工现场实现“无尘化”管理；</w:t>
            </w:r>
          </w:p>
          <w:p>
            <w:pPr>
              <w:spacing w:after="156" w:afterLines="50" w:line="300" w:lineRule="auto"/>
              <w:rPr>
                <w:szCs w:val="21"/>
                <w:highlight w:val="none"/>
                <w:u w:val="single"/>
              </w:rPr>
            </w:pPr>
            <w:r>
              <w:rPr>
                <w:rFonts w:hint="eastAsia"/>
                <w:szCs w:val="21"/>
                <w:highlight w:val="none"/>
                <w:u w:val="single"/>
              </w:rPr>
              <w:t>（3）</w:t>
            </w:r>
            <w:r>
              <w:rPr>
                <w:rFonts w:hint="eastAsia"/>
                <w:szCs w:val="21"/>
                <w:highlight w:val="none"/>
                <w:u w:val="single"/>
              </w:rPr>
              <w:tab/>
            </w:r>
            <w:r>
              <w:rPr>
                <w:rFonts w:hint="eastAsia"/>
                <w:szCs w:val="21"/>
                <w:highlight w:val="none"/>
                <w:u w:val="single"/>
              </w:rPr>
              <w:t>所有道路要硬化并保持清洁，作业区、办公区、生活区均设置排水沟；</w:t>
            </w:r>
          </w:p>
          <w:p>
            <w:pPr>
              <w:spacing w:after="156" w:afterLines="50" w:line="300" w:lineRule="auto"/>
              <w:rPr>
                <w:szCs w:val="21"/>
                <w:highlight w:val="none"/>
                <w:u w:val="single"/>
              </w:rPr>
            </w:pPr>
            <w:r>
              <w:rPr>
                <w:rFonts w:hint="eastAsia"/>
                <w:szCs w:val="21"/>
                <w:highlight w:val="none"/>
                <w:u w:val="single"/>
              </w:rPr>
              <w:t>（4）</w:t>
            </w:r>
            <w:r>
              <w:rPr>
                <w:rFonts w:hint="eastAsia"/>
                <w:szCs w:val="21"/>
                <w:highlight w:val="none"/>
                <w:u w:val="single"/>
              </w:rPr>
              <w:tab/>
            </w:r>
            <w:r>
              <w:rPr>
                <w:rFonts w:hint="eastAsia"/>
                <w:szCs w:val="21"/>
                <w:highlight w:val="none"/>
                <w:u w:val="single"/>
              </w:rPr>
              <w:t>各类材料分类堆码整齐，并挂材料标识牌；</w:t>
            </w:r>
          </w:p>
          <w:p>
            <w:pPr>
              <w:spacing w:after="156" w:afterLines="50" w:line="300" w:lineRule="auto"/>
              <w:rPr>
                <w:szCs w:val="21"/>
                <w:highlight w:val="none"/>
                <w:u w:val="single"/>
              </w:rPr>
            </w:pPr>
            <w:r>
              <w:rPr>
                <w:rFonts w:hint="eastAsia"/>
                <w:szCs w:val="21"/>
                <w:highlight w:val="none"/>
                <w:u w:val="single"/>
              </w:rPr>
              <w:t>（5）</w:t>
            </w:r>
            <w:r>
              <w:rPr>
                <w:rFonts w:hint="eastAsia"/>
                <w:szCs w:val="21"/>
                <w:highlight w:val="none"/>
                <w:u w:val="single"/>
              </w:rPr>
              <w:tab/>
            </w:r>
            <w:r>
              <w:rPr>
                <w:rFonts w:hint="eastAsia"/>
                <w:szCs w:val="21"/>
                <w:highlight w:val="none"/>
                <w:u w:val="single"/>
              </w:rPr>
              <w:t>垃圾、渣土要进行分类并及时清运；</w:t>
            </w:r>
          </w:p>
          <w:p>
            <w:pPr>
              <w:spacing w:after="156" w:afterLines="50" w:line="300" w:lineRule="auto"/>
              <w:rPr>
                <w:szCs w:val="21"/>
                <w:highlight w:val="none"/>
                <w:u w:val="single"/>
              </w:rPr>
            </w:pPr>
            <w:r>
              <w:rPr>
                <w:rFonts w:hint="eastAsia"/>
                <w:szCs w:val="21"/>
                <w:highlight w:val="none"/>
                <w:u w:val="single"/>
              </w:rPr>
              <w:t>（6）</w:t>
            </w:r>
            <w:r>
              <w:rPr>
                <w:rFonts w:hint="eastAsia"/>
                <w:szCs w:val="21"/>
                <w:highlight w:val="none"/>
                <w:u w:val="single"/>
              </w:rPr>
              <w:tab/>
            </w:r>
            <w:r>
              <w:rPr>
                <w:rFonts w:hint="eastAsia"/>
                <w:szCs w:val="21"/>
                <w:highlight w:val="none"/>
                <w:u w:val="single"/>
              </w:rPr>
              <w:t>施工土方要施工过程中及时覆盖；</w:t>
            </w:r>
          </w:p>
          <w:p>
            <w:pPr>
              <w:spacing w:after="156" w:afterLines="50" w:line="300" w:lineRule="auto"/>
              <w:rPr>
                <w:szCs w:val="21"/>
                <w:highlight w:val="none"/>
                <w:u w:val="single"/>
              </w:rPr>
            </w:pPr>
            <w:r>
              <w:rPr>
                <w:rFonts w:hint="eastAsia"/>
                <w:szCs w:val="21"/>
                <w:highlight w:val="none"/>
                <w:u w:val="single"/>
              </w:rPr>
              <w:t>（7）</w:t>
            </w:r>
            <w:r>
              <w:rPr>
                <w:rFonts w:hint="eastAsia"/>
                <w:szCs w:val="21"/>
                <w:highlight w:val="none"/>
                <w:u w:val="single"/>
              </w:rPr>
              <w:tab/>
            </w:r>
            <w:r>
              <w:rPr>
                <w:rFonts w:hint="eastAsia"/>
                <w:szCs w:val="21"/>
                <w:highlight w:val="none"/>
                <w:u w:val="single"/>
              </w:rPr>
              <w:t>办公区等人员活动区域进行相应的绿化（包括绿地、树木、花坛等）；</w:t>
            </w:r>
          </w:p>
          <w:p>
            <w:pPr>
              <w:spacing w:after="156" w:afterLines="50" w:line="300" w:lineRule="auto"/>
              <w:rPr>
                <w:szCs w:val="21"/>
                <w:highlight w:val="none"/>
                <w:u w:val="single"/>
              </w:rPr>
            </w:pPr>
            <w:r>
              <w:rPr>
                <w:rFonts w:hint="eastAsia"/>
                <w:szCs w:val="21"/>
                <w:highlight w:val="none"/>
                <w:u w:val="single"/>
              </w:rPr>
              <w:t>（8）</w:t>
            </w:r>
            <w:r>
              <w:rPr>
                <w:rFonts w:hint="eastAsia"/>
                <w:szCs w:val="21"/>
                <w:highlight w:val="none"/>
                <w:u w:val="single"/>
              </w:rPr>
              <w:tab/>
            </w:r>
            <w:r>
              <w:rPr>
                <w:rFonts w:hint="eastAsia"/>
                <w:szCs w:val="21"/>
                <w:highlight w:val="none"/>
                <w:u w:val="single"/>
              </w:rPr>
              <w:t>工地出口要设置冲洗设施，运输车辆使出施工现场要将车轮和槽帮冲洗干净；</w:t>
            </w:r>
          </w:p>
          <w:p>
            <w:pPr>
              <w:spacing w:after="156" w:afterLines="50" w:line="300" w:lineRule="auto"/>
              <w:rPr>
                <w:szCs w:val="21"/>
                <w:highlight w:val="none"/>
                <w:u w:val="single"/>
              </w:rPr>
            </w:pPr>
            <w:r>
              <w:rPr>
                <w:rFonts w:hint="eastAsia"/>
                <w:szCs w:val="21"/>
                <w:highlight w:val="none"/>
                <w:u w:val="single"/>
              </w:rPr>
              <w:t>（9）</w:t>
            </w:r>
            <w:r>
              <w:rPr>
                <w:rFonts w:hint="eastAsia"/>
                <w:szCs w:val="21"/>
                <w:highlight w:val="none"/>
                <w:u w:val="single"/>
              </w:rPr>
              <w:tab/>
            </w:r>
            <w:r>
              <w:rPr>
                <w:rFonts w:hint="eastAsia"/>
                <w:szCs w:val="21"/>
                <w:highlight w:val="none"/>
                <w:u w:val="single"/>
              </w:rPr>
              <w:t>现场设置开水间、吸烟区、男女厕所；</w:t>
            </w:r>
          </w:p>
          <w:p>
            <w:pPr>
              <w:spacing w:after="156" w:afterLines="50" w:line="300" w:lineRule="auto"/>
              <w:rPr>
                <w:szCs w:val="21"/>
                <w:highlight w:val="none"/>
                <w:u w:val="single"/>
              </w:rPr>
            </w:pPr>
            <w:r>
              <w:rPr>
                <w:rFonts w:hint="eastAsia"/>
                <w:szCs w:val="21"/>
                <w:highlight w:val="none"/>
                <w:u w:val="single"/>
              </w:rPr>
              <w:t>（10）</w:t>
            </w:r>
            <w:r>
              <w:rPr>
                <w:rFonts w:hint="eastAsia"/>
                <w:szCs w:val="21"/>
                <w:highlight w:val="none"/>
                <w:u w:val="single"/>
              </w:rPr>
              <w:tab/>
            </w:r>
            <w:r>
              <w:rPr>
                <w:rFonts w:hint="eastAsia"/>
                <w:szCs w:val="21"/>
                <w:highlight w:val="none"/>
                <w:u w:val="single"/>
              </w:rPr>
              <w:t>提供文体活动场所；</w:t>
            </w:r>
          </w:p>
          <w:p>
            <w:pPr>
              <w:spacing w:after="156" w:afterLines="50" w:line="300" w:lineRule="auto"/>
              <w:rPr>
                <w:szCs w:val="21"/>
                <w:highlight w:val="none"/>
                <w:u w:val="single"/>
              </w:rPr>
            </w:pPr>
            <w:r>
              <w:rPr>
                <w:rFonts w:hint="eastAsia"/>
                <w:szCs w:val="21"/>
                <w:highlight w:val="none"/>
                <w:u w:val="single"/>
              </w:rPr>
              <w:t>（11）</w:t>
            </w:r>
            <w:r>
              <w:rPr>
                <w:rFonts w:hint="eastAsia"/>
                <w:szCs w:val="21"/>
                <w:highlight w:val="none"/>
                <w:u w:val="single"/>
              </w:rPr>
              <w:tab/>
            </w:r>
            <w:r>
              <w:rPr>
                <w:rFonts w:hint="eastAsia"/>
                <w:szCs w:val="21"/>
                <w:highlight w:val="none"/>
                <w:u w:val="single"/>
              </w:rPr>
              <w:t>水泥、石灰等要合理分段、减少土方开挖面积和留存时间、严格围挡防止泥土流失到附近道路；</w:t>
            </w:r>
          </w:p>
          <w:p>
            <w:pPr>
              <w:spacing w:after="156" w:afterLines="50" w:line="300" w:lineRule="auto"/>
              <w:rPr>
                <w:szCs w:val="21"/>
                <w:highlight w:val="none"/>
                <w:u w:val="single"/>
              </w:rPr>
            </w:pPr>
            <w:r>
              <w:rPr>
                <w:rFonts w:hint="eastAsia"/>
                <w:szCs w:val="21"/>
                <w:highlight w:val="none"/>
                <w:u w:val="single"/>
              </w:rPr>
              <w:t>（12）</w:t>
            </w:r>
            <w:r>
              <w:rPr>
                <w:rFonts w:hint="eastAsia"/>
                <w:szCs w:val="21"/>
                <w:highlight w:val="none"/>
                <w:u w:val="single"/>
              </w:rPr>
              <w:tab/>
            </w:r>
            <w:r>
              <w:rPr>
                <w:rFonts w:hint="eastAsia"/>
                <w:szCs w:val="21"/>
                <w:highlight w:val="none"/>
                <w:u w:val="single"/>
              </w:rPr>
              <w:t>悬挂施工安全及交通安全警示标志；</w:t>
            </w:r>
          </w:p>
          <w:p>
            <w:pPr>
              <w:spacing w:after="156" w:afterLines="50" w:line="300" w:lineRule="auto"/>
              <w:rPr>
                <w:szCs w:val="21"/>
                <w:highlight w:val="none"/>
                <w:u w:val="single"/>
              </w:rPr>
            </w:pPr>
            <w:r>
              <w:rPr>
                <w:rFonts w:hint="eastAsia"/>
                <w:szCs w:val="21"/>
                <w:highlight w:val="none"/>
                <w:u w:val="single"/>
              </w:rPr>
              <w:t>（13） 协调与市容、环保、交通及街道等有关各方关系并承担相应费用。</w:t>
            </w:r>
          </w:p>
          <w:p>
            <w:pPr>
              <w:spacing w:after="156" w:afterLines="50" w:line="300" w:lineRule="auto"/>
              <w:rPr>
                <w:rFonts w:cs="Arial"/>
                <w:szCs w:val="21"/>
                <w:highlight w:val="none"/>
              </w:rPr>
            </w:pPr>
            <w:r>
              <w:rPr>
                <w:rFonts w:hint="eastAsia"/>
                <w:szCs w:val="21"/>
                <w:highlight w:val="none"/>
                <w:u w:val="single"/>
              </w:rPr>
              <w:t xml:space="preserve">（14）场地硬化及施工现场围档标准必须满足招标人的要求 </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21" w:name="_Toc263259808"/>
            <w:r>
              <w:rPr>
                <w:rFonts w:hint="eastAsia" w:cs="Arial"/>
                <w:b/>
                <w:bCs/>
                <w:szCs w:val="21"/>
                <w:highlight w:val="none"/>
              </w:rPr>
              <w:t>6.8</w:t>
            </w:r>
            <w:bookmarkEnd w:id="2421"/>
          </w:p>
        </w:tc>
        <w:tc>
          <w:tcPr>
            <w:tcW w:w="7364" w:type="dxa"/>
          </w:tcPr>
          <w:p>
            <w:pPr>
              <w:spacing w:after="156" w:afterLines="50" w:line="300" w:lineRule="auto"/>
              <w:outlineLvl w:val="3"/>
              <w:rPr>
                <w:rFonts w:cs="Arial"/>
                <w:b/>
                <w:bCs/>
                <w:szCs w:val="21"/>
                <w:highlight w:val="none"/>
              </w:rPr>
            </w:pPr>
            <w:bookmarkStart w:id="2422" w:name="_Toc263259809"/>
            <w:r>
              <w:rPr>
                <w:rFonts w:hint="eastAsia" w:cs="Arial"/>
                <w:b/>
                <w:bCs/>
                <w:szCs w:val="21"/>
                <w:highlight w:val="none"/>
              </w:rPr>
              <w:t>环境保护</w:t>
            </w:r>
            <w:bookmarkEnd w:id="2422"/>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6.8.1</w:t>
            </w:r>
          </w:p>
        </w:tc>
        <w:tc>
          <w:tcPr>
            <w:tcW w:w="7364" w:type="dxa"/>
          </w:tcPr>
          <w:p>
            <w:pPr>
              <w:spacing w:after="156" w:afterLines="50" w:line="300" w:lineRule="auto"/>
              <w:rPr>
                <w:rFonts w:cs="Arial"/>
                <w:szCs w:val="21"/>
                <w:highlight w:val="none"/>
              </w:rPr>
            </w:pPr>
            <w:r>
              <w:rPr>
                <w:rFonts w:hint="eastAsia" w:cs="Arial"/>
                <w:szCs w:val="21"/>
                <w:highlight w:val="none"/>
              </w:rPr>
              <w:t>在工程施工、完工及修补任何缺陷的过程中，承包人应当始终遵守国家和工程所在地有关环境保护、水土保护和污染防治的法律、法规、规章、规范、标准和规程等，按照</w:t>
            </w:r>
            <w:r>
              <w:rPr>
                <w:rFonts w:hint="eastAsia"/>
                <w:szCs w:val="21"/>
                <w:highlight w:val="none"/>
              </w:rPr>
              <w:t>通用合同条款第4.1.6项和第</w:t>
            </w:r>
            <w:r>
              <w:rPr>
                <w:rFonts w:hint="eastAsia"/>
                <w:bCs/>
                <w:szCs w:val="21"/>
                <w:highlight w:val="none"/>
              </w:rPr>
              <w:t>9.4</w:t>
            </w:r>
            <w:r>
              <w:rPr>
                <w:rFonts w:hint="eastAsia"/>
                <w:szCs w:val="21"/>
                <w:highlight w:val="none"/>
              </w:rPr>
              <w:t>款的约定履行其环境与生态保护职责。</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6.8.2</w:t>
            </w:r>
          </w:p>
        </w:tc>
        <w:tc>
          <w:tcPr>
            <w:tcW w:w="7364" w:type="dxa"/>
          </w:tcPr>
          <w:p>
            <w:pPr>
              <w:spacing w:after="156" w:afterLines="50" w:line="300" w:lineRule="auto"/>
              <w:rPr>
                <w:rFonts w:cs="Arial"/>
                <w:szCs w:val="21"/>
                <w:highlight w:val="none"/>
              </w:rPr>
            </w:pPr>
            <w:r>
              <w:rPr>
                <w:rFonts w:hint="eastAsia"/>
                <w:szCs w:val="21"/>
                <w:highlight w:val="none"/>
              </w:rPr>
              <w:t>承包人应按合同约定和监理人指示，接受国家和地方环境保护行政主管部门的监督、监测和检查。承包人应对其违反现行法律、法规、规章</w:t>
            </w:r>
            <w:r>
              <w:rPr>
                <w:rFonts w:hint="eastAsia" w:cs="Arial"/>
                <w:szCs w:val="21"/>
                <w:highlight w:val="none"/>
              </w:rPr>
              <w:t>、规范、标准和规程等</w:t>
            </w:r>
            <w:r>
              <w:rPr>
                <w:rFonts w:hint="eastAsia"/>
                <w:szCs w:val="21"/>
                <w:highlight w:val="none"/>
              </w:rPr>
              <w:t>以及本合同约定所造成的环境污染、水土流失、人员伤害和财产损失等承担赔偿责任。</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6.8.3</w:t>
            </w:r>
          </w:p>
        </w:tc>
        <w:tc>
          <w:tcPr>
            <w:tcW w:w="7364" w:type="dxa"/>
          </w:tcPr>
          <w:p>
            <w:pPr>
              <w:spacing w:after="156" w:afterLines="50" w:line="300" w:lineRule="auto"/>
              <w:rPr>
                <w:rFonts w:cs="Arial"/>
                <w:szCs w:val="21"/>
                <w:highlight w:val="none"/>
              </w:rPr>
            </w:pPr>
            <w:r>
              <w:rPr>
                <w:rFonts w:hint="eastAsia" w:cs="Arial"/>
                <w:szCs w:val="21"/>
                <w:highlight w:val="none"/>
              </w:rPr>
              <w:t>承包人制订施工方案和组织措施时应当同步考虑环境和资源保护，包括水土资源保护、噪声、振动和照明污染防治、固体废弃物处理、污水和废气处理、粉尘和扬尘控制、道路污染防治、卫生防疫、禁止有害材料、节能减排以及不可再生资源的循环使用等因素。</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6.8.4</w:t>
            </w:r>
          </w:p>
        </w:tc>
        <w:tc>
          <w:tcPr>
            <w:tcW w:w="7364" w:type="dxa"/>
          </w:tcPr>
          <w:p>
            <w:pPr>
              <w:spacing w:after="156" w:afterLines="50" w:line="300" w:lineRule="auto"/>
              <w:rPr>
                <w:rFonts w:cs="Arial"/>
                <w:szCs w:val="21"/>
                <w:highlight w:val="none"/>
              </w:rPr>
            </w:pPr>
            <w:r>
              <w:rPr>
                <w:rStyle w:val="80"/>
                <w:rFonts w:hint="eastAsia"/>
                <w:szCs w:val="21"/>
                <w:highlight w:val="none"/>
              </w:rPr>
              <w:t>承包人应当做好施工场地（现场）范围内各项工程的开挖支护、截水、降水、灌浆、衬砌、挡护结构及排水等工程防护措施。施工场地（现场）内所有边坡应当采取有效的水土流失防治和保持措施。承包人采用的降水方案应当充分考虑对地下水的保护和合理使用，如果国家和（或）地方人民政府有特别规定的，承包人应当遵守有关规定。承包人还应设置完善的排水系统，保持施工场地（现场）始终处于良好的排水状态，防止降雨径流对施工场地（现场）的冲刷。</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6.8.5</w:t>
            </w:r>
          </w:p>
        </w:tc>
        <w:tc>
          <w:tcPr>
            <w:tcW w:w="7364" w:type="dxa"/>
          </w:tcPr>
          <w:p>
            <w:pPr>
              <w:spacing w:after="156" w:afterLines="50" w:line="300" w:lineRule="auto"/>
              <w:rPr>
                <w:rFonts w:cs="Arial"/>
                <w:szCs w:val="21"/>
                <w:highlight w:val="none"/>
              </w:rPr>
            </w:pPr>
            <w:r>
              <w:rPr>
                <w:rFonts w:hint="eastAsia"/>
                <w:szCs w:val="21"/>
                <w:highlight w:val="none"/>
              </w:rPr>
              <w:t>承包人应当确保其所提供的材料、工程设备、施工设备和其他材料都是绿色环保产品，列入国家强制认证产品名录的，还应当是通过国家强制认证的产品。承包人不得在任何临时和永久性工程中使用任何政府明令禁止使用的对人体有害的任何材料（如放射性材料、石棉制品等）和方法，同时也不得在永久性工程中使用政府虽未明令禁止但会给居住或使用人带来不适感觉或味觉的任何材料和添加剂等；承包人应在其施工环保措施计划中明确防止误用的保证措施；承包人违背此项约定的责任和后果全部由承包人承担。</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6.8.6</w:t>
            </w:r>
          </w:p>
        </w:tc>
        <w:tc>
          <w:tcPr>
            <w:tcW w:w="7364" w:type="dxa"/>
          </w:tcPr>
          <w:p>
            <w:pPr>
              <w:spacing w:after="156" w:afterLines="50" w:line="300" w:lineRule="auto"/>
              <w:rPr>
                <w:szCs w:val="21"/>
                <w:highlight w:val="none"/>
              </w:rPr>
            </w:pPr>
            <w:r>
              <w:rPr>
                <w:rFonts w:hint="eastAsia"/>
                <w:szCs w:val="21"/>
                <w:highlight w:val="none"/>
              </w:rPr>
              <w:t xml:space="preserve">承包人应为防止进出场的车辆的遗洒和轮胎夹带物等污染周边和公共道路等行为制定并落实必要的措施，这类措施应至少包括在现场出入口设立冲刷池、对现场道路做硬化处理和采用密闭车厢或者对车厢进行必要的覆盖等等。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w:t>
            </w:r>
            <w:r>
              <w:rPr>
                <w:rFonts w:cs="Arial"/>
                <w:szCs w:val="21"/>
                <w:highlight w:val="none"/>
              </w:rPr>
              <w:t>.</w:t>
            </w:r>
            <w:r>
              <w:rPr>
                <w:rFonts w:hint="eastAsia" w:cs="Arial"/>
                <w:szCs w:val="21"/>
                <w:highlight w:val="none"/>
              </w:rPr>
              <w:t>7</w:t>
            </w:r>
          </w:p>
        </w:tc>
        <w:tc>
          <w:tcPr>
            <w:tcW w:w="7364" w:type="dxa"/>
          </w:tcPr>
          <w:p>
            <w:pPr>
              <w:spacing w:after="156" w:afterLines="50" w:line="300" w:lineRule="auto"/>
              <w:rPr>
                <w:szCs w:val="21"/>
                <w:highlight w:val="none"/>
              </w:rPr>
            </w:pPr>
            <w:r>
              <w:rPr>
                <w:rFonts w:hint="eastAsia"/>
                <w:szCs w:val="21"/>
                <w:highlight w:val="none"/>
              </w:rPr>
              <w:t>承包人应当保证施工生产用水和生活用水符合国家有关标准的规定。承包人还应建设、运行和维护施工生产和生活污水收集和处理系统（包括排污口接入），建立符合排放标准的临时沉淀池和化粪池等，不得将未处理的污水直接或间接排放或造成地表水体、地下水体或生产和生活供水系统的污染。</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6.8.8</w:t>
            </w:r>
          </w:p>
        </w:tc>
        <w:tc>
          <w:tcPr>
            <w:tcW w:w="7364" w:type="dxa"/>
          </w:tcPr>
          <w:p>
            <w:pPr>
              <w:spacing w:after="156" w:afterLines="50" w:line="300" w:lineRule="auto"/>
              <w:rPr>
                <w:szCs w:val="21"/>
                <w:highlight w:val="none"/>
              </w:rPr>
            </w:pPr>
            <w:r>
              <w:rPr>
                <w:rFonts w:hint="eastAsia"/>
                <w:szCs w:val="21"/>
                <w:highlight w:val="none"/>
              </w:rPr>
              <w:t>承包人应当采取有效措施，建立相应的过滤、分离、分解或沉淀等处理系统，不得让有害物质（如燃料、油料、化学品、酸等，以及超过剂量的有害气体和尘埃、污水、泥土或水、弃渣等）污染施工场地（现场）及其周边环境。承包人施工工序、工作时间安排和施工设备的配置应当充分考虑降低噪声和照明等对施工场地（现场）周边生产和生活的影响，并满足国家和地方政府有关规定的要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6.8.9</w:t>
            </w:r>
          </w:p>
        </w:tc>
        <w:tc>
          <w:tcPr>
            <w:tcW w:w="7364" w:type="dxa"/>
          </w:tcPr>
          <w:p>
            <w:pPr>
              <w:spacing w:after="156" w:afterLines="50" w:line="300" w:lineRule="auto"/>
              <w:rPr>
                <w:rFonts w:cs="Arial"/>
                <w:szCs w:val="21"/>
                <w:highlight w:val="none"/>
              </w:rPr>
            </w:pPr>
            <w:r>
              <w:rPr>
                <w:rFonts w:hint="eastAsia" w:cs="Arial"/>
                <w:szCs w:val="21"/>
                <w:highlight w:val="none"/>
              </w:rPr>
              <w:t>环境保护方面的其他</w:t>
            </w:r>
            <w:r>
              <w:rPr>
                <w:rFonts w:cs="Arial"/>
                <w:szCs w:val="21"/>
                <w:highlight w:val="none"/>
              </w:rPr>
              <w:t>要求</w:t>
            </w:r>
            <w:r>
              <w:rPr>
                <w:rFonts w:hint="eastAsia" w:cs="Arial"/>
                <w:szCs w:val="21"/>
                <w:highlight w:val="none"/>
              </w:rPr>
              <w:t>如下：</w:t>
            </w:r>
          </w:p>
          <w:p>
            <w:pPr>
              <w:spacing w:after="156" w:afterLines="50" w:line="300" w:lineRule="auto"/>
              <w:rPr>
                <w:szCs w:val="21"/>
                <w:highlight w:val="none"/>
                <w:u w:val="single"/>
              </w:rPr>
            </w:pPr>
            <w:r>
              <w:rPr>
                <w:rFonts w:hint="eastAsia"/>
                <w:szCs w:val="21"/>
                <w:highlight w:val="none"/>
                <w:u w:val="single"/>
              </w:rPr>
              <w:t xml:space="preserve"> 因施工及运输造成对周边环境的污染（包括但不限于：噪音、粉尘、污水），由承包人承担赔偿和恢复环境职责，另</w:t>
            </w:r>
            <w:r>
              <w:rPr>
                <w:rFonts w:hint="eastAsia"/>
                <w:highlight w:val="none"/>
                <w:u w:val="single"/>
              </w:rPr>
              <w:t>因不符合规定收到管理部门处罚的涉及到的罚款金额由承包方全额支付</w:t>
            </w:r>
            <w:r>
              <w:rPr>
                <w:rFonts w:hint="eastAsia"/>
                <w:szCs w:val="21"/>
                <w:highlight w:val="none"/>
                <w:u w:val="single"/>
              </w:rPr>
              <w:t xml:space="preserve"> 。</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23" w:name="_Toc263259810"/>
            <w:r>
              <w:rPr>
                <w:rFonts w:hint="eastAsia" w:cs="Arial"/>
                <w:b/>
                <w:bCs/>
                <w:szCs w:val="21"/>
                <w:highlight w:val="none"/>
              </w:rPr>
              <w:t>6.9</w:t>
            </w:r>
            <w:bookmarkEnd w:id="2423"/>
          </w:p>
        </w:tc>
        <w:tc>
          <w:tcPr>
            <w:tcW w:w="7364" w:type="dxa"/>
          </w:tcPr>
          <w:p>
            <w:pPr>
              <w:spacing w:after="156" w:afterLines="50" w:line="300" w:lineRule="auto"/>
              <w:outlineLvl w:val="3"/>
              <w:rPr>
                <w:rFonts w:cs="Arial"/>
                <w:b/>
                <w:bCs/>
                <w:szCs w:val="21"/>
                <w:highlight w:val="none"/>
              </w:rPr>
            </w:pPr>
            <w:bookmarkStart w:id="2424" w:name="_Toc263259811"/>
            <w:r>
              <w:rPr>
                <w:rFonts w:hint="eastAsia" w:cs="Arial"/>
                <w:b/>
                <w:bCs/>
                <w:szCs w:val="21"/>
                <w:highlight w:val="none"/>
              </w:rPr>
              <w:t>施工环保措施计划</w:t>
            </w:r>
            <w:bookmarkEnd w:id="2424"/>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6.9.1</w:t>
            </w:r>
          </w:p>
        </w:tc>
        <w:tc>
          <w:tcPr>
            <w:tcW w:w="7364" w:type="dxa"/>
          </w:tcPr>
          <w:p>
            <w:pPr>
              <w:spacing w:after="156" w:afterLines="50" w:line="300" w:lineRule="auto"/>
              <w:rPr>
                <w:szCs w:val="21"/>
                <w:highlight w:val="none"/>
              </w:rPr>
            </w:pPr>
            <w:r>
              <w:rPr>
                <w:rFonts w:hint="eastAsia"/>
                <w:szCs w:val="21"/>
                <w:highlight w:val="none"/>
              </w:rPr>
              <w:t>通用合同条款第9.4.2项约定的施工环保措施计划是承包人阐明环保方针和拟采用的环保措施及方法等的文件，其</w:t>
            </w:r>
            <w:r>
              <w:rPr>
                <w:rStyle w:val="80"/>
                <w:rFonts w:hint="eastAsia"/>
                <w:szCs w:val="21"/>
                <w:highlight w:val="none"/>
              </w:rPr>
              <w:t>内容应包括但不限于：</w:t>
            </w:r>
          </w:p>
          <w:p>
            <w:pPr>
              <w:pStyle w:val="176"/>
              <w:numPr>
                <w:ilvl w:val="0"/>
                <w:numId w:val="26"/>
              </w:numPr>
              <w:spacing w:line="360" w:lineRule="auto"/>
              <w:ind w:firstLineChars="0"/>
              <w:rPr>
                <w:rFonts w:eastAsia="宋体" w:cs="宋体"/>
                <w:kern w:val="2"/>
                <w:sz w:val="21"/>
                <w:highlight w:val="none"/>
              </w:rPr>
            </w:pPr>
            <w:r>
              <w:rPr>
                <w:rFonts w:hint="eastAsia" w:ascii="宋体" w:hAnsi="宋体"/>
                <w:sz w:val="21"/>
                <w:szCs w:val="21"/>
                <w:highlight w:val="none"/>
              </w:rPr>
              <w:t>承</w:t>
            </w:r>
            <w:r>
              <w:rPr>
                <w:rFonts w:hint="eastAsia" w:ascii="宋体" w:hAnsi="宋体" w:eastAsia="宋体" w:cs="宋体"/>
                <w:kern w:val="2"/>
                <w:sz w:val="21"/>
                <w:szCs w:val="21"/>
                <w:highlight w:val="none"/>
              </w:rPr>
              <w:t>包人</w:t>
            </w:r>
            <w:r>
              <w:rPr>
                <w:rFonts w:hint="eastAsia" w:eastAsia="宋体" w:cs="宋体"/>
                <w:kern w:val="2"/>
                <w:sz w:val="21"/>
                <w:highlight w:val="none"/>
              </w:rPr>
              <w:t>生活区（如果有）的生活用水和生活污水处理措施；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施工生产废水处理措施；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施工扬尘和废气的处理措施；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施工噪声和光污染控制措施；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节能减排措施；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不可再生资源循环利用措施；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固体废弃物处理措施；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人群健康保护和卫生防疫措施；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防止误用有害材料的保证措施；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施工边坡工程的水土流失保护措施；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道路污染防治措施；</w:t>
            </w:r>
          </w:p>
          <w:p>
            <w:pPr>
              <w:pStyle w:val="176"/>
              <w:numPr>
                <w:ilvl w:val="0"/>
                <w:numId w:val="26"/>
              </w:numPr>
              <w:spacing w:line="360" w:lineRule="auto"/>
              <w:ind w:firstLineChars="0"/>
              <w:rPr>
                <w:rFonts w:eastAsia="宋体" w:cs="宋体"/>
                <w:kern w:val="2"/>
                <w:sz w:val="21"/>
                <w:highlight w:val="none"/>
              </w:rPr>
            </w:pPr>
            <w:r>
              <w:rPr>
                <w:rFonts w:hint="eastAsia" w:eastAsia="宋体" w:cs="宋体"/>
                <w:kern w:val="2"/>
                <w:sz w:val="21"/>
                <w:highlight w:val="none"/>
              </w:rPr>
              <w:t>完工后场地清理及其植被（如果有）恢复的规划和措施；</w:t>
            </w:r>
          </w:p>
          <w:p>
            <w:pPr>
              <w:pStyle w:val="176"/>
              <w:numPr>
                <w:ilvl w:val="0"/>
                <w:numId w:val="26"/>
              </w:numPr>
              <w:spacing w:line="360" w:lineRule="auto"/>
              <w:ind w:firstLineChars="0"/>
              <w:rPr>
                <w:rFonts w:ascii="宋体" w:hAnsi="宋体" w:cs="Arial"/>
                <w:szCs w:val="21"/>
                <w:highlight w:val="none"/>
              </w:rPr>
            </w:pPr>
            <w:r>
              <w:rPr>
                <w:rFonts w:hint="eastAsia" w:eastAsia="宋体" w:cs="宋体"/>
                <w:kern w:val="2"/>
                <w:sz w:val="21"/>
                <w:highlight w:val="none"/>
              </w:rPr>
              <w:t>其他：          /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6.9.2</w:t>
            </w:r>
          </w:p>
        </w:tc>
        <w:tc>
          <w:tcPr>
            <w:tcW w:w="7364" w:type="dxa"/>
          </w:tcPr>
          <w:p>
            <w:pPr>
              <w:spacing w:after="156" w:afterLines="50" w:line="300" w:lineRule="auto"/>
              <w:rPr>
                <w:rFonts w:cs="Arial"/>
                <w:szCs w:val="21"/>
                <w:highlight w:val="none"/>
              </w:rPr>
            </w:pPr>
            <w:r>
              <w:rPr>
                <w:rFonts w:hint="eastAsia"/>
                <w:szCs w:val="21"/>
                <w:highlight w:val="none"/>
              </w:rPr>
              <w:t>施工环保措施计划应当在专用合同条款第9.4款约定的期限内报送监理人。承包人应当严格执行经监理人批准的施工环保措施计划，并及时补充、修订和完善施工环保措施计划。</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25" w:name="_Toc342296553"/>
            <w:bookmarkStart w:id="2426" w:name="_Toc434331540"/>
            <w:bookmarkStart w:id="2427" w:name="_Toc241459796"/>
            <w:bookmarkStart w:id="2428" w:name="_Toc6885"/>
            <w:r>
              <w:rPr>
                <w:rFonts w:hint="eastAsia" w:ascii="宋体" w:hAnsi="宋体" w:cs="Arial"/>
                <w:sz w:val="21"/>
                <w:szCs w:val="21"/>
                <w:highlight w:val="none"/>
              </w:rPr>
              <w:t>7. 治安保卫</w:t>
            </w:r>
            <w:bookmarkEnd w:id="2425"/>
            <w:bookmarkEnd w:id="2426"/>
            <w:bookmarkEnd w:id="2427"/>
            <w:bookmarkEnd w:id="242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1</w:t>
            </w:r>
          </w:p>
        </w:tc>
        <w:tc>
          <w:tcPr>
            <w:tcW w:w="7364" w:type="dxa"/>
          </w:tcPr>
          <w:p>
            <w:pPr>
              <w:spacing w:after="156" w:afterLines="50" w:line="300" w:lineRule="auto"/>
              <w:rPr>
                <w:rFonts w:cs="Arial"/>
                <w:szCs w:val="21"/>
                <w:highlight w:val="none"/>
              </w:rPr>
            </w:pPr>
            <w:r>
              <w:rPr>
                <w:rFonts w:hint="eastAsia"/>
                <w:szCs w:val="21"/>
                <w:highlight w:val="none"/>
              </w:rPr>
              <w:t>承包人应为施工场地（现场）提供24小时的保安保卫服务，配备足够的保安人员和保安设备，防止未经批准的任何人进入现场，控制人员、材料和设备等的进出场，防止现场材料、设备或其他任何物品的失窃，禁止任何现场内的打架斗殴事件。</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2</w:t>
            </w:r>
          </w:p>
        </w:tc>
        <w:tc>
          <w:tcPr>
            <w:tcW w:w="7364" w:type="dxa"/>
          </w:tcPr>
          <w:p>
            <w:pPr>
              <w:spacing w:after="156" w:afterLines="50" w:line="300" w:lineRule="auto"/>
              <w:rPr>
                <w:szCs w:val="21"/>
                <w:highlight w:val="none"/>
              </w:rPr>
            </w:pPr>
            <w:r>
              <w:rPr>
                <w:rFonts w:hint="eastAsia"/>
                <w:szCs w:val="21"/>
                <w:highlight w:val="none"/>
              </w:rPr>
              <w:t>承包人的保安人员应是训练有素的专业保安人员，承包人可以雇佣专业保安公司负责现场保安和保卫；保安保卫制度除规范现场出入大门控制外，还应规定定时和不定时的施工场地(现场)周边和全现场的保安巡逻。</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3</w:t>
            </w:r>
          </w:p>
        </w:tc>
        <w:tc>
          <w:tcPr>
            <w:tcW w:w="7364" w:type="dxa"/>
          </w:tcPr>
          <w:p>
            <w:pPr>
              <w:spacing w:after="156" w:afterLines="50" w:line="300" w:lineRule="auto"/>
              <w:rPr>
                <w:szCs w:val="21"/>
                <w:highlight w:val="none"/>
              </w:rPr>
            </w:pPr>
            <w:r>
              <w:rPr>
                <w:rFonts w:hint="eastAsia"/>
                <w:szCs w:val="21"/>
                <w:highlight w:val="none"/>
              </w:rPr>
              <w:t>承包人应制定并实施严格的施工场地（现场）出入制度并报监理人审批；车辆的出入须有出入审批制度，并有指定的专人负责管理；人员进出现场应有出入证，出入证须以经过监理人批准的格式印制。</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4</w:t>
            </w:r>
          </w:p>
        </w:tc>
        <w:tc>
          <w:tcPr>
            <w:tcW w:w="7364" w:type="dxa"/>
          </w:tcPr>
          <w:p>
            <w:pPr>
              <w:spacing w:after="156" w:afterLines="50" w:line="300" w:lineRule="auto"/>
              <w:rPr>
                <w:szCs w:val="21"/>
                <w:highlight w:val="none"/>
              </w:rPr>
            </w:pPr>
            <w:r>
              <w:rPr>
                <w:rFonts w:hint="eastAsia"/>
                <w:szCs w:val="21"/>
                <w:highlight w:val="none"/>
              </w:rPr>
              <w:t>承包人应确保任何未经监理人同意的参观人员进入现场；承包人应准备足够数量的专门用于参观人员的安全帽并带明显标志，承包人同时应准备一个参观人员登记簿用于记录所有参观现场人员的姓名、参观目的和参观时间等内容；承包人应确保每个参观现场的人员了解和遵守现场的安全管理规章制度，佩带安全帽，确保所有经发包人和监理人批准的参观人员的人身安全。</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5</w:t>
            </w:r>
          </w:p>
        </w:tc>
        <w:tc>
          <w:tcPr>
            <w:tcW w:w="7364" w:type="dxa"/>
          </w:tcPr>
          <w:p>
            <w:pPr>
              <w:spacing w:after="156" w:afterLines="50" w:line="300" w:lineRule="auto"/>
              <w:rPr>
                <w:szCs w:val="21"/>
                <w:highlight w:val="none"/>
              </w:rPr>
            </w:pPr>
            <w:r>
              <w:rPr>
                <w:rFonts w:hint="eastAsia"/>
                <w:szCs w:val="21"/>
                <w:highlight w:val="none"/>
              </w:rPr>
              <w:t>承包人应为施工场地（现场）提供和维护符合建设行政主管部门和市容管理部门规定的临时围墙和其他安全维护，并在工程进度需要时，进行必要的改造。围墙和大门的表面维护应考虑定期的修补和重新刷漆，并应保证所有的乱涂乱画或招贴广告随时被清理。临时围墙和出入大门考虑必要的照明，照明系统要满足现场安全保卫和美观的要求。</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6</w:t>
            </w:r>
          </w:p>
        </w:tc>
        <w:tc>
          <w:tcPr>
            <w:tcW w:w="7364" w:type="dxa"/>
          </w:tcPr>
          <w:p>
            <w:pPr>
              <w:spacing w:after="156" w:afterLines="50" w:line="300" w:lineRule="auto"/>
              <w:rPr>
                <w:szCs w:val="21"/>
                <w:highlight w:val="none"/>
              </w:rPr>
            </w:pPr>
            <w:r>
              <w:rPr>
                <w:rFonts w:hint="eastAsia" w:cs="Arial"/>
                <w:szCs w:val="21"/>
                <w:highlight w:val="none"/>
              </w:rPr>
              <w:t>承包人应当保证发包人支付的工程款项仅用于本合同目的，及时和足额地向所雇佣的人员支付劳动报酬，并制定严格的工人工资支付保障措施，确保所有分包人及时支付所雇佣工人的工资，有效防止影响社会安定的群体事件发生，并保障发包人免于因承包人（包括其分包人）拖欠工人工资而可能遭受的</w:t>
            </w:r>
            <w:r>
              <w:rPr>
                <w:rFonts w:cs="Arial"/>
                <w:szCs w:val="21"/>
                <w:highlight w:val="none"/>
              </w:rPr>
              <w:t>任何处罚、索赔、损失和损害等。</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7</w:t>
            </w:r>
          </w:p>
        </w:tc>
        <w:tc>
          <w:tcPr>
            <w:tcW w:w="7364" w:type="dxa"/>
          </w:tcPr>
          <w:p>
            <w:pPr>
              <w:spacing w:after="156" w:afterLines="50" w:line="300" w:lineRule="auto"/>
              <w:rPr>
                <w:rFonts w:cs="Arial"/>
                <w:szCs w:val="21"/>
                <w:highlight w:val="none"/>
              </w:rPr>
            </w:pPr>
            <w:r>
              <w:rPr>
                <w:rFonts w:hint="eastAsia" w:cs="Arial"/>
                <w:szCs w:val="21"/>
                <w:highlight w:val="none"/>
              </w:rPr>
              <w:t>施工场地（现场）治安管理计划的要求：</w:t>
            </w:r>
          </w:p>
          <w:p>
            <w:pPr>
              <w:spacing w:after="156" w:afterLines="50" w:line="300" w:lineRule="auto"/>
              <w:rPr>
                <w:rFonts w:cs="Arial"/>
                <w:szCs w:val="21"/>
                <w:highlight w:val="none"/>
              </w:rPr>
            </w:pPr>
            <w:r>
              <w:rPr>
                <w:rFonts w:hint="eastAsia" w:cs="Arial"/>
                <w:szCs w:val="21"/>
                <w:highlight w:val="none"/>
                <w:u w:val="single"/>
              </w:rPr>
              <w:t>1、项目部要建立健全完善的治安保卫组织，由项目经理部牵头定期开会分析组织检查、寻找漏洞、制定措施。</w:t>
            </w:r>
          </w:p>
          <w:p>
            <w:pPr>
              <w:spacing w:line="400" w:lineRule="exact"/>
              <w:rPr>
                <w:rFonts w:cs="Arial"/>
                <w:szCs w:val="21"/>
                <w:highlight w:val="none"/>
                <w:u w:val="single"/>
              </w:rPr>
            </w:pPr>
            <w:r>
              <w:rPr>
                <w:rFonts w:hint="eastAsia" w:cs="Arial"/>
                <w:szCs w:val="21"/>
                <w:highlight w:val="none"/>
                <w:u w:val="single"/>
              </w:rPr>
              <w:t>2、制定切实可行的治安保卫制度，作到有章可循，重点部位重点人口形成文字档案，作到有据可查。</w:t>
            </w:r>
          </w:p>
          <w:p>
            <w:pPr>
              <w:spacing w:line="400" w:lineRule="exact"/>
              <w:rPr>
                <w:rFonts w:cs="Arial"/>
                <w:szCs w:val="21"/>
                <w:highlight w:val="none"/>
                <w:u w:val="single"/>
              </w:rPr>
            </w:pPr>
            <w:r>
              <w:rPr>
                <w:rFonts w:hint="eastAsia" w:cs="Arial"/>
                <w:szCs w:val="21"/>
                <w:highlight w:val="none"/>
                <w:u w:val="single"/>
              </w:rPr>
              <w:t>3、项目部设立治安保卫值班制度，重大节假日重大活动期间要求项目经理亲自值班。</w:t>
            </w:r>
          </w:p>
          <w:p>
            <w:pPr>
              <w:spacing w:line="400" w:lineRule="exact"/>
              <w:rPr>
                <w:rFonts w:cs="Arial"/>
                <w:szCs w:val="21"/>
                <w:highlight w:val="none"/>
                <w:u w:val="single"/>
              </w:rPr>
            </w:pPr>
            <w:r>
              <w:rPr>
                <w:rFonts w:hint="eastAsia" w:cs="Arial"/>
                <w:szCs w:val="21"/>
                <w:highlight w:val="none"/>
                <w:u w:val="single"/>
              </w:rPr>
              <w:t>4、施工现场所有出入口应设警卫室，昼夜有值班人员和记录，施工重要环节应成立护场队，巡逻检查以确保安全。</w:t>
            </w:r>
          </w:p>
          <w:p>
            <w:pPr>
              <w:spacing w:line="400" w:lineRule="exact"/>
              <w:rPr>
                <w:rFonts w:cs="Arial"/>
                <w:szCs w:val="21"/>
                <w:highlight w:val="none"/>
                <w:u w:val="single"/>
              </w:rPr>
            </w:pPr>
            <w:r>
              <w:rPr>
                <w:rFonts w:hint="eastAsia" w:cs="Arial"/>
                <w:szCs w:val="21"/>
                <w:highlight w:val="none"/>
                <w:u w:val="single"/>
              </w:rPr>
              <w:t>5、项目部、施工队、班组之间层层签订《治安包保责任书》，各自管好责任区域。</w:t>
            </w:r>
          </w:p>
          <w:p>
            <w:pPr>
              <w:spacing w:line="400" w:lineRule="exact"/>
              <w:rPr>
                <w:rFonts w:cs="Arial"/>
                <w:szCs w:val="21"/>
                <w:highlight w:val="none"/>
                <w:u w:val="single"/>
              </w:rPr>
            </w:pPr>
            <w:r>
              <w:rPr>
                <w:rFonts w:hint="eastAsia" w:cs="Arial"/>
                <w:szCs w:val="21"/>
                <w:highlight w:val="none"/>
                <w:u w:val="single"/>
              </w:rPr>
              <w:t>6、落实好相关规定，把好审查关、办证关、辞退关，将治安保卫事故隐患消灭在萌芽状态。</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8</w:t>
            </w:r>
          </w:p>
        </w:tc>
        <w:tc>
          <w:tcPr>
            <w:tcW w:w="7364" w:type="dxa"/>
          </w:tcPr>
          <w:p>
            <w:pPr>
              <w:spacing w:after="156" w:afterLines="50" w:line="300" w:lineRule="auto"/>
              <w:rPr>
                <w:rFonts w:cs="Arial"/>
                <w:szCs w:val="21"/>
                <w:highlight w:val="none"/>
              </w:rPr>
            </w:pPr>
            <w:r>
              <w:rPr>
                <w:rFonts w:hint="eastAsia" w:cs="Arial"/>
                <w:szCs w:val="21"/>
                <w:highlight w:val="none"/>
              </w:rPr>
              <w:t>突发治安事件紧急预案的要求：</w:t>
            </w:r>
          </w:p>
          <w:p>
            <w:pPr>
              <w:spacing w:after="156" w:afterLines="50" w:line="300" w:lineRule="auto"/>
              <w:rPr>
                <w:rFonts w:cs="Arial"/>
                <w:szCs w:val="21"/>
                <w:highlight w:val="none"/>
              </w:rPr>
            </w:pPr>
            <w:r>
              <w:rPr>
                <w:rFonts w:hint="eastAsia" w:cs="Arial"/>
                <w:szCs w:val="21"/>
                <w:highlight w:val="none"/>
                <w:u w:val="single"/>
              </w:rPr>
              <w:t>1、组织项目部成立施工现场突发治安事件应急领导小组，领导小组下设办公室，统一指挥和组织施工现场突发治安事件的应急。</w:t>
            </w:r>
          </w:p>
          <w:p>
            <w:pPr>
              <w:spacing w:line="400" w:lineRule="exact"/>
              <w:rPr>
                <w:rFonts w:cs="Arial"/>
                <w:szCs w:val="21"/>
                <w:highlight w:val="none"/>
                <w:u w:val="single"/>
              </w:rPr>
            </w:pPr>
            <w:r>
              <w:rPr>
                <w:rFonts w:hint="eastAsia" w:cs="Arial"/>
                <w:szCs w:val="21"/>
                <w:highlight w:val="none"/>
                <w:u w:val="single"/>
              </w:rPr>
              <w:t>2、制定应急预案做到切实可行  。</w:t>
            </w:r>
          </w:p>
          <w:p>
            <w:pPr>
              <w:spacing w:line="400" w:lineRule="exact"/>
              <w:rPr>
                <w:rFonts w:cs="Arial"/>
                <w:b/>
                <w:bCs/>
                <w:szCs w:val="21"/>
                <w:highlight w:val="none"/>
              </w:rPr>
            </w:pPr>
            <w:r>
              <w:rPr>
                <w:rFonts w:hint="eastAsia" w:cs="Arial"/>
                <w:szCs w:val="21"/>
                <w:highlight w:val="none"/>
                <w:u w:val="single"/>
              </w:rPr>
              <w:t>3、施工现场发生或发现突发治安事件后，必须在5分钟内向上级部门报告，并及时向所在地政府、公安、交警、卫生、消防等相关部门报案请求援助</w:t>
            </w:r>
            <w:r>
              <w:rPr>
                <w:rFonts w:hint="eastAsia" w:cs="Arial"/>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7</w:t>
            </w:r>
            <w:r>
              <w:rPr>
                <w:rFonts w:cs="Arial"/>
                <w:szCs w:val="21"/>
                <w:highlight w:val="none"/>
              </w:rPr>
              <w:t>.</w:t>
            </w:r>
            <w:r>
              <w:rPr>
                <w:rFonts w:hint="eastAsia" w:cs="Arial"/>
                <w:szCs w:val="21"/>
                <w:highlight w:val="none"/>
              </w:rPr>
              <w:t>9</w:t>
            </w:r>
          </w:p>
        </w:tc>
        <w:tc>
          <w:tcPr>
            <w:tcW w:w="7364" w:type="dxa"/>
          </w:tcPr>
          <w:p>
            <w:pPr>
              <w:spacing w:after="156" w:afterLines="50" w:line="300" w:lineRule="auto"/>
              <w:rPr>
                <w:rFonts w:cs="Arial"/>
                <w:szCs w:val="21"/>
                <w:highlight w:val="none"/>
              </w:rPr>
            </w:pPr>
            <w:r>
              <w:rPr>
                <w:rFonts w:hint="eastAsia" w:cs="Arial"/>
                <w:szCs w:val="21"/>
                <w:highlight w:val="none"/>
              </w:rPr>
              <w:t>治安保卫方面的其他</w:t>
            </w:r>
            <w:r>
              <w:rPr>
                <w:rFonts w:cs="Arial"/>
                <w:szCs w:val="21"/>
                <w:highlight w:val="none"/>
              </w:rPr>
              <w:t>要求</w:t>
            </w:r>
            <w:r>
              <w:rPr>
                <w:rFonts w:hint="eastAsia" w:cs="Arial"/>
                <w:szCs w:val="21"/>
                <w:highlight w:val="none"/>
              </w:rPr>
              <w:t>如下：</w:t>
            </w:r>
          </w:p>
          <w:p>
            <w:pPr>
              <w:spacing w:after="156" w:afterLines="50" w:line="300" w:lineRule="auto"/>
              <w:rPr>
                <w:rFonts w:cs="Arial"/>
                <w:szCs w:val="21"/>
                <w:highlight w:val="none"/>
              </w:rPr>
            </w:pPr>
            <w:r>
              <w:rPr>
                <w:rFonts w:hint="eastAsia"/>
                <w:szCs w:val="21"/>
                <w:highlight w:val="none"/>
                <w:u w:val="single"/>
              </w:rPr>
              <w:t xml:space="preserve">  重点区域监控系统全覆盖，重点部位配备巡更系统；现场人员出入口设置门禁系统；现场设置广播设施。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spacing w:after="156" w:afterLines="50" w:line="300" w:lineRule="auto"/>
              <w:rPr>
                <w:rFonts w:cs="Arial"/>
                <w:szCs w:val="21"/>
                <w:highlight w:val="none"/>
              </w:rPr>
            </w:pP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29" w:name="_Toc241459797"/>
            <w:bookmarkStart w:id="2430" w:name="_Toc31453"/>
            <w:bookmarkStart w:id="2431" w:name="_Toc342296554"/>
            <w:bookmarkStart w:id="2432" w:name="_Toc434331541"/>
            <w:r>
              <w:rPr>
                <w:rFonts w:hint="eastAsia" w:ascii="宋体" w:hAnsi="宋体" w:cs="Arial"/>
                <w:sz w:val="21"/>
                <w:szCs w:val="21"/>
                <w:highlight w:val="none"/>
              </w:rPr>
              <w:t>8. 地上、地下设施和周边建筑物的临时保护</w:t>
            </w:r>
            <w:bookmarkEnd w:id="2429"/>
            <w:bookmarkEnd w:id="2430"/>
            <w:bookmarkEnd w:id="2431"/>
            <w:bookmarkEnd w:id="2432"/>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8.1</w:t>
            </w:r>
          </w:p>
        </w:tc>
        <w:tc>
          <w:tcPr>
            <w:tcW w:w="7364" w:type="dxa"/>
          </w:tcPr>
          <w:p>
            <w:pPr>
              <w:spacing w:after="156" w:afterLines="50" w:line="300" w:lineRule="auto"/>
              <w:rPr>
                <w:rFonts w:cs="Arial"/>
                <w:szCs w:val="21"/>
                <w:highlight w:val="none"/>
              </w:rPr>
            </w:pPr>
            <w:r>
              <w:rPr>
                <w:rFonts w:hint="eastAsia" w:cs="Arial"/>
                <w:szCs w:val="21"/>
                <w:highlight w:val="none"/>
              </w:rPr>
              <w:t>承包人应为施工场地及其周边现有的地上、地下设施和建筑物提供足够的临时保护设施，确保施工过程中这些设施和建筑物不会受到干扰和破坏。</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8.2</w:t>
            </w:r>
          </w:p>
        </w:tc>
        <w:tc>
          <w:tcPr>
            <w:tcW w:w="7364" w:type="dxa"/>
          </w:tcPr>
          <w:p>
            <w:pPr>
              <w:spacing w:after="156" w:afterLines="50" w:line="300" w:lineRule="auto"/>
              <w:rPr>
                <w:rFonts w:cs="Arial"/>
                <w:szCs w:val="21"/>
                <w:highlight w:val="none"/>
                <w:u w:val="single"/>
              </w:rPr>
            </w:pPr>
            <w:r>
              <w:rPr>
                <w:rFonts w:hint="eastAsia" w:cs="Arial"/>
                <w:szCs w:val="21"/>
                <w:highlight w:val="none"/>
              </w:rPr>
              <w:t>承包人应当制订现有设施临时保护方案和应急处理方案，并在本工程开工前至少提前7天报送监理人，</w:t>
            </w:r>
            <w:r>
              <w:rPr>
                <w:rFonts w:hint="eastAsia"/>
                <w:szCs w:val="21"/>
                <w:highlight w:val="none"/>
              </w:rPr>
              <w:t>监理人应在收到现有设施临时保护方案后的3天内批复承包人。承包人应当严格执行经监理人批准的保护方案，并保证在任何可能影响周边现有的地上、地下设施或周边建筑物的施工作业开始前，相应的临时保护设施能够落实到位。</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8.3</w:t>
            </w:r>
          </w:p>
        </w:tc>
        <w:tc>
          <w:tcPr>
            <w:tcW w:w="7364" w:type="dxa"/>
          </w:tcPr>
          <w:p>
            <w:pPr>
              <w:spacing w:after="156" w:afterLines="50" w:line="300" w:lineRule="auto"/>
              <w:rPr>
                <w:rFonts w:cs="Arial"/>
                <w:szCs w:val="21"/>
                <w:highlight w:val="none"/>
              </w:rPr>
            </w:pPr>
            <w:r>
              <w:rPr>
                <w:rFonts w:hint="eastAsia" w:cs="Arial"/>
                <w:szCs w:val="21"/>
                <w:highlight w:val="none"/>
              </w:rPr>
              <w:t>发包人特别提醒承包人注意以下地上、地下设施和周边建筑物的保护：</w:t>
            </w:r>
          </w:p>
          <w:p>
            <w:pPr>
              <w:spacing w:after="156" w:afterLines="50" w:line="300" w:lineRule="auto"/>
              <w:rPr>
                <w:rFonts w:cs="Arial"/>
                <w:szCs w:val="21"/>
                <w:highlight w:val="none"/>
              </w:rPr>
            </w:pPr>
            <w:r>
              <w:rPr>
                <w:rFonts w:hint="eastAsia"/>
                <w:szCs w:val="21"/>
                <w:highlight w:val="none"/>
                <w:u w:val="single"/>
              </w:rPr>
              <w:t xml:space="preserve">       费用由承包人负责，在投标报价中考虑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8.4</w:t>
            </w:r>
          </w:p>
        </w:tc>
        <w:tc>
          <w:tcPr>
            <w:tcW w:w="7364" w:type="dxa"/>
          </w:tcPr>
          <w:p>
            <w:pPr>
              <w:spacing w:after="156" w:afterLines="50" w:line="300" w:lineRule="auto"/>
              <w:rPr>
                <w:rFonts w:cs="Arial"/>
                <w:szCs w:val="21"/>
                <w:highlight w:val="none"/>
              </w:rPr>
            </w:pPr>
            <w:r>
              <w:rPr>
                <w:rFonts w:hint="eastAsia"/>
                <w:szCs w:val="21"/>
                <w:highlight w:val="none"/>
              </w:rPr>
              <w:t>地上、地下设施和周边建筑物的临时保护的其他要求如下:</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8420" w:type="dxa"/>
            <w:gridSpan w:val="2"/>
          </w:tcPr>
          <w:p>
            <w:pPr>
              <w:pStyle w:val="4"/>
              <w:rPr>
                <w:rFonts w:ascii="宋体" w:hAnsi="宋体" w:cs="Arial"/>
                <w:b w:val="0"/>
                <w:bCs w:val="0"/>
                <w:szCs w:val="21"/>
                <w:highlight w:val="none"/>
              </w:rPr>
            </w:pPr>
            <w:bookmarkStart w:id="2433" w:name="_Toc342296555"/>
            <w:bookmarkStart w:id="2434" w:name="_Toc21565"/>
            <w:bookmarkStart w:id="2435" w:name="_Toc241459798"/>
            <w:bookmarkStart w:id="2436" w:name="_Toc434331542"/>
            <w:r>
              <w:rPr>
                <w:rFonts w:hint="eastAsia" w:ascii="宋体" w:hAnsi="宋体" w:cs="Arial"/>
                <w:sz w:val="21"/>
                <w:szCs w:val="21"/>
                <w:highlight w:val="none"/>
              </w:rPr>
              <w:t>9. 样品和材料代换</w:t>
            </w:r>
            <w:bookmarkEnd w:id="2433"/>
            <w:bookmarkEnd w:id="2434"/>
            <w:bookmarkEnd w:id="2435"/>
            <w:bookmarkEnd w:id="2436"/>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37" w:name="_Toc263259815"/>
            <w:r>
              <w:rPr>
                <w:rFonts w:hint="eastAsia" w:cs="Arial"/>
                <w:b/>
                <w:bCs/>
                <w:szCs w:val="21"/>
                <w:highlight w:val="none"/>
              </w:rPr>
              <w:t>9</w:t>
            </w:r>
            <w:r>
              <w:rPr>
                <w:rFonts w:cs="Arial"/>
                <w:b/>
                <w:bCs/>
                <w:szCs w:val="21"/>
                <w:highlight w:val="none"/>
              </w:rPr>
              <w:t>.</w:t>
            </w:r>
            <w:r>
              <w:rPr>
                <w:rFonts w:hint="eastAsia" w:cs="Arial"/>
                <w:b/>
                <w:bCs/>
                <w:szCs w:val="21"/>
                <w:highlight w:val="none"/>
              </w:rPr>
              <w:t>1</w:t>
            </w:r>
            <w:bookmarkEnd w:id="2437"/>
          </w:p>
        </w:tc>
        <w:tc>
          <w:tcPr>
            <w:tcW w:w="7364" w:type="dxa"/>
          </w:tcPr>
          <w:p>
            <w:pPr>
              <w:spacing w:after="156" w:afterLines="50" w:line="300" w:lineRule="auto"/>
              <w:outlineLvl w:val="3"/>
              <w:rPr>
                <w:rFonts w:cs="Arial"/>
                <w:b/>
                <w:bCs/>
                <w:szCs w:val="21"/>
                <w:highlight w:val="none"/>
              </w:rPr>
            </w:pPr>
            <w:bookmarkStart w:id="2438" w:name="_Toc263259816"/>
            <w:r>
              <w:rPr>
                <w:rFonts w:hint="eastAsia" w:cs="Arial"/>
                <w:b/>
                <w:bCs/>
                <w:szCs w:val="21"/>
                <w:highlight w:val="none"/>
              </w:rPr>
              <w:t>样品</w:t>
            </w:r>
            <w:bookmarkEnd w:id="243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9.1.1</w:t>
            </w:r>
          </w:p>
        </w:tc>
        <w:tc>
          <w:tcPr>
            <w:tcW w:w="7364" w:type="dxa"/>
          </w:tcPr>
          <w:p>
            <w:pPr>
              <w:spacing w:after="156" w:afterLines="50" w:line="300" w:lineRule="auto"/>
              <w:rPr>
                <w:rFonts w:cs="Arial"/>
                <w:szCs w:val="21"/>
                <w:highlight w:val="none"/>
              </w:rPr>
            </w:pPr>
            <w:r>
              <w:rPr>
                <w:rFonts w:hint="eastAsia" w:cs="Arial"/>
                <w:szCs w:val="21"/>
                <w:highlight w:val="none"/>
              </w:rPr>
              <w:t>本工程需要承包人提供样品的材料和工程设备如下：</w:t>
            </w:r>
          </w:p>
          <w:p>
            <w:pPr>
              <w:spacing w:after="156" w:afterLines="50" w:line="300" w:lineRule="auto"/>
              <w:rPr>
                <w:rFonts w:cs="Arial"/>
                <w:szCs w:val="21"/>
                <w:highlight w:val="none"/>
              </w:rPr>
            </w:pPr>
            <w:r>
              <w:rPr>
                <w:rFonts w:hint="eastAsia"/>
                <w:szCs w:val="21"/>
                <w:highlight w:val="none"/>
                <w:u w:val="single"/>
              </w:rPr>
              <w:t xml:space="preserve">按照发包人、监理人、设计人的要求提供样品样板，并经各方同意后方可采购供应和施工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2</w:t>
            </w:r>
          </w:p>
        </w:tc>
        <w:tc>
          <w:tcPr>
            <w:tcW w:w="7364" w:type="dxa"/>
          </w:tcPr>
          <w:p>
            <w:pPr>
              <w:spacing w:after="156" w:afterLines="50" w:line="300" w:lineRule="auto"/>
              <w:rPr>
                <w:rFonts w:cs="Arial"/>
                <w:szCs w:val="21"/>
                <w:highlight w:val="none"/>
              </w:rPr>
            </w:pPr>
            <w:r>
              <w:rPr>
                <w:rFonts w:hint="eastAsia" w:cs="Arial"/>
                <w:szCs w:val="21"/>
                <w:highlight w:val="none"/>
              </w:rPr>
              <w:t>对于本款第9.1.1项</w:t>
            </w:r>
            <w:r>
              <w:rPr>
                <w:rFonts w:cs="Arial"/>
                <w:szCs w:val="21"/>
                <w:highlight w:val="none"/>
              </w:rPr>
              <w:t>约定的材料</w:t>
            </w:r>
            <w:r>
              <w:rPr>
                <w:rFonts w:hint="eastAsia" w:cs="Arial"/>
                <w:szCs w:val="21"/>
                <w:highlight w:val="none"/>
              </w:rPr>
              <w:t>和</w:t>
            </w:r>
            <w:r>
              <w:rPr>
                <w:rFonts w:cs="Arial"/>
                <w:szCs w:val="21"/>
                <w:highlight w:val="none"/>
              </w:rPr>
              <w:t>工程设备，承包人应</w:t>
            </w:r>
            <w:r>
              <w:rPr>
                <w:rFonts w:hint="eastAsia" w:cs="Arial"/>
                <w:szCs w:val="21"/>
                <w:highlight w:val="none"/>
              </w:rPr>
              <w:t>按照专用合同条款第5.1.2项约定的期限</w:t>
            </w:r>
            <w:r>
              <w:rPr>
                <w:rFonts w:cs="Arial"/>
                <w:szCs w:val="21"/>
                <w:highlight w:val="none"/>
              </w:rPr>
              <w:t>，向监理人提交样品并附上任何必要的说明书、</w:t>
            </w:r>
            <w:r>
              <w:rPr>
                <w:rFonts w:hint="eastAsia" w:cs="Arial"/>
                <w:szCs w:val="21"/>
                <w:highlight w:val="none"/>
              </w:rPr>
              <w:t>生产（制造）许可</w:t>
            </w:r>
            <w:r>
              <w:rPr>
                <w:rFonts w:cs="Arial"/>
                <w:szCs w:val="21"/>
                <w:highlight w:val="none"/>
              </w:rPr>
              <w:t>证书、出厂</w:t>
            </w:r>
            <w:r>
              <w:rPr>
                <w:rFonts w:hint="eastAsia" w:cs="Arial"/>
                <w:szCs w:val="21"/>
                <w:highlight w:val="none"/>
              </w:rPr>
              <w:t>合格证明或者证书、出厂检测</w:t>
            </w:r>
            <w:r>
              <w:rPr>
                <w:rFonts w:cs="Arial"/>
                <w:szCs w:val="21"/>
                <w:highlight w:val="none"/>
              </w:rPr>
              <w:t>报告、性能介绍、使用说明等相关资料，</w:t>
            </w:r>
            <w:r>
              <w:rPr>
                <w:rFonts w:hint="eastAsia" w:cs="Arial"/>
                <w:szCs w:val="21"/>
                <w:highlight w:val="none"/>
              </w:rPr>
              <w:t>同时注明材料和工程设备的供货人及品种、规格、数量和供货时间等，</w:t>
            </w:r>
            <w:r>
              <w:rPr>
                <w:rFonts w:cs="Arial"/>
                <w:szCs w:val="21"/>
                <w:highlight w:val="none"/>
              </w:rPr>
              <w:t>以供检验和审批。样品送达的地点和样品的数量或尺寸应符合监理人</w:t>
            </w:r>
            <w:r>
              <w:rPr>
                <w:rFonts w:hint="eastAsia" w:cs="Arial"/>
                <w:szCs w:val="21"/>
                <w:highlight w:val="none"/>
              </w:rPr>
              <w:t>和</w:t>
            </w:r>
            <w:r>
              <w:rPr>
                <w:rFonts w:cs="Arial"/>
                <w:szCs w:val="21"/>
                <w:highlight w:val="none"/>
              </w:rPr>
              <w:t>发包人的要求。除合同另有约定</w:t>
            </w:r>
            <w:r>
              <w:rPr>
                <w:rFonts w:hint="eastAsia" w:cs="Arial"/>
                <w:szCs w:val="21"/>
                <w:highlight w:val="none"/>
              </w:rPr>
              <w:t>外</w:t>
            </w:r>
            <w:r>
              <w:rPr>
                <w:rFonts w:cs="Arial"/>
                <w:szCs w:val="21"/>
                <w:highlight w:val="none"/>
              </w:rPr>
              <w:t>，承包人在报送任何样品时应按监理人同意的格式填写并递交样品报送单。监理人应及时签收样品。</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3</w:t>
            </w:r>
          </w:p>
        </w:tc>
        <w:tc>
          <w:tcPr>
            <w:tcW w:w="7364" w:type="dxa"/>
          </w:tcPr>
          <w:p>
            <w:pPr>
              <w:spacing w:after="156" w:afterLines="50" w:line="300" w:lineRule="auto"/>
              <w:rPr>
                <w:rFonts w:cs="Arial"/>
                <w:szCs w:val="21"/>
                <w:highlight w:val="none"/>
              </w:rPr>
            </w:pPr>
            <w:r>
              <w:rPr>
                <w:rFonts w:hint="eastAsia" w:cs="Arial"/>
                <w:szCs w:val="21"/>
                <w:highlight w:val="none"/>
              </w:rPr>
              <w:t>合同条款第15.8.2项约定的依法不需要招标的、以暂估价形式包括在工程量清单中的材料和工程设备，所附资料除本款第9.1.2项约定的内容外，还应附上价格资料，每一类材料设备，至少应准备符合合同要求的三个产品，价格分高、中、低三档，以便监理人和发包人选择和批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4</w:t>
            </w:r>
          </w:p>
        </w:tc>
        <w:tc>
          <w:tcPr>
            <w:tcW w:w="7364" w:type="dxa"/>
          </w:tcPr>
          <w:p>
            <w:pPr>
              <w:spacing w:after="156" w:afterLines="50" w:line="300" w:lineRule="auto"/>
              <w:rPr>
                <w:rFonts w:cs="Arial"/>
                <w:szCs w:val="21"/>
                <w:highlight w:val="none"/>
              </w:rPr>
            </w:pPr>
            <w:r>
              <w:rPr>
                <w:rFonts w:cs="Arial"/>
                <w:szCs w:val="21"/>
                <w:highlight w:val="none"/>
              </w:rPr>
              <w:t>监理人应在收到承包人报送的样品后</w:t>
            </w:r>
            <w:r>
              <w:rPr>
                <w:rFonts w:hint="eastAsia" w:cs="Arial"/>
                <w:szCs w:val="21"/>
                <w:highlight w:val="none"/>
              </w:rPr>
              <w:t>7天内转呈发包人并附上监理人的书面审批意见。发包人在收到通过监理人转交的样品以及监理人的审批意见后7</w:t>
            </w:r>
            <w:r>
              <w:rPr>
                <w:rFonts w:cs="Arial"/>
                <w:szCs w:val="21"/>
                <w:highlight w:val="none"/>
              </w:rPr>
              <w:t>天内就此样品给出书面批复</w:t>
            </w:r>
            <w:r>
              <w:rPr>
                <w:rFonts w:hint="eastAsia" w:cs="Arial"/>
                <w:szCs w:val="21"/>
                <w:highlight w:val="none"/>
              </w:rPr>
              <w:t>。监理人应在收到样品后21天内</w:t>
            </w:r>
            <w:r>
              <w:rPr>
                <w:rFonts w:cs="Arial"/>
                <w:szCs w:val="21"/>
                <w:highlight w:val="none"/>
              </w:rPr>
              <w:t>通知承包人他</w:t>
            </w:r>
            <w:r>
              <w:rPr>
                <w:rFonts w:hint="eastAsia" w:cs="Arial"/>
                <w:szCs w:val="21"/>
                <w:highlight w:val="none"/>
              </w:rPr>
              <w:t>相关</w:t>
            </w:r>
            <w:r>
              <w:rPr>
                <w:rFonts w:cs="Arial"/>
                <w:szCs w:val="21"/>
                <w:highlight w:val="none"/>
              </w:rPr>
              <w:t>样品所做出的决定或指示</w:t>
            </w:r>
            <w:r>
              <w:rPr>
                <w:rFonts w:hint="eastAsia" w:cs="Arial"/>
                <w:szCs w:val="21"/>
                <w:highlight w:val="none"/>
              </w:rPr>
              <w:t>（同时抄送一份给发包人）</w:t>
            </w:r>
            <w:r>
              <w:rPr>
                <w:rFonts w:cs="Arial"/>
                <w:szCs w:val="21"/>
                <w:highlight w:val="none"/>
              </w:rPr>
              <w:t>。承包人应根据</w:t>
            </w:r>
            <w:r>
              <w:rPr>
                <w:rFonts w:hint="eastAsia" w:cs="Arial"/>
                <w:szCs w:val="21"/>
                <w:highlight w:val="none"/>
              </w:rPr>
              <w:t>监理</w:t>
            </w:r>
            <w:r>
              <w:rPr>
                <w:rFonts w:cs="Arial"/>
                <w:szCs w:val="21"/>
                <w:highlight w:val="none"/>
              </w:rPr>
              <w:t>人的书面批复和指示相应地进行下一步工作。如果</w:t>
            </w:r>
            <w:r>
              <w:rPr>
                <w:rFonts w:hint="eastAsia" w:cs="Arial"/>
                <w:szCs w:val="21"/>
                <w:highlight w:val="none"/>
              </w:rPr>
              <w:t>监理人</w:t>
            </w:r>
            <w:r>
              <w:rPr>
                <w:rFonts w:cs="Arial"/>
                <w:szCs w:val="21"/>
                <w:highlight w:val="none"/>
              </w:rPr>
              <w:t>未能在</w:t>
            </w:r>
            <w:r>
              <w:rPr>
                <w:rFonts w:hint="eastAsia" w:cs="Arial"/>
                <w:szCs w:val="21"/>
                <w:highlight w:val="none"/>
              </w:rPr>
              <w:t>承包人报送</w:t>
            </w:r>
            <w:r>
              <w:rPr>
                <w:rFonts w:cs="Arial"/>
                <w:szCs w:val="21"/>
                <w:highlight w:val="none"/>
              </w:rPr>
              <w:t>样品后</w:t>
            </w:r>
            <w:r>
              <w:rPr>
                <w:rFonts w:hint="eastAsia" w:cs="Arial"/>
                <w:szCs w:val="21"/>
                <w:highlight w:val="none"/>
              </w:rPr>
              <w:t>21</w:t>
            </w:r>
            <w:r>
              <w:rPr>
                <w:rFonts w:cs="Arial"/>
                <w:szCs w:val="21"/>
                <w:highlight w:val="none"/>
              </w:rPr>
              <w:t>天内给出书面批复，承包人应就此通知监理人</w:t>
            </w:r>
            <w:r>
              <w:rPr>
                <w:rFonts w:hint="eastAsia" w:cs="Arial"/>
                <w:szCs w:val="21"/>
                <w:highlight w:val="none"/>
              </w:rPr>
              <w:t>，要求</w:t>
            </w:r>
            <w:r>
              <w:rPr>
                <w:rFonts w:cs="Arial"/>
                <w:szCs w:val="21"/>
                <w:highlight w:val="none"/>
              </w:rPr>
              <w:t>尽快批复。如果发包人在收到此类通知后7天内仍未对样品进行批复，则视为</w:t>
            </w:r>
            <w:r>
              <w:rPr>
                <w:rFonts w:hint="eastAsia" w:cs="Arial"/>
                <w:szCs w:val="21"/>
                <w:highlight w:val="none"/>
              </w:rPr>
              <w:t>监理</w:t>
            </w:r>
            <w:r>
              <w:rPr>
                <w:rFonts w:cs="Arial"/>
                <w:szCs w:val="21"/>
                <w:highlight w:val="none"/>
              </w:rPr>
              <w:t>人</w:t>
            </w:r>
            <w:r>
              <w:rPr>
                <w:rFonts w:hint="eastAsia" w:cs="Arial"/>
                <w:szCs w:val="21"/>
                <w:highlight w:val="none"/>
              </w:rPr>
              <w:t>和发包人</w:t>
            </w:r>
            <w:r>
              <w:rPr>
                <w:rFonts w:cs="Arial"/>
                <w:szCs w:val="21"/>
                <w:highlight w:val="none"/>
              </w:rPr>
              <w:t>已经批准。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5</w:t>
            </w:r>
          </w:p>
        </w:tc>
        <w:tc>
          <w:tcPr>
            <w:tcW w:w="7364" w:type="dxa"/>
          </w:tcPr>
          <w:p>
            <w:pPr>
              <w:spacing w:after="156" w:afterLines="50" w:line="300" w:lineRule="auto"/>
              <w:rPr>
                <w:rFonts w:cs="Arial"/>
                <w:szCs w:val="21"/>
                <w:highlight w:val="none"/>
              </w:rPr>
            </w:pPr>
            <w:r>
              <w:rPr>
                <w:rFonts w:cs="Arial"/>
                <w:szCs w:val="21"/>
                <w:highlight w:val="none"/>
              </w:rPr>
              <w:t>得到批准后的样品由</w:t>
            </w:r>
            <w:r>
              <w:rPr>
                <w:rFonts w:hint="eastAsia" w:cs="Arial"/>
                <w:szCs w:val="21"/>
                <w:highlight w:val="none"/>
              </w:rPr>
              <w:t>监理</w:t>
            </w:r>
            <w:r>
              <w:rPr>
                <w:rFonts w:cs="Arial"/>
                <w:szCs w:val="21"/>
                <w:highlight w:val="none"/>
              </w:rPr>
              <w:t>人负责存放。但承包人应为保存样品提供适当和固定的场所并保持适当和良好的环境条件。</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1</w:t>
            </w:r>
            <w:r>
              <w:rPr>
                <w:rFonts w:cs="Arial"/>
                <w:szCs w:val="21"/>
                <w:highlight w:val="none"/>
              </w:rPr>
              <w:t>.</w:t>
            </w:r>
            <w:r>
              <w:rPr>
                <w:rFonts w:hint="eastAsia" w:cs="Arial"/>
                <w:szCs w:val="21"/>
                <w:highlight w:val="none"/>
              </w:rPr>
              <w:t>6</w:t>
            </w:r>
          </w:p>
        </w:tc>
        <w:tc>
          <w:tcPr>
            <w:tcW w:w="7364" w:type="dxa"/>
          </w:tcPr>
          <w:p>
            <w:pPr>
              <w:spacing w:after="156" w:afterLines="50" w:line="300" w:lineRule="auto"/>
              <w:rPr>
                <w:rFonts w:cs="Arial"/>
                <w:szCs w:val="21"/>
                <w:highlight w:val="none"/>
              </w:rPr>
            </w:pPr>
            <w:r>
              <w:rPr>
                <w:rFonts w:cs="Arial"/>
                <w:szCs w:val="21"/>
                <w:highlight w:val="none"/>
              </w:rPr>
              <w:t>提供样品和提供存放样品场所的费用由承包人承担。</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39" w:name="_Toc263259817"/>
            <w:r>
              <w:rPr>
                <w:rFonts w:hint="eastAsia" w:cs="Arial"/>
                <w:b/>
                <w:bCs/>
                <w:szCs w:val="21"/>
                <w:highlight w:val="none"/>
              </w:rPr>
              <w:t>9</w:t>
            </w:r>
            <w:r>
              <w:rPr>
                <w:rFonts w:cs="Arial"/>
                <w:b/>
                <w:bCs/>
                <w:szCs w:val="21"/>
                <w:highlight w:val="none"/>
              </w:rPr>
              <w:t>.</w:t>
            </w:r>
            <w:r>
              <w:rPr>
                <w:rFonts w:hint="eastAsia" w:cs="Arial"/>
                <w:b/>
                <w:bCs/>
                <w:szCs w:val="21"/>
                <w:highlight w:val="none"/>
              </w:rPr>
              <w:t>2</w:t>
            </w:r>
            <w:bookmarkEnd w:id="2439"/>
          </w:p>
        </w:tc>
        <w:tc>
          <w:tcPr>
            <w:tcW w:w="7364" w:type="dxa"/>
          </w:tcPr>
          <w:p>
            <w:pPr>
              <w:pStyle w:val="29"/>
              <w:spacing w:after="156" w:afterLines="50" w:line="300" w:lineRule="auto"/>
              <w:outlineLvl w:val="3"/>
              <w:rPr>
                <w:rFonts w:hAnsi="宋体" w:cs="Arial"/>
                <w:b/>
                <w:bCs/>
                <w:sz w:val="21"/>
                <w:szCs w:val="21"/>
                <w:highlight w:val="none"/>
              </w:rPr>
            </w:pPr>
            <w:bookmarkStart w:id="2440" w:name="_Toc263259818"/>
            <w:r>
              <w:rPr>
                <w:rFonts w:hint="eastAsia" w:hAnsi="宋体" w:cs="Arial"/>
                <w:b/>
                <w:bCs/>
                <w:sz w:val="21"/>
                <w:szCs w:val="21"/>
                <w:highlight w:val="none"/>
              </w:rPr>
              <w:t>材料代换</w:t>
            </w:r>
            <w:bookmarkEnd w:id="2440"/>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2</w:t>
            </w:r>
            <w:r>
              <w:rPr>
                <w:rFonts w:cs="Arial"/>
                <w:szCs w:val="21"/>
                <w:highlight w:val="none"/>
              </w:rPr>
              <w:t>.</w:t>
            </w:r>
            <w:r>
              <w:rPr>
                <w:rFonts w:hint="eastAsia" w:cs="Arial"/>
                <w:szCs w:val="21"/>
                <w:highlight w:val="none"/>
              </w:rPr>
              <w:t>1</w:t>
            </w:r>
          </w:p>
        </w:tc>
        <w:tc>
          <w:tcPr>
            <w:tcW w:w="7364" w:type="dxa"/>
          </w:tcPr>
          <w:p>
            <w:pPr>
              <w:spacing w:after="156" w:afterLines="50" w:line="300" w:lineRule="auto"/>
              <w:rPr>
                <w:rFonts w:cs="Arial"/>
                <w:szCs w:val="21"/>
                <w:highlight w:val="none"/>
              </w:rPr>
            </w:pPr>
            <w:r>
              <w:rPr>
                <w:rFonts w:hint="eastAsia" w:ascii="Arial" w:hAnsi="Arial" w:cs="Arial"/>
                <w:szCs w:val="21"/>
                <w:highlight w:val="none"/>
              </w:rPr>
              <w:t>如果任</w:t>
            </w:r>
            <w:r>
              <w:rPr>
                <w:rFonts w:ascii="Arial" w:hAnsi="Arial" w:cs="Arial"/>
                <w:szCs w:val="21"/>
                <w:highlight w:val="none"/>
              </w:rPr>
              <w:t>何后继</w:t>
            </w:r>
            <w:r>
              <w:rPr>
                <w:rFonts w:hint="eastAsia" w:ascii="Arial" w:hAnsi="Arial" w:cs="Arial"/>
                <w:szCs w:val="21"/>
                <w:highlight w:val="none"/>
              </w:rPr>
              <w:t>法律、法规、</w:t>
            </w:r>
            <w:r>
              <w:rPr>
                <w:rFonts w:ascii="Arial" w:hAnsi="Arial" w:cs="Arial"/>
                <w:szCs w:val="21"/>
                <w:highlight w:val="none"/>
              </w:rPr>
              <w:t>规章、</w:t>
            </w:r>
            <w:r>
              <w:rPr>
                <w:rFonts w:hint="eastAsia" w:cs="Arial"/>
                <w:szCs w:val="21"/>
                <w:highlight w:val="none"/>
              </w:rPr>
              <w:t>规范、标准和规程等</w:t>
            </w:r>
            <w:r>
              <w:rPr>
                <w:rFonts w:hint="eastAsia" w:ascii="Arial" w:hAnsi="Arial" w:cs="Arial"/>
                <w:szCs w:val="21"/>
                <w:highlight w:val="none"/>
              </w:rPr>
              <w:t>等</w:t>
            </w:r>
            <w:r>
              <w:rPr>
                <w:rFonts w:ascii="Arial" w:hAnsi="Arial" w:cs="Arial"/>
                <w:szCs w:val="21"/>
                <w:highlight w:val="none"/>
              </w:rPr>
              <w:t>禁止使用合同中约定的材料和工程设备，承包人</w:t>
            </w:r>
            <w:r>
              <w:rPr>
                <w:rFonts w:hint="eastAsia" w:ascii="Arial" w:hAnsi="Arial" w:cs="Arial"/>
                <w:szCs w:val="21"/>
                <w:highlight w:val="none"/>
              </w:rPr>
              <w:t>应当</w:t>
            </w:r>
            <w:r>
              <w:rPr>
                <w:rFonts w:ascii="Arial" w:hAnsi="Arial" w:cs="Arial"/>
                <w:szCs w:val="21"/>
                <w:highlight w:val="none"/>
              </w:rPr>
              <w:t>按</w:t>
            </w:r>
            <w:r>
              <w:rPr>
                <w:rFonts w:hint="eastAsia" w:ascii="Arial" w:hAnsi="Arial" w:cs="Arial"/>
                <w:szCs w:val="21"/>
                <w:highlight w:val="none"/>
              </w:rPr>
              <w:t>本款</w:t>
            </w:r>
            <w:r>
              <w:rPr>
                <w:rFonts w:ascii="Arial" w:hAnsi="Arial" w:cs="Arial"/>
                <w:szCs w:val="21"/>
                <w:highlight w:val="none"/>
              </w:rPr>
              <w:t>约定的程序使用其他替代品来实施工程或修补缺陷。监理人对使用替代品的批准以及承包人据此使用替代品不应</w:t>
            </w:r>
            <w:r>
              <w:rPr>
                <w:rFonts w:hint="eastAsia" w:ascii="Arial" w:hAnsi="Arial" w:cs="Arial"/>
                <w:szCs w:val="21"/>
                <w:highlight w:val="none"/>
              </w:rPr>
              <w:t>减免</w:t>
            </w:r>
            <w:r>
              <w:rPr>
                <w:rFonts w:ascii="Arial" w:hAnsi="Arial" w:cs="Arial"/>
                <w:szCs w:val="21"/>
                <w:highlight w:val="none"/>
              </w:rPr>
              <w:t>合同约定的承包人</w:t>
            </w:r>
            <w:r>
              <w:rPr>
                <w:rFonts w:hint="eastAsia" w:ascii="Arial" w:hAnsi="Arial" w:cs="Arial"/>
                <w:szCs w:val="21"/>
                <w:highlight w:val="none"/>
              </w:rPr>
              <w:t>的</w:t>
            </w:r>
            <w:r>
              <w:rPr>
                <w:rFonts w:ascii="Arial" w:hAnsi="Arial" w:cs="Arial"/>
                <w:szCs w:val="21"/>
                <w:highlight w:val="none"/>
              </w:rPr>
              <w:t>任何</w:t>
            </w:r>
            <w:r>
              <w:rPr>
                <w:rFonts w:hint="eastAsia" w:ascii="Arial" w:hAnsi="Arial" w:cs="Arial"/>
                <w:szCs w:val="21"/>
                <w:highlight w:val="none"/>
              </w:rPr>
              <w:t>责任</w:t>
            </w:r>
            <w:r>
              <w:rPr>
                <w:rFonts w:ascii="Arial" w:hAnsi="Arial" w:cs="Arial"/>
                <w:szCs w:val="21"/>
                <w:highlight w:val="none"/>
              </w:rPr>
              <w:t>和义务。</w:t>
            </w:r>
          </w:p>
        </w:tc>
      </w:tr>
      <w:tr>
        <w:tblPrEx>
          <w:tblCellMar>
            <w:top w:w="0" w:type="dxa"/>
            <w:left w:w="108" w:type="dxa"/>
            <w:bottom w:w="0" w:type="dxa"/>
            <w:right w:w="108" w:type="dxa"/>
          </w:tblCellMar>
        </w:tblPrEx>
        <w:trPr>
          <w:trHeight w:val="677" w:hRule="atLeast"/>
        </w:trPr>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2</w:t>
            </w:r>
            <w:r>
              <w:rPr>
                <w:rFonts w:cs="Arial"/>
                <w:szCs w:val="21"/>
                <w:highlight w:val="none"/>
              </w:rPr>
              <w:t>.</w:t>
            </w:r>
            <w:r>
              <w:rPr>
                <w:rFonts w:hint="eastAsia" w:cs="Arial"/>
                <w:szCs w:val="21"/>
                <w:highlight w:val="none"/>
              </w:rPr>
              <w:t>2</w:t>
            </w:r>
          </w:p>
        </w:tc>
        <w:tc>
          <w:tcPr>
            <w:tcW w:w="7364" w:type="dxa"/>
          </w:tcPr>
          <w:p>
            <w:pPr>
              <w:spacing w:after="156" w:afterLines="50" w:line="300" w:lineRule="auto"/>
              <w:rPr>
                <w:rFonts w:cs="Arial"/>
                <w:szCs w:val="21"/>
                <w:highlight w:val="none"/>
              </w:rPr>
            </w:pPr>
            <w:r>
              <w:rPr>
                <w:rFonts w:cs="Arial"/>
                <w:szCs w:val="21"/>
                <w:highlight w:val="none"/>
              </w:rPr>
              <w:t>如果使用替代品，承包人应至少在被</w:t>
            </w:r>
            <w:r>
              <w:rPr>
                <w:rFonts w:hint="eastAsia" w:cs="Arial"/>
                <w:szCs w:val="21"/>
                <w:highlight w:val="none"/>
              </w:rPr>
              <w:t>替</w:t>
            </w:r>
            <w:r>
              <w:rPr>
                <w:rFonts w:cs="Arial"/>
                <w:szCs w:val="21"/>
                <w:highlight w:val="none"/>
              </w:rPr>
              <w:t>代品按批准的进度计划用于永久工程前56天以书面形式通知监理人并随此通知提交下列文件：</w:t>
            </w:r>
          </w:p>
          <w:p>
            <w:pPr>
              <w:numPr>
                <w:ilvl w:val="0"/>
                <w:numId w:val="27"/>
              </w:numPr>
              <w:spacing w:after="156" w:afterLines="50" w:line="300" w:lineRule="auto"/>
              <w:rPr>
                <w:rFonts w:cs="Arial"/>
                <w:szCs w:val="21"/>
                <w:highlight w:val="none"/>
              </w:rPr>
            </w:pPr>
            <w:r>
              <w:rPr>
                <w:rFonts w:cs="Arial"/>
                <w:szCs w:val="21"/>
                <w:highlight w:val="none"/>
              </w:rPr>
              <w:t>拟被替代的合同约定的材料和工程设备的名称、数量、规格、型号、品牌、性能、价格及其他任何详细资料；</w:t>
            </w:r>
          </w:p>
          <w:p>
            <w:pPr>
              <w:numPr>
                <w:ilvl w:val="0"/>
                <w:numId w:val="27"/>
              </w:numPr>
              <w:spacing w:after="156" w:afterLines="50" w:line="300" w:lineRule="auto"/>
              <w:rPr>
                <w:rFonts w:cs="Arial"/>
                <w:szCs w:val="21"/>
                <w:highlight w:val="none"/>
              </w:rPr>
            </w:pPr>
            <w:r>
              <w:rPr>
                <w:rFonts w:cs="Arial"/>
                <w:szCs w:val="21"/>
                <w:highlight w:val="none"/>
              </w:rPr>
              <w:t>拟采用的替代品的名称、数量、规格、型号、品牌、性能、价格及其他任何必要的详细资料；</w:t>
            </w:r>
          </w:p>
          <w:p>
            <w:pPr>
              <w:numPr>
                <w:ilvl w:val="0"/>
                <w:numId w:val="27"/>
              </w:numPr>
              <w:spacing w:after="156" w:afterLines="50" w:line="300" w:lineRule="auto"/>
              <w:rPr>
                <w:rFonts w:cs="Arial"/>
                <w:szCs w:val="21"/>
                <w:highlight w:val="none"/>
              </w:rPr>
            </w:pPr>
            <w:r>
              <w:rPr>
                <w:rFonts w:cs="Arial"/>
                <w:szCs w:val="21"/>
                <w:highlight w:val="none"/>
              </w:rPr>
              <w:t>替代品使用的工程部位；</w:t>
            </w:r>
          </w:p>
          <w:p>
            <w:pPr>
              <w:numPr>
                <w:ilvl w:val="0"/>
                <w:numId w:val="27"/>
              </w:numPr>
              <w:spacing w:after="156" w:afterLines="50" w:line="300" w:lineRule="auto"/>
              <w:rPr>
                <w:rFonts w:cs="Arial"/>
                <w:szCs w:val="21"/>
                <w:highlight w:val="none"/>
              </w:rPr>
            </w:pPr>
            <w:r>
              <w:rPr>
                <w:rFonts w:cs="Arial"/>
                <w:szCs w:val="21"/>
                <w:highlight w:val="none"/>
              </w:rPr>
              <w:t>采用替代品的理由和原因</w:t>
            </w:r>
            <w:r>
              <w:rPr>
                <w:rFonts w:hint="eastAsia" w:cs="Arial"/>
                <w:szCs w:val="21"/>
                <w:highlight w:val="none"/>
              </w:rPr>
              <w:t>说明</w:t>
            </w:r>
            <w:r>
              <w:rPr>
                <w:rFonts w:cs="Arial"/>
                <w:szCs w:val="21"/>
                <w:highlight w:val="none"/>
              </w:rPr>
              <w:t>；</w:t>
            </w:r>
          </w:p>
          <w:p>
            <w:pPr>
              <w:numPr>
                <w:ilvl w:val="0"/>
                <w:numId w:val="27"/>
              </w:numPr>
              <w:spacing w:after="156" w:afterLines="50" w:line="300" w:lineRule="auto"/>
              <w:rPr>
                <w:rFonts w:cs="Arial"/>
                <w:szCs w:val="21"/>
                <w:highlight w:val="none"/>
              </w:rPr>
            </w:pPr>
            <w:r>
              <w:rPr>
                <w:rFonts w:cs="Arial"/>
                <w:szCs w:val="21"/>
                <w:highlight w:val="none"/>
              </w:rPr>
              <w:t>替代品与合同中约定的产品之间的差异以及使用替代品后可能对工程产生的任何影响；</w:t>
            </w:r>
          </w:p>
          <w:p>
            <w:pPr>
              <w:numPr>
                <w:ilvl w:val="0"/>
                <w:numId w:val="27"/>
              </w:numPr>
              <w:spacing w:after="156" w:afterLines="50" w:line="300" w:lineRule="auto"/>
              <w:rPr>
                <w:rFonts w:cs="Arial"/>
                <w:szCs w:val="21"/>
                <w:highlight w:val="none"/>
              </w:rPr>
            </w:pPr>
            <w:r>
              <w:rPr>
                <w:rFonts w:cs="Arial"/>
                <w:szCs w:val="21"/>
                <w:highlight w:val="none"/>
              </w:rPr>
              <w:t>价格上</w:t>
            </w:r>
            <w:r>
              <w:rPr>
                <w:rFonts w:hint="eastAsia" w:cs="Arial"/>
                <w:szCs w:val="21"/>
                <w:highlight w:val="none"/>
              </w:rPr>
              <w:t>的</w:t>
            </w:r>
            <w:r>
              <w:rPr>
                <w:rFonts w:cs="Arial"/>
                <w:szCs w:val="21"/>
                <w:highlight w:val="none"/>
              </w:rPr>
              <w:t>差异；</w:t>
            </w:r>
          </w:p>
          <w:p>
            <w:pPr>
              <w:numPr>
                <w:ilvl w:val="0"/>
                <w:numId w:val="27"/>
              </w:numPr>
              <w:spacing w:after="156" w:afterLines="50" w:line="300" w:lineRule="auto"/>
              <w:rPr>
                <w:rFonts w:cs="Arial"/>
                <w:szCs w:val="21"/>
                <w:highlight w:val="none"/>
              </w:rPr>
            </w:pPr>
            <w:r>
              <w:rPr>
                <w:rFonts w:cs="Arial"/>
                <w:szCs w:val="21"/>
                <w:highlight w:val="none"/>
              </w:rPr>
              <w:t>监理人为做出适当的决定而随时要求承包人提供的任何其他文件。</w:t>
            </w:r>
          </w:p>
          <w:p>
            <w:pPr>
              <w:spacing w:after="156" w:afterLines="50" w:line="300" w:lineRule="auto"/>
              <w:ind w:firstLine="420" w:firstLineChars="200"/>
              <w:rPr>
                <w:rFonts w:cs="Arial"/>
                <w:szCs w:val="21"/>
                <w:highlight w:val="none"/>
              </w:rPr>
            </w:pPr>
            <w:r>
              <w:rPr>
                <w:rFonts w:cs="Arial"/>
                <w:szCs w:val="21"/>
                <w:highlight w:val="none"/>
              </w:rPr>
              <w:t>监理人在收到此类通知及上述文件后，应在28天内向承包人给出书面指示。如果28天内监理人未给出书面指示，应视为监理人和发包人已经批准使用上述替代品，承包人可以据此使用替代品。</w:t>
            </w:r>
          </w:p>
        </w:tc>
      </w:tr>
      <w:tr>
        <w:tblPrEx>
          <w:tblCellMar>
            <w:top w:w="0" w:type="dxa"/>
            <w:left w:w="108" w:type="dxa"/>
            <w:bottom w:w="0" w:type="dxa"/>
            <w:right w:w="108" w:type="dxa"/>
          </w:tblCellMar>
        </w:tblPrEx>
        <w:trPr>
          <w:trHeight w:val="269" w:hRule="atLeast"/>
        </w:trPr>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2</w:t>
            </w:r>
            <w:r>
              <w:rPr>
                <w:rFonts w:cs="Arial"/>
                <w:szCs w:val="21"/>
                <w:highlight w:val="none"/>
              </w:rPr>
              <w:t>.</w:t>
            </w:r>
            <w:r>
              <w:rPr>
                <w:rFonts w:hint="eastAsia" w:cs="Arial"/>
                <w:szCs w:val="21"/>
                <w:highlight w:val="none"/>
              </w:rPr>
              <w:t>3</w:t>
            </w:r>
          </w:p>
        </w:tc>
        <w:tc>
          <w:tcPr>
            <w:tcW w:w="7364" w:type="dxa"/>
          </w:tcPr>
          <w:p>
            <w:pPr>
              <w:spacing w:after="156" w:afterLines="50" w:line="300" w:lineRule="auto"/>
              <w:rPr>
                <w:rFonts w:cs="Arial"/>
                <w:szCs w:val="21"/>
                <w:highlight w:val="none"/>
              </w:rPr>
            </w:pPr>
            <w:r>
              <w:rPr>
                <w:rFonts w:cs="Arial"/>
                <w:szCs w:val="21"/>
                <w:highlight w:val="none"/>
              </w:rPr>
              <w:t>任何情况下，替代品都应遵守本合同中对</w:t>
            </w:r>
            <w:r>
              <w:rPr>
                <w:rFonts w:hint="eastAsia" w:cs="Arial"/>
                <w:szCs w:val="21"/>
                <w:highlight w:val="none"/>
              </w:rPr>
              <w:t>相关</w:t>
            </w:r>
            <w:r>
              <w:rPr>
                <w:rFonts w:cs="Arial"/>
                <w:szCs w:val="21"/>
                <w:highlight w:val="none"/>
              </w:rPr>
              <w:t>材料和工程设备的</w:t>
            </w:r>
            <w:r>
              <w:rPr>
                <w:rFonts w:hint="eastAsia" w:cs="Arial"/>
                <w:szCs w:val="21"/>
                <w:highlight w:val="none"/>
              </w:rPr>
              <w:t>要求</w:t>
            </w:r>
            <w:r>
              <w:rPr>
                <w:rFonts w:cs="Arial"/>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9</w:t>
            </w:r>
            <w:r>
              <w:rPr>
                <w:rFonts w:cs="Arial"/>
                <w:szCs w:val="21"/>
                <w:highlight w:val="none"/>
              </w:rPr>
              <w:t>.</w:t>
            </w:r>
            <w:r>
              <w:rPr>
                <w:rFonts w:hint="eastAsia" w:cs="Arial"/>
                <w:szCs w:val="21"/>
                <w:highlight w:val="none"/>
              </w:rPr>
              <w:t>2</w:t>
            </w:r>
            <w:r>
              <w:rPr>
                <w:rFonts w:cs="Arial"/>
                <w:szCs w:val="21"/>
                <w:highlight w:val="none"/>
              </w:rPr>
              <w:t>.</w:t>
            </w:r>
            <w:r>
              <w:rPr>
                <w:rFonts w:hint="eastAsia" w:cs="Arial"/>
                <w:szCs w:val="21"/>
                <w:highlight w:val="none"/>
              </w:rPr>
              <w:t>4</w:t>
            </w:r>
          </w:p>
        </w:tc>
        <w:tc>
          <w:tcPr>
            <w:tcW w:w="7364" w:type="dxa"/>
          </w:tcPr>
          <w:p>
            <w:pPr>
              <w:spacing w:after="156" w:afterLines="50" w:line="300" w:lineRule="auto"/>
              <w:rPr>
                <w:rFonts w:cs="Arial"/>
                <w:szCs w:val="21"/>
                <w:highlight w:val="none"/>
              </w:rPr>
            </w:pPr>
            <w:r>
              <w:rPr>
                <w:rFonts w:cs="Arial"/>
                <w:szCs w:val="21"/>
                <w:highlight w:val="none"/>
              </w:rPr>
              <w:t>如果承包人根据</w:t>
            </w:r>
            <w:r>
              <w:rPr>
                <w:rFonts w:hint="eastAsia" w:cs="Arial"/>
                <w:szCs w:val="21"/>
                <w:highlight w:val="none"/>
              </w:rPr>
              <w:t>本条约定</w:t>
            </w:r>
            <w:r>
              <w:rPr>
                <w:rFonts w:cs="Arial"/>
                <w:szCs w:val="21"/>
                <w:highlight w:val="none"/>
              </w:rPr>
              <w:t>使用了替代品，</w:t>
            </w:r>
            <w:r>
              <w:rPr>
                <w:rFonts w:hint="eastAsia" w:cs="Arial"/>
                <w:szCs w:val="21"/>
                <w:highlight w:val="none"/>
              </w:rPr>
              <w:t>监理人应与承包人适当协商之后并</w:t>
            </w:r>
            <w:r>
              <w:rPr>
                <w:rFonts w:cs="Arial"/>
                <w:szCs w:val="21"/>
                <w:highlight w:val="none"/>
              </w:rPr>
              <w:t>在合理的期限内确定替代材料和工程设备与合同中约定的材料和工程设备之间的价值差值，并决定：</w:t>
            </w:r>
          </w:p>
          <w:p>
            <w:pPr>
              <w:numPr>
                <w:ilvl w:val="0"/>
                <w:numId w:val="28"/>
              </w:numPr>
              <w:spacing w:after="156" w:afterLines="50" w:line="300" w:lineRule="auto"/>
              <w:rPr>
                <w:rFonts w:cs="Arial"/>
                <w:szCs w:val="21"/>
                <w:highlight w:val="none"/>
              </w:rPr>
            </w:pPr>
            <w:r>
              <w:rPr>
                <w:rFonts w:cs="Arial"/>
                <w:szCs w:val="21"/>
                <w:highlight w:val="none"/>
              </w:rPr>
              <w:t>如果替代材料和工程设备的价值高于合同中约定的材料和工程设备的价值，则将高出部分的价值追加到合同价格中并相应地通知承包人；</w:t>
            </w:r>
          </w:p>
          <w:p>
            <w:pPr>
              <w:numPr>
                <w:ilvl w:val="0"/>
                <w:numId w:val="28"/>
              </w:numPr>
              <w:spacing w:after="156" w:afterLines="50" w:line="300" w:lineRule="auto"/>
              <w:rPr>
                <w:rFonts w:cs="Arial"/>
                <w:szCs w:val="21"/>
                <w:highlight w:val="none"/>
              </w:rPr>
            </w:pPr>
            <w:r>
              <w:rPr>
                <w:rFonts w:hint="eastAsia" w:cs="Arial"/>
                <w:szCs w:val="21"/>
                <w:highlight w:val="none"/>
              </w:rPr>
              <w:t>（2）</w:t>
            </w:r>
            <w:r>
              <w:rPr>
                <w:rFonts w:cs="Arial"/>
                <w:szCs w:val="21"/>
                <w:highlight w:val="none"/>
              </w:rPr>
              <w:t>如果替代材料和工程设备的价值低于合同中约定的材料和工程设备的价值，则将节余部分的价值从合同价格中扣除并相应地通知承包人。</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41" w:name="_Toc25781"/>
            <w:bookmarkStart w:id="2442" w:name="_Toc241459799"/>
            <w:bookmarkStart w:id="2443" w:name="_Toc434331543"/>
            <w:bookmarkStart w:id="2444" w:name="_Toc342296556"/>
            <w:r>
              <w:rPr>
                <w:rFonts w:hint="eastAsia" w:ascii="宋体" w:hAnsi="宋体" w:cs="Arial"/>
                <w:sz w:val="21"/>
                <w:szCs w:val="21"/>
                <w:highlight w:val="none"/>
              </w:rPr>
              <w:t>10. 进口材料和工程设备</w:t>
            </w:r>
            <w:bookmarkEnd w:id="2441"/>
            <w:bookmarkEnd w:id="2442"/>
            <w:bookmarkEnd w:id="2443"/>
            <w:bookmarkEnd w:id="2444"/>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10</w:t>
            </w:r>
            <w:r>
              <w:rPr>
                <w:rFonts w:cs="Arial"/>
                <w:szCs w:val="21"/>
                <w:highlight w:val="none"/>
              </w:rPr>
              <w:t>.</w:t>
            </w:r>
            <w:r>
              <w:rPr>
                <w:rFonts w:hint="eastAsia" w:cs="Arial"/>
                <w:szCs w:val="21"/>
                <w:highlight w:val="none"/>
              </w:rPr>
              <w:t>1</w:t>
            </w:r>
          </w:p>
        </w:tc>
        <w:tc>
          <w:tcPr>
            <w:tcW w:w="7364" w:type="dxa"/>
          </w:tcPr>
          <w:p>
            <w:pPr>
              <w:spacing w:after="156" w:afterLines="50" w:line="300" w:lineRule="auto"/>
              <w:rPr>
                <w:rFonts w:cs="Arial"/>
                <w:szCs w:val="21"/>
                <w:highlight w:val="none"/>
              </w:rPr>
            </w:pPr>
            <w:r>
              <w:rPr>
                <w:rFonts w:hint="eastAsia" w:cs="Arial"/>
                <w:szCs w:val="21"/>
                <w:highlight w:val="none"/>
              </w:rPr>
              <w:t>本工程需要进口的材料和工程设备如下：</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10</w:t>
            </w:r>
            <w:r>
              <w:rPr>
                <w:rFonts w:cs="Arial"/>
                <w:szCs w:val="21"/>
                <w:highlight w:val="none"/>
              </w:rPr>
              <w:t>.</w:t>
            </w:r>
            <w:r>
              <w:rPr>
                <w:rFonts w:hint="eastAsia" w:cs="Arial"/>
                <w:szCs w:val="21"/>
                <w:highlight w:val="none"/>
              </w:rPr>
              <w:t>2</w:t>
            </w:r>
          </w:p>
        </w:tc>
        <w:tc>
          <w:tcPr>
            <w:tcW w:w="7364" w:type="dxa"/>
          </w:tcPr>
          <w:p>
            <w:pPr>
              <w:spacing w:after="156" w:afterLines="50" w:line="300" w:lineRule="auto"/>
              <w:rPr>
                <w:rFonts w:cs="Arial"/>
                <w:szCs w:val="21"/>
                <w:highlight w:val="none"/>
              </w:rPr>
            </w:pPr>
            <w:r>
              <w:rPr>
                <w:rFonts w:hint="eastAsia" w:cs="Arial"/>
                <w:szCs w:val="21"/>
                <w:highlight w:val="none"/>
              </w:rPr>
              <w:t>上述进口材料和工程设备</w:t>
            </w:r>
            <w:r>
              <w:rPr>
                <w:rFonts w:cs="Arial"/>
                <w:szCs w:val="21"/>
                <w:highlight w:val="none"/>
              </w:rPr>
              <w:t>采购、进口、报关</w:t>
            </w:r>
            <w:r>
              <w:rPr>
                <w:rFonts w:hint="eastAsia" w:cs="Arial"/>
                <w:szCs w:val="21"/>
                <w:highlight w:val="none"/>
              </w:rPr>
              <w:t>、</w:t>
            </w:r>
            <w:r>
              <w:rPr>
                <w:rFonts w:cs="Arial"/>
                <w:szCs w:val="21"/>
                <w:highlight w:val="none"/>
              </w:rPr>
              <w:t>清关</w:t>
            </w:r>
            <w:r>
              <w:rPr>
                <w:rFonts w:hint="eastAsia" w:cs="Arial"/>
                <w:szCs w:val="21"/>
                <w:highlight w:val="none"/>
              </w:rPr>
              <w:t>、商检、境内运输（包括保险）、保管</w:t>
            </w:r>
            <w:r>
              <w:rPr>
                <w:rFonts w:cs="Arial"/>
                <w:szCs w:val="21"/>
                <w:highlight w:val="none"/>
              </w:rPr>
              <w:t>的责任</w:t>
            </w:r>
            <w:r>
              <w:rPr>
                <w:rFonts w:hint="eastAsia" w:cs="Arial"/>
                <w:szCs w:val="21"/>
                <w:highlight w:val="none"/>
              </w:rPr>
              <w:t>以及费用承担方式</w:t>
            </w:r>
            <w:r>
              <w:rPr>
                <w:rFonts w:cs="Arial"/>
                <w:szCs w:val="21"/>
                <w:highlight w:val="none"/>
              </w:rPr>
              <w:t>划分</w:t>
            </w:r>
            <w:r>
              <w:rPr>
                <w:rFonts w:hint="eastAsia" w:cs="Arial"/>
                <w:szCs w:val="21"/>
                <w:highlight w:val="none"/>
              </w:rPr>
              <w:t>如下：</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45" w:name="_Toc1072"/>
            <w:bookmarkStart w:id="2446" w:name="_Toc434331544"/>
            <w:bookmarkStart w:id="2447" w:name="_Toc241459800"/>
            <w:bookmarkStart w:id="2448" w:name="_Toc342296557"/>
            <w:r>
              <w:rPr>
                <w:rFonts w:hint="eastAsia" w:ascii="宋体" w:hAnsi="宋体" w:cs="Arial"/>
                <w:sz w:val="21"/>
                <w:szCs w:val="21"/>
                <w:highlight w:val="none"/>
              </w:rPr>
              <w:t>11. 进度报告和进度例会</w:t>
            </w:r>
            <w:bookmarkEnd w:id="2445"/>
            <w:bookmarkEnd w:id="2446"/>
            <w:bookmarkEnd w:id="2447"/>
            <w:bookmarkEnd w:id="2448"/>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49" w:name="_Toc263259821"/>
            <w:r>
              <w:rPr>
                <w:rFonts w:hint="eastAsia" w:cs="Arial"/>
                <w:b/>
                <w:bCs/>
                <w:szCs w:val="21"/>
                <w:highlight w:val="none"/>
              </w:rPr>
              <w:t>11</w:t>
            </w:r>
            <w:r>
              <w:rPr>
                <w:rFonts w:cs="Arial"/>
                <w:b/>
                <w:bCs/>
                <w:szCs w:val="21"/>
                <w:highlight w:val="none"/>
              </w:rPr>
              <w:t>.1</w:t>
            </w:r>
            <w:bookmarkEnd w:id="2449"/>
          </w:p>
        </w:tc>
        <w:tc>
          <w:tcPr>
            <w:tcW w:w="7364" w:type="dxa"/>
          </w:tcPr>
          <w:p>
            <w:pPr>
              <w:pStyle w:val="29"/>
              <w:spacing w:after="156" w:afterLines="50" w:line="300" w:lineRule="auto"/>
              <w:outlineLvl w:val="3"/>
              <w:rPr>
                <w:rFonts w:hAnsi="宋体" w:cs="Arial"/>
                <w:b/>
                <w:bCs/>
                <w:sz w:val="21"/>
                <w:szCs w:val="21"/>
                <w:highlight w:val="none"/>
              </w:rPr>
            </w:pPr>
            <w:bookmarkStart w:id="2450" w:name="_Toc263259822"/>
            <w:r>
              <w:rPr>
                <w:rFonts w:hint="eastAsia" w:hAnsi="宋体" w:cs="Arial"/>
                <w:b/>
                <w:bCs/>
                <w:sz w:val="21"/>
                <w:szCs w:val="21"/>
                <w:highlight w:val="none"/>
              </w:rPr>
              <w:t>进度报告</w:t>
            </w:r>
            <w:bookmarkEnd w:id="2450"/>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11</w:t>
            </w:r>
            <w:r>
              <w:rPr>
                <w:rFonts w:hAnsi="宋体" w:cs="Arial"/>
                <w:sz w:val="21"/>
                <w:szCs w:val="21"/>
                <w:highlight w:val="none"/>
              </w:rPr>
              <w:t>.1</w:t>
            </w:r>
            <w:r>
              <w:rPr>
                <w:rFonts w:hint="eastAsia" w:hAnsi="宋体" w:cs="Arial"/>
                <w:sz w:val="21"/>
                <w:szCs w:val="21"/>
                <w:highlight w:val="none"/>
              </w:rPr>
              <w:t>.1</w:t>
            </w:r>
          </w:p>
        </w:tc>
        <w:tc>
          <w:tcPr>
            <w:tcW w:w="7364" w:type="dxa"/>
          </w:tcPr>
          <w:p>
            <w:pPr>
              <w:spacing w:after="156" w:afterLines="50" w:line="300" w:lineRule="auto"/>
              <w:rPr>
                <w:rFonts w:cs="Arial"/>
                <w:szCs w:val="21"/>
                <w:highlight w:val="none"/>
              </w:rPr>
            </w:pPr>
            <w:r>
              <w:rPr>
                <w:rFonts w:hint="eastAsia" w:cs="Arial"/>
                <w:szCs w:val="21"/>
                <w:highlight w:val="none"/>
              </w:rPr>
              <w:t>施工过程中，</w:t>
            </w:r>
            <w:r>
              <w:rPr>
                <w:rFonts w:cs="Arial"/>
                <w:szCs w:val="21"/>
                <w:highlight w:val="none"/>
              </w:rPr>
              <w:t>承包人应向监理人指定的代表呈递一份每日的日进度报表</w:t>
            </w:r>
            <w:r>
              <w:rPr>
                <w:rFonts w:hint="eastAsia" w:cs="Arial"/>
                <w:szCs w:val="21"/>
                <w:highlight w:val="none"/>
              </w:rPr>
              <w:t>、</w:t>
            </w:r>
            <w:r>
              <w:rPr>
                <w:rFonts w:cs="Arial"/>
                <w:szCs w:val="21"/>
                <w:highlight w:val="none"/>
              </w:rPr>
              <w:t>每周的周进度报表</w:t>
            </w:r>
            <w:r>
              <w:rPr>
                <w:rFonts w:hint="eastAsia" w:cs="Arial"/>
                <w:szCs w:val="21"/>
                <w:highlight w:val="none"/>
              </w:rPr>
              <w:t>和每月的月进度报表。</w:t>
            </w:r>
            <w:r>
              <w:rPr>
                <w:rFonts w:cs="Arial"/>
                <w:szCs w:val="21"/>
                <w:highlight w:val="none"/>
              </w:rPr>
              <w:t>除非监理人同意，日进度报表应在次日上午九点前递交，周进度报表应在次周的周一上午九时前递交</w:t>
            </w:r>
            <w:r>
              <w:rPr>
                <w:rFonts w:hint="eastAsia" w:cs="Arial"/>
                <w:szCs w:val="21"/>
                <w:highlight w:val="none"/>
              </w:rPr>
              <w:t>，月进度报表应随合同条款第17.3.2项约定的进度付款申请单一并递交</w:t>
            </w:r>
            <w:r>
              <w:rPr>
                <w:rFonts w:cs="Arial"/>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1.</w:t>
            </w:r>
            <w:r>
              <w:rPr>
                <w:rFonts w:cs="Arial"/>
                <w:szCs w:val="21"/>
                <w:highlight w:val="none"/>
              </w:rPr>
              <w:t>2</w:t>
            </w:r>
          </w:p>
        </w:tc>
        <w:tc>
          <w:tcPr>
            <w:tcW w:w="7364" w:type="dxa"/>
          </w:tcPr>
          <w:p>
            <w:pPr>
              <w:spacing w:after="156" w:afterLines="50" w:line="300" w:lineRule="auto"/>
              <w:rPr>
                <w:rFonts w:cs="Arial"/>
                <w:szCs w:val="21"/>
                <w:highlight w:val="none"/>
              </w:rPr>
            </w:pPr>
            <w:r>
              <w:rPr>
                <w:rFonts w:cs="Arial"/>
                <w:szCs w:val="21"/>
                <w:highlight w:val="none"/>
              </w:rPr>
              <w:t>日</w:t>
            </w:r>
            <w:r>
              <w:rPr>
                <w:rFonts w:hint="eastAsia" w:cs="Arial"/>
                <w:szCs w:val="21"/>
                <w:highlight w:val="none"/>
              </w:rPr>
              <w:t>和</w:t>
            </w:r>
            <w:r>
              <w:rPr>
                <w:rFonts w:cs="Arial"/>
                <w:szCs w:val="21"/>
                <w:highlight w:val="none"/>
              </w:rPr>
              <w:t>周进度报表的内容应至少包括每日在现场工作的技术管理人员数量、各工种技术工人和非技术工人数量、后勤人员数量、参观现场的人员数量，包括分包人人员数量；还应包括所使用的各种主要机械设备和车辆的型号、数量和台班，工作的区段，</w:t>
            </w:r>
            <w:r>
              <w:rPr>
                <w:rFonts w:hint="eastAsia" w:cs="Arial"/>
                <w:szCs w:val="21"/>
                <w:highlight w:val="none"/>
              </w:rPr>
              <w:t>以及</w:t>
            </w:r>
            <w:r>
              <w:rPr>
                <w:rFonts w:cs="Arial"/>
                <w:szCs w:val="21"/>
                <w:highlight w:val="none"/>
              </w:rPr>
              <w:t>工程进度情况、天气情况记录、停工、</w:t>
            </w:r>
            <w:r>
              <w:rPr>
                <w:rFonts w:hint="eastAsia" w:cs="Arial"/>
                <w:szCs w:val="21"/>
                <w:highlight w:val="none"/>
              </w:rPr>
              <w:t>质量和安全</w:t>
            </w:r>
            <w:r>
              <w:rPr>
                <w:rFonts w:cs="Arial"/>
                <w:szCs w:val="21"/>
                <w:highlight w:val="none"/>
              </w:rPr>
              <w:t>事故等特别事项说明；此外，应附上每日进场材料、物品或设备的分类汇总表、用于次日</w:t>
            </w:r>
            <w:r>
              <w:rPr>
                <w:rFonts w:hint="eastAsia" w:cs="Arial"/>
                <w:szCs w:val="21"/>
                <w:highlight w:val="none"/>
              </w:rPr>
              <w:t>或</w:t>
            </w:r>
            <w:r>
              <w:rPr>
                <w:rFonts w:cs="Arial"/>
                <w:szCs w:val="21"/>
                <w:highlight w:val="none"/>
              </w:rPr>
              <w:t>次周的工程进度计划等。</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1.</w:t>
            </w:r>
            <w:r>
              <w:rPr>
                <w:rFonts w:cs="Arial"/>
                <w:szCs w:val="21"/>
                <w:highlight w:val="none"/>
              </w:rPr>
              <w:t>3</w:t>
            </w:r>
          </w:p>
        </w:tc>
        <w:tc>
          <w:tcPr>
            <w:tcW w:w="7364" w:type="dxa"/>
          </w:tcPr>
          <w:p>
            <w:pPr>
              <w:spacing w:after="156" w:afterLines="50" w:line="300" w:lineRule="auto"/>
              <w:rPr>
                <w:rFonts w:cs="Arial"/>
                <w:szCs w:val="21"/>
                <w:highlight w:val="none"/>
              </w:rPr>
            </w:pPr>
            <w:r>
              <w:rPr>
                <w:rFonts w:hint="eastAsia" w:cs="Arial"/>
                <w:szCs w:val="21"/>
                <w:highlight w:val="none"/>
              </w:rPr>
              <w:t>月进度报表应当反映月完成工程量和累计完成工程量（包括永久工程和临时工程）、材料实际进货、消耗和库存量、现场施工设备的投运数量和运行状况、工程设备的到货情况、劳动力数量（本月及预计未来三个月劳动力的数量）、当前影响施工进度计划的因素和采取的改进措施、进度计划调整及其说明、质量事故和质量缺陷处理纪录、质量状况评价、安全施工措施计划实施情况、安全事故以及人员伤亡和财产损失情况（如果有）、环境保护措施实施和文明施工措施实施情况。</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11.1.4</w:t>
            </w:r>
          </w:p>
        </w:tc>
        <w:tc>
          <w:tcPr>
            <w:tcW w:w="7364" w:type="dxa"/>
          </w:tcPr>
          <w:p>
            <w:pPr>
              <w:spacing w:after="156" w:afterLines="50" w:line="300" w:lineRule="auto"/>
              <w:rPr>
                <w:rFonts w:cs="Arial"/>
                <w:szCs w:val="21"/>
                <w:highlight w:val="none"/>
              </w:rPr>
            </w:pPr>
            <w:r>
              <w:rPr>
                <w:rFonts w:hint="eastAsia" w:cs="Arial"/>
                <w:szCs w:val="21"/>
                <w:highlight w:val="none"/>
              </w:rPr>
              <w:t>月进度报告还应附有一组充分显示工程形象进度的定点摄影照片。照片应当</w:t>
            </w:r>
            <w:r>
              <w:rPr>
                <w:rFonts w:cs="Arial"/>
                <w:szCs w:val="21"/>
                <w:highlight w:val="none"/>
              </w:rPr>
              <w:t>在经监理人批准的不同位置定期拍摄，每张照片都应标上相应的拍摄日期和简要文字说明</w:t>
            </w:r>
            <w:r>
              <w:rPr>
                <w:rFonts w:hint="eastAsia" w:cs="Arial"/>
                <w:szCs w:val="21"/>
                <w:highlight w:val="none"/>
              </w:rPr>
              <w:t>，</w:t>
            </w:r>
            <w:r>
              <w:rPr>
                <w:rFonts w:cs="Arial"/>
                <w:szCs w:val="21"/>
                <w:highlight w:val="none"/>
              </w:rPr>
              <w:t>且应用经发包人和监理人批准的标准或格式装裱后呈交。</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1.</w:t>
            </w:r>
            <w:r>
              <w:rPr>
                <w:rFonts w:cs="Arial"/>
                <w:szCs w:val="21"/>
                <w:highlight w:val="none"/>
              </w:rPr>
              <w:t>5</w:t>
            </w:r>
          </w:p>
        </w:tc>
        <w:tc>
          <w:tcPr>
            <w:tcW w:w="7364" w:type="dxa"/>
          </w:tcPr>
          <w:p>
            <w:pPr>
              <w:spacing w:after="156" w:afterLines="50" w:line="300" w:lineRule="auto"/>
              <w:rPr>
                <w:rFonts w:cs="Arial"/>
                <w:szCs w:val="21"/>
                <w:highlight w:val="none"/>
              </w:rPr>
            </w:pPr>
            <w:r>
              <w:rPr>
                <w:rFonts w:hint="eastAsia" w:cs="Arial"/>
                <w:szCs w:val="21"/>
                <w:highlight w:val="none"/>
              </w:rPr>
              <w:t>各个</w:t>
            </w:r>
            <w:r>
              <w:rPr>
                <w:rFonts w:cs="Arial"/>
                <w:szCs w:val="21"/>
                <w:highlight w:val="none"/>
              </w:rPr>
              <w:t>进度报表的格式和内容应经过监理人的审批。进度报表应如实填写，由承包人授权代表签名，并报监理人的指定代表签名确认后再行分发。</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1.</w:t>
            </w:r>
            <w:r>
              <w:rPr>
                <w:rFonts w:cs="Arial"/>
                <w:szCs w:val="21"/>
                <w:highlight w:val="none"/>
              </w:rPr>
              <w:t>6</w:t>
            </w:r>
          </w:p>
        </w:tc>
        <w:tc>
          <w:tcPr>
            <w:tcW w:w="7364" w:type="dxa"/>
          </w:tcPr>
          <w:p>
            <w:pPr>
              <w:spacing w:after="156" w:afterLines="50" w:line="300" w:lineRule="auto"/>
              <w:rPr>
                <w:rFonts w:cs="Arial"/>
                <w:szCs w:val="21"/>
                <w:highlight w:val="none"/>
              </w:rPr>
            </w:pPr>
            <w:r>
              <w:rPr>
                <w:rFonts w:hint="eastAsia" w:cs="Arial"/>
                <w:szCs w:val="21"/>
                <w:highlight w:val="none"/>
              </w:rPr>
              <w:t>如果监理人认为必要，</w:t>
            </w:r>
            <w:r>
              <w:rPr>
                <w:rFonts w:cs="Arial"/>
                <w:szCs w:val="21"/>
                <w:highlight w:val="none"/>
              </w:rPr>
              <w:t>进度报告和进度照片应同时以存储在磁盘或光盘中的数据文件的形式递交给发包人和监理人。数据文件采用的应用软件及其版本应经过监理人的审批。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1.</w:t>
            </w:r>
            <w:r>
              <w:rPr>
                <w:rFonts w:cs="Arial"/>
                <w:szCs w:val="21"/>
                <w:highlight w:val="none"/>
              </w:rPr>
              <w:t>7</w:t>
            </w:r>
          </w:p>
        </w:tc>
        <w:tc>
          <w:tcPr>
            <w:tcW w:w="7364" w:type="dxa"/>
          </w:tcPr>
          <w:p>
            <w:pPr>
              <w:pStyle w:val="199"/>
              <w:keepNext w:val="0"/>
              <w:keepLines w:val="0"/>
              <w:spacing w:after="156" w:afterLines="50" w:line="300" w:lineRule="auto"/>
              <w:rPr>
                <w:rFonts w:ascii="宋体" w:hAnsi="宋体" w:cs="Arial"/>
                <w:szCs w:val="21"/>
                <w:highlight w:val="none"/>
              </w:rPr>
            </w:pPr>
            <w:bookmarkStart w:id="2451" w:name="_Toc32522"/>
            <w:r>
              <w:rPr>
                <w:rFonts w:hint="eastAsia" w:ascii="宋体" w:hAnsi="宋体" w:eastAsia="宋体" w:cs="Arial"/>
                <w:sz w:val="21"/>
                <w:szCs w:val="21"/>
                <w:highlight w:val="none"/>
              </w:rPr>
              <w:t>有关进度报告的其他要求：</w:t>
            </w:r>
            <w:r>
              <w:rPr>
                <w:rFonts w:hint="eastAsia" w:ascii="宋体" w:hAnsi="宋体"/>
                <w:szCs w:val="21"/>
                <w:highlight w:val="none"/>
                <w:u w:val="single"/>
              </w:rPr>
              <w:t xml:space="preserve"> /</w:t>
            </w:r>
            <w:bookmarkEnd w:id="2451"/>
            <w:r>
              <w:rPr>
                <w:rFonts w:hint="eastAsia" w:ascii="宋体" w:hAnsi="宋体"/>
                <w:szCs w:val="21"/>
                <w:highlight w:val="none"/>
                <w:u w:val="single"/>
              </w:rPr>
              <w:t xml:space="preserve">   </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52" w:name="_Toc263259823"/>
            <w:r>
              <w:rPr>
                <w:rFonts w:cs="Arial"/>
                <w:b/>
                <w:bCs/>
                <w:szCs w:val="21"/>
                <w:highlight w:val="none"/>
              </w:rPr>
              <w:t>1</w:t>
            </w:r>
            <w:r>
              <w:rPr>
                <w:rFonts w:hint="eastAsia" w:cs="Arial"/>
                <w:b/>
                <w:bCs/>
                <w:szCs w:val="21"/>
                <w:highlight w:val="none"/>
              </w:rPr>
              <w:t>1</w:t>
            </w:r>
            <w:r>
              <w:rPr>
                <w:rFonts w:cs="Arial"/>
                <w:b/>
                <w:bCs/>
                <w:szCs w:val="21"/>
                <w:highlight w:val="none"/>
              </w:rPr>
              <w:t>.</w:t>
            </w:r>
            <w:r>
              <w:rPr>
                <w:rFonts w:hint="eastAsia" w:cs="Arial"/>
                <w:b/>
                <w:bCs/>
                <w:szCs w:val="21"/>
                <w:highlight w:val="none"/>
              </w:rPr>
              <w:t>2</w:t>
            </w:r>
            <w:bookmarkEnd w:id="2452"/>
          </w:p>
        </w:tc>
        <w:tc>
          <w:tcPr>
            <w:tcW w:w="7364" w:type="dxa"/>
          </w:tcPr>
          <w:p>
            <w:pPr>
              <w:spacing w:after="156" w:afterLines="50" w:line="300" w:lineRule="auto"/>
              <w:outlineLvl w:val="3"/>
              <w:rPr>
                <w:rFonts w:cs="Arial"/>
                <w:b/>
                <w:bCs/>
                <w:szCs w:val="21"/>
                <w:highlight w:val="none"/>
              </w:rPr>
            </w:pPr>
            <w:bookmarkStart w:id="2453" w:name="_Toc263259824"/>
            <w:r>
              <w:rPr>
                <w:rFonts w:hint="eastAsia" w:cs="Arial"/>
                <w:b/>
                <w:bCs/>
                <w:szCs w:val="21"/>
                <w:highlight w:val="none"/>
              </w:rPr>
              <w:t>进度例会</w:t>
            </w:r>
            <w:bookmarkEnd w:id="2453"/>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2.</w:t>
            </w:r>
            <w:r>
              <w:rPr>
                <w:rFonts w:cs="Arial"/>
                <w:szCs w:val="21"/>
                <w:highlight w:val="none"/>
              </w:rPr>
              <w:t>1</w:t>
            </w:r>
          </w:p>
        </w:tc>
        <w:tc>
          <w:tcPr>
            <w:tcW w:w="7364" w:type="dxa"/>
          </w:tcPr>
          <w:p>
            <w:pPr>
              <w:spacing w:after="156" w:afterLines="50" w:line="300" w:lineRule="auto"/>
              <w:rPr>
                <w:rFonts w:cs="Arial"/>
                <w:szCs w:val="21"/>
                <w:highlight w:val="none"/>
              </w:rPr>
            </w:pPr>
            <w:r>
              <w:rPr>
                <w:rFonts w:hint="eastAsia" w:cs="Arial"/>
                <w:szCs w:val="21"/>
                <w:highlight w:val="none"/>
              </w:rPr>
              <w:t>监理人将主持召开有发包人、承包人、独立承包人和主要分包人等与本工程建设有关各方出席的每周一次的进度例会。必要时，监理人可随时召集所有上述各方或其中部分单位参加的会议。承包人应保证能代表其当场作出决定的高级管理人员出席会议。</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2.</w:t>
            </w:r>
            <w:r>
              <w:rPr>
                <w:rFonts w:cs="Arial"/>
                <w:szCs w:val="21"/>
                <w:highlight w:val="none"/>
              </w:rPr>
              <w:t>2</w:t>
            </w:r>
          </w:p>
        </w:tc>
        <w:tc>
          <w:tcPr>
            <w:tcW w:w="7364" w:type="dxa"/>
          </w:tcPr>
          <w:p>
            <w:pPr>
              <w:spacing w:after="156" w:afterLines="50" w:line="300" w:lineRule="auto"/>
              <w:rPr>
                <w:rFonts w:cs="Arial"/>
                <w:szCs w:val="21"/>
                <w:highlight w:val="none"/>
              </w:rPr>
            </w:pPr>
            <w:r>
              <w:rPr>
                <w:rFonts w:hint="eastAsia" w:cs="Arial"/>
                <w:szCs w:val="21"/>
                <w:highlight w:val="none"/>
              </w:rPr>
              <w:t>进度例会的内容将涉及合同管理、进度协调和工程管理的各个方面，由监理人准备的会议议题将随会议通知在会议召开前至少24小时发给各参会方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2.</w:t>
            </w:r>
            <w:r>
              <w:rPr>
                <w:rFonts w:cs="Arial"/>
                <w:szCs w:val="21"/>
                <w:highlight w:val="none"/>
              </w:rPr>
              <w:t>3</w:t>
            </w:r>
          </w:p>
        </w:tc>
        <w:tc>
          <w:tcPr>
            <w:tcW w:w="7364" w:type="dxa"/>
          </w:tcPr>
          <w:p>
            <w:pPr>
              <w:spacing w:after="156" w:afterLines="50" w:line="300" w:lineRule="auto"/>
              <w:rPr>
                <w:rFonts w:cs="Arial"/>
                <w:szCs w:val="21"/>
                <w:highlight w:val="none"/>
              </w:rPr>
            </w:pPr>
            <w:r>
              <w:rPr>
                <w:rFonts w:hint="eastAsia" w:cs="Arial"/>
                <w:szCs w:val="21"/>
                <w:highlight w:val="none"/>
              </w:rPr>
              <w:t>监理人应当做好会议记录，并在会议结束时由与会各方签字确认。监理人应根据会议记录整理出会议纪要，并在相应会议后24小时内分发给出席会议的各方。会议纪要应当如实反映会议记录的内容，包括任何决定、存在的问题、责任方、有关工作的时间目标等等。各方在收到会议纪要后24小时内给予签字确认，如有任何异议，应将有关异议以书面形式通知监理人，由监理人与有异议一方或各方共同核对会议记录，有异议的一方或者各方对与会议记录内容一致的会议纪要必须给予签字确认，否则监理人可以用会议记录作为会议纪要。经参会各方签字认可的会议纪要对各方有合同约束力。</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1</w:t>
            </w:r>
            <w:r>
              <w:rPr>
                <w:rFonts w:cs="Arial"/>
                <w:szCs w:val="21"/>
                <w:highlight w:val="none"/>
              </w:rPr>
              <w:t>.</w:t>
            </w:r>
            <w:r>
              <w:rPr>
                <w:rFonts w:hint="eastAsia" w:cs="Arial"/>
                <w:szCs w:val="21"/>
                <w:highlight w:val="none"/>
              </w:rPr>
              <w:t>2.</w:t>
            </w:r>
            <w:r>
              <w:rPr>
                <w:rFonts w:cs="Arial"/>
                <w:szCs w:val="21"/>
                <w:highlight w:val="none"/>
              </w:rPr>
              <w:t>4</w:t>
            </w:r>
          </w:p>
        </w:tc>
        <w:tc>
          <w:tcPr>
            <w:tcW w:w="7364" w:type="dxa"/>
          </w:tcPr>
          <w:p>
            <w:pPr>
              <w:pStyle w:val="199"/>
              <w:keepNext w:val="0"/>
              <w:keepLines w:val="0"/>
              <w:spacing w:after="156" w:afterLines="50" w:line="300" w:lineRule="auto"/>
              <w:rPr>
                <w:rFonts w:ascii="宋体" w:hAnsi="宋体" w:eastAsia="宋体" w:cs="Arial"/>
                <w:sz w:val="21"/>
                <w:szCs w:val="21"/>
                <w:highlight w:val="none"/>
              </w:rPr>
            </w:pPr>
            <w:bookmarkStart w:id="2454" w:name="_Toc24271"/>
            <w:r>
              <w:rPr>
                <w:rFonts w:hint="eastAsia" w:ascii="宋体" w:hAnsi="宋体" w:eastAsia="宋体" w:cs="Arial"/>
                <w:sz w:val="21"/>
                <w:szCs w:val="21"/>
                <w:highlight w:val="none"/>
              </w:rPr>
              <w:t>有关进度例会的其他要求：</w:t>
            </w:r>
            <w:bookmarkEnd w:id="2454"/>
          </w:p>
          <w:p>
            <w:pPr>
              <w:spacing w:after="156" w:afterLines="50" w:line="300" w:lineRule="auto"/>
              <w:rPr>
                <w:szCs w:val="21"/>
                <w:highlight w:val="none"/>
                <w:u w:val="single"/>
              </w:rPr>
            </w:pPr>
            <w:r>
              <w:rPr>
                <w:rFonts w:hint="eastAsia"/>
                <w:szCs w:val="21"/>
                <w:highlight w:val="none"/>
                <w:u w:val="single"/>
              </w:rPr>
              <w:t xml:space="preserve">   每周召开，与监理例会同期    </w:t>
            </w:r>
            <w:r>
              <w:rPr>
                <w:rFonts w:hint="eastAsia"/>
                <w:szCs w:val="21"/>
                <w:highlight w:val="none"/>
              </w:rPr>
              <w:t>。</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55" w:name="_Toc342296558"/>
            <w:bookmarkStart w:id="2456" w:name="_Toc31220"/>
            <w:bookmarkStart w:id="2457" w:name="_Toc241459801"/>
            <w:bookmarkStart w:id="2458" w:name="_Toc434331545"/>
            <w:r>
              <w:rPr>
                <w:rFonts w:hint="eastAsia" w:ascii="宋体" w:hAnsi="宋体" w:cs="Arial"/>
                <w:sz w:val="21"/>
                <w:szCs w:val="21"/>
                <w:highlight w:val="none"/>
              </w:rPr>
              <w:t>12. 试验和检验</w:t>
            </w:r>
            <w:bookmarkEnd w:id="2455"/>
            <w:bookmarkEnd w:id="2456"/>
            <w:bookmarkEnd w:id="2457"/>
            <w:bookmarkEnd w:id="2458"/>
          </w:p>
        </w:tc>
      </w:tr>
      <w:tr>
        <w:tblPrEx>
          <w:tblCellMar>
            <w:top w:w="0" w:type="dxa"/>
            <w:left w:w="108" w:type="dxa"/>
            <w:bottom w:w="0" w:type="dxa"/>
            <w:right w:w="108" w:type="dxa"/>
          </w:tblCellMar>
        </w:tblPrEx>
        <w:tc>
          <w:tcPr>
            <w:tcW w:w="1056" w:type="dxa"/>
          </w:tcPr>
          <w:p>
            <w:pPr>
              <w:spacing w:after="156" w:afterLines="50" w:line="300" w:lineRule="auto"/>
              <w:rPr>
                <w:rFonts w:cs="Arial"/>
                <w:b/>
                <w:bCs/>
                <w:szCs w:val="21"/>
                <w:highlight w:val="none"/>
              </w:rPr>
            </w:pPr>
            <w:r>
              <w:rPr>
                <w:rFonts w:cs="Arial"/>
                <w:szCs w:val="21"/>
                <w:highlight w:val="none"/>
              </w:rPr>
              <w:t>1</w:t>
            </w:r>
            <w:r>
              <w:rPr>
                <w:rFonts w:hint="eastAsia" w:cs="Arial"/>
                <w:szCs w:val="21"/>
                <w:highlight w:val="none"/>
              </w:rPr>
              <w:t>2</w:t>
            </w:r>
            <w:r>
              <w:rPr>
                <w:rFonts w:cs="Arial"/>
                <w:szCs w:val="21"/>
                <w:highlight w:val="none"/>
              </w:rPr>
              <w:t>.1</w:t>
            </w:r>
          </w:p>
        </w:tc>
        <w:tc>
          <w:tcPr>
            <w:tcW w:w="7364"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承包人应当按照工程施工验收规范和标准的规定和通用合同条款第14条的约定，对用于永久工程的主要材料、半成品、成品、建筑构配件、工程设备等进行试验和检验。</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12.2</w:t>
            </w:r>
          </w:p>
        </w:tc>
        <w:tc>
          <w:tcPr>
            <w:tcW w:w="7364" w:type="dxa"/>
          </w:tcPr>
          <w:p>
            <w:pPr>
              <w:spacing w:after="156" w:afterLines="50" w:line="300" w:lineRule="auto"/>
              <w:rPr>
                <w:rFonts w:cs="Arial"/>
                <w:szCs w:val="21"/>
                <w:highlight w:val="none"/>
              </w:rPr>
            </w:pPr>
            <w:r>
              <w:rPr>
                <w:rFonts w:hint="eastAsia" w:cs="Arial"/>
                <w:szCs w:val="21"/>
                <w:highlight w:val="none"/>
              </w:rPr>
              <w:t>本工程需要承包人进行试验和检验的材料、工程设备和工艺如下：</w:t>
            </w:r>
          </w:p>
          <w:p>
            <w:pPr>
              <w:spacing w:line="400" w:lineRule="exact"/>
              <w:rPr>
                <w:szCs w:val="21"/>
                <w:highlight w:val="none"/>
                <w:u w:val="single"/>
              </w:rPr>
            </w:pPr>
            <w:r>
              <w:rPr>
                <w:rFonts w:hint="eastAsia"/>
                <w:szCs w:val="21"/>
                <w:highlight w:val="none"/>
                <w:u w:val="single"/>
              </w:rPr>
              <w:t>国家和湖北省现行规范标准规定必须进行试验和检验的材料、工程设备和工艺。</w:t>
            </w:r>
          </w:p>
          <w:p>
            <w:pPr>
              <w:spacing w:after="156" w:afterLines="50" w:line="300" w:lineRule="auto"/>
              <w:rPr>
                <w:szCs w:val="21"/>
                <w:highlight w:val="none"/>
                <w:u w:val="single"/>
              </w:rPr>
            </w:pPr>
            <w:r>
              <w:rPr>
                <w:rFonts w:hint="eastAsia"/>
                <w:szCs w:val="21"/>
                <w:highlight w:val="none"/>
                <w:u w:val="single"/>
              </w:rPr>
              <w:t>费用由承包人承担，包括但不限于：防水材料、钢筋、钢型材、保温板、防雷检测、节能检测、承包工程范围内所有的试验检验。</w:t>
            </w:r>
          </w:p>
          <w:p>
            <w:pPr>
              <w:rPr>
                <w:szCs w:val="21"/>
                <w:highlight w:val="none"/>
              </w:rPr>
            </w:pPr>
            <w:r>
              <w:rPr>
                <w:rFonts w:hint="eastAsia"/>
                <w:szCs w:val="21"/>
                <w:highlight w:val="none"/>
              </w:rPr>
              <w:t>监理人可以根据工程需要，指示承包人进行其他现场材料和工艺的试验和检验。</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Ansi="宋体" w:cs="Arial"/>
                <w:sz w:val="21"/>
                <w:szCs w:val="21"/>
                <w:highlight w:val="none"/>
              </w:rPr>
              <w:t>1</w:t>
            </w:r>
            <w:r>
              <w:rPr>
                <w:rFonts w:hint="eastAsia" w:hAnsi="宋体" w:cs="Arial"/>
                <w:sz w:val="21"/>
                <w:szCs w:val="21"/>
                <w:highlight w:val="none"/>
              </w:rPr>
              <w:t>2</w:t>
            </w:r>
            <w:r>
              <w:rPr>
                <w:rFonts w:hAnsi="宋体" w:cs="Arial"/>
                <w:sz w:val="21"/>
                <w:szCs w:val="21"/>
                <w:highlight w:val="none"/>
              </w:rPr>
              <w:t>.3</w:t>
            </w:r>
          </w:p>
        </w:tc>
        <w:tc>
          <w:tcPr>
            <w:tcW w:w="7364" w:type="dxa"/>
          </w:tcPr>
          <w:p>
            <w:pPr>
              <w:spacing w:after="156" w:afterLines="50" w:line="300" w:lineRule="auto"/>
              <w:rPr>
                <w:rFonts w:cs="Arial"/>
                <w:szCs w:val="21"/>
                <w:highlight w:val="none"/>
              </w:rPr>
            </w:pPr>
            <w:r>
              <w:rPr>
                <w:rFonts w:hint="eastAsia" w:cs="Arial"/>
                <w:szCs w:val="21"/>
                <w:highlight w:val="none"/>
              </w:rPr>
              <w:t>本工程需要由监理人和承包人共同进行试验和检验的材料、工程设备和工艺如下：</w:t>
            </w:r>
            <w:r>
              <w:rPr>
                <w:rFonts w:hint="eastAsia"/>
                <w:szCs w:val="21"/>
                <w:highlight w:val="none"/>
                <w:u w:val="single"/>
              </w:rPr>
              <w:t xml:space="preserve">  /  </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2</w:t>
            </w:r>
            <w:r>
              <w:rPr>
                <w:rFonts w:cs="Arial"/>
                <w:szCs w:val="21"/>
                <w:highlight w:val="none"/>
              </w:rPr>
              <w:t>.4</w:t>
            </w:r>
          </w:p>
        </w:tc>
        <w:tc>
          <w:tcPr>
            <w:tcW w:w="7364" w:type="dxa"/>
          </w:tcPr>
          <w:p>
            <w:pPr>
              <w:spacing w:after="156" w:afterLines="50" w:line="300" w:lineRule="auto"/>
              <w:rPr>
                <w:rFonts w:cs="Arial"/>
                <w:szCs w:val="21"/>
                <w:highlight w:val="none"/>
              </w:rPr>
            </w:pPr>
            <w:r>
              <w:rPr>
                <w:rFonts w:hint="eastAsia" w:cs="Arial"/>
                <w:szCs w:val="21"/>
                <w:highlight w:val="none"/>
              </w:rPr>
              <w:t>本条上述</w:t>
            </w:r>
            <w:r>
              <w:rPr>
                <w:rFonts w:cs="Arial"/>
                <w:szCs w:val="21"/>
                <w:highlight w:val="none"/>
              </w:rPr>
              <w:t>约定</w:t>
            </w:r>
            <w:r>
              <w:rPr>
                <w:rFonts w:hint="eastAsia" w:cs="Arial"/>
                <w:szCs w:val="21"/>
                <w:highlight w:val="none"/>
              </w:rPr>
              <w:t>需要</w:t>
            </w:r>
            <w:r>
              <w:rPr>
                <w:rFonts w:cs="Arial"/>
                <w:szCs w:val="21"/>
                <w:highlight w:val="none"/>
              </w:rPr>
              <w:t>进行检验的材料</w:t>
            </w:r>
            <w:r>
              <w:rPr>
                <w:rFonts w:hint="eastAsia" w:cs="Arial"/>
                <w:szCs w:val="21"/>
                <w:highlight w:val="none"/>
              </w:rPr>
              <w:t>、</w:t>
            </w:r>
            <w:r>
              <w:rPr>
                <w:rFonts w:cs="Arial"/>
                <w:szCs w:val="21"/>
                <w:highlight w:val="none"/>
              </w:rPr>
              <w:t>工程设备</w:t>
            </w:r>
            <w:r>
              <w:rPr>
                <w:rFonts w:hint="eastAsia" w:cs="Arial"/>
                <w:szCs w:val="21"/>
                <w:highlight w:val="none"/>
              </w:rPr>
              <w:t>和工艺</w:t>
            </w:r>
            <w:r>
              <w:rPr>
                <w:rFonts w:cs="Arial"/>
                <w:szCs w:val="21"/>
                <w:highlight w:val="none"/>
              </w:rPr>
              <w:t>在经过检验并获得监理人批准以前，不得用于任何永久工程。</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2</w:t>
            </w:r>
            <w:r>
              <w:rPr>
                <w:rFonts w:cs="Arial"/>
                <w:szCs w:val="21"/>
                <w:highlight w:val="none"/>
              </w:rPr>
              <w:t>.</w:t>
            </w:r>
            <w:r>
              <w:rPr>
                <w:rFonts w:hint="eastAsia" w:cs="Arial"/>
                <w:szCs w:val="21"/>
                <w:highlight w:val="none"/>
              </w:rPr>
              <w:t>5</w:t>
            </w:r>
          </w:p>
        </w:tc>
        <w:tc>
          <w:tcPr>
            <w:tcW w:w="7364" w:type="dxa"/>
          </w:tcPr>
          <w:p>
            <w:pPr>
              <w:spacing w:after="156" w:afterLines="50" w:line="300" w:lineRule="auto"/>
              <w:rPr>
                <w:rFonts w:cs="Arial"/>
                <w:szCs w:val="21"/>
                <w:highlight w:val="none"/>
              </w:rPr>
            </w:pPr>
            <w:r>
              <w:rPr>
                <w:rFonts w:cs="Arial"/>
                <w:szCs w:val="21"/>
                <w:highlight w:val="none"/>
              </w:rPr>
              <w:t>承包人应为任何材料</w:t>
            </w:r>
            <w:r>
              <w:rPr>
                <w:rFonts w:hint="eastAsia" w:cs="Arial"/>
                <w:szCs w:val="21"/>
                <w:highlight w:val="none"/>
              </w:rPr>
              <w:t>、</w:t>
            </w:r>
            <w:r>
              <w:rPr>
                <w:rFonts w:cs="Arial"/>
                <w:szCs w:val="21"/>
                <w:highlight w:val="none"/>
              </w:rPr>
              <w:t>工程设备</w:t>
            </w:r>
            <w:r>
              <w:rPr>
                <w:rFonts w:hint="eastAsia" w:cs="Arial"/>
                <w:szCs w:val="21"/>
                <w:highlight w:val="none"/>
              </w:rPr>
              <w:t>和工艺</w:t>
            </w:r>
            <w:r>
              <w:rPr>
                <w:rFonts w:cs="Arial"/>
                <w:szCs w:val="21"/>
                <w:highlight w:val="none"/>
              </w:rPr>
              <w:t>的检查、检测和检验提供劳务、电力、燃料、备用品、</w:t>
            </w:r>
            <w:r>
              <w:rPr>
                <w:rFonts w:hint="eastAsia" w:cs="Arial"/>
                <w:szCs w:val="21"/>
                <w:highlight w:val="none"/>
              </w:rPr>
              <w:t>设备和</w:t>
            </w:r>
            <w:r>
              <w:rPr>
                <w:rFonts w:cs="Arial"/>
                <w:szCs w:val="21"/>
                <w:highlight w:val="none"/>
              </w:rPr>
              <w:t>仪器</w:t>
            </w:r>
            <w:r>
              <w:rPr>
                <w:rFonts w:hint="eastAsia" w:cs="Arial"/>
                <w:szCs w:val="21"/>
                <w:highlight w:val="none"/>
              </w:rPr>
              <w:t>以</w:t>
            </w:r>
            <w:r>
              <w:rPr>
                <w:rFonts w:cs="Arial"/>
                <w:szCs w:val="21"/>
                <w:highlight w:val="none"/>
              </w:rPr>
              <w:t>及必要的协助。监理人及</w:t>
            </w:r>
            <w:r>
              <w:rPr>
                <w:rFonts w:hint="eastAsia" w:cs="Arial"/>
                <w:szCs w:val="21"/>
                <w:highlight w:val="none"/>
              </w:rPr>
              <w:t>其</w:t>
            </w:r>
            <w:r>
              <w:rPr>
                <w:rFonts w:cs="Arial"/>
                <w:szCs w:val="21"/>
                <w:highlight w:val="none"/>
              </w:rPr>
              <w:t>任何授权人员应能够在任何时候进入现场及正在为工程制造、装配、准备材料</w:t>
            </w:r>
            <w:r>
              <w:rPr>
                <w:rFonts w:hint="eastAsia" w:cs="Arial"/>
                <w:szCs w:val="21"/>
                <w:highlight w:val="none"/>
              </w:rPr>
              <w:t>和（</w:t>
            </w:r>
            <w:r>
              <w:rPr>
                <w:rFonts w:cs="Arial"/>
                <w:szCs w:val="21"/>
                <w:highlight w:val="none"/>
              </w:rPr>
              <w:t>或</w:t>
            </w:r>
            <w:r>
              <w:rPr>
                <w:rFonts w:hint="eastAsia" w:cs="Arial"/>
                <w:szCs w:val="21"/>
                <w:highlight w:val="none"/>
              </w:rPr>
              <w:t>）</w:t>
            </w:r>
            <w:r>
              <w:rPr>
                <w:rFonts w:cs="Arial"/>
                <w:szCs w:val="21"/>
                <w:highlight w:val="none"/>
              </w:rPr>
              <w:t>工程设备的车间和场所进行任何必要的检查。无论这些车间和场所是否属于承包人，承包人都应提供一切便利，并协助其取得相应的权力</w:t>
            </w:r>
            <w:r>
              <w:rPr>
                <w:rFonts w:hint="eastAsia" w:cs="Arial"/>
                <w:szCs w:val="21"/>
                <w:highlight w:val="none"/>
              </w:rPr>
              <w:t>和（</w:t>
            </w:r>
            <w:r>
              <w:rPr>
                <w:rFonts w:cs="Arial"/>
                <w:szCs w:val="21"/>
                <w:highlight w:val="none"/>
              </w:rPr>
              <w:t>或</w:t>
            </w:r>
            <w:r>
              <w:rPr>
                <w:rFonts w:hint="eastAsia" w:cs="Arial"/>
                <w:szCs w:val="21"/>
                <w:highlight w:val="none"/>
              </w:rPr>
              <w:t>）</w:t>
            </w:r>
            <w:r>
              <w:rPr>
                <w:rFonts w:cs="Arial"/>
                <w:szCs w:val="21"/>
                <w:highlight w:val="none"/>
              </w:rPr>
              <w:t>许可。</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2</w:t>
            </w:r>
            <w:r>
              <w:rPr>
                <w:rFonts w:cs="Arial"/>
                <w:szCs w:val="21"/>
                <w:highlight w:val="none"/>
              </w:rPr>
              <w:t>.</w:t>
            </w:r>
            <w:r>
              <w:rPr>
                <w:rFonts w:hint="eastAsia" w:cs="Arial"/>
                <w:szCs w:val="21"/>
                <w:highlight w:val="none"/>
              </w:rPr>
              <w:t>6</w:t>
            </w:r>
          </w:p>
        </w:tc>
        <w:tc>
          <w:tcPr>
            <w:tcW w:w="7364" w:type="dxa"/>
          </w:tcPr>
          <w:p>
            <w:pPr>
              <w:spacing w:after="156" w:afterLines="50" w:line="300" w:lineRule="auto"/>
              <w:rPr>
                <w:rFonts w:cs="Arial"/>
                <w:szCs w:val="21"/>
                <w:highlight w:val="none"/>
              </w:rPr>
            </w:pPr>
            <w:r>
              <w:rPr>
                <w:rFonts w:cs="Arial"/>
                <w:szCs w:val="21"/>
                <w:highlight w:val="none"/>
              </w:rPr>
              <w:t>如果检查、检测、检验或试验的结果表明，材料</w:t>
            </w:r>
            <w:r>
              <w:rPr>
                <w:rFonts w:hint="eastAsia" w:cs="Arial"/>
                <w:szCs w:val="21"/>
                <w:highlight w:val="none"/>
              </w:rPr>
              <w:t>、</w:t>
            </w:r>
            <w:r>
              <w:rPr>
                <w:rFonts w:cs="Arial"/>
                <w:szCs w:val="21"/>
                <w:highlight w:val="none"/>
              </w:rPr>
              <w:t>工程设备</w:t>
            </w:r>
            <w:r>
              <w:rPr>
                <w:rFonts w:hint="eastAsia" w:cs="Arial"/>
                <w:szCs w:val="21"/>
                <w:highlight w:val="none"/>
              </w:rPr>
              <w:t>和工艺</w:t>
            </w:r>
            <w:r>
              <w:rPr>
                <w:rFonts w:cs="Arial"/>
                <w:szCs w:val="21"/>
                <w:highlight w:val="none"/>
              </w:rPr>
              <w:t>有缺陷或不符合合同约定，监理人</w:t>
            </w:r>
            <w:r>
              <w:rPr>
                <w:rFonts w:hint="eastAsia" w:cs="Arial"/>
                <w:szCs w:val="21"/>
                <w:highlight w:val="none"/>
              </w:rPr>
              <w:t>和</w:t>
            </w:r>
            <w:r>
              <w:rPr>
                <w:rFonts w:cs="Arial"/>
                <w:szCs w:val="21"/>
                <w:highlight w:val="none"/>
              </w:rPr>
              <w:t>发包人可拒收此类材料</w:t>
            </w:r>
            <w:r>
              <w:rPr>
                <w:rFonts w:hint="eastAsia" w:cs="Arial"/>
                <w:szCs w:val="21"/>
                <w:highlight w:val="none"/>
              </w:rPr>
              <w:t>、</w:t>
            </w:r>
            <w:r>
              <w:rPr>
                <w:rFonts w:cs="Arial"/>
                <w:szCs w:val="21"/>
                <w:highlight w:val="none"/>
              </w:rPr>
              <w:t>工程设备</w:t>
            </w:r>
            <w:r>
              <w:rPr>
                <w:rFonts w:hint="eastAsia" w:cs="Arial"/>
                <w:szCs w:val="21"/>
                <w:highlight w:val="none"/>
              </w:rPr>
              <w:t>和工艺</w:t>
            </w:r>
            <w:r>
              <w:rPr>
                <w:rFonts w:cs="Arial"/>
                <w:szCs w:val="21"/>
                <w:highlight w:val="none"/>
              </w:rPr>
              <w:t>，并应立即通知承包人同时说明理由。承包人应立即修复上述缺陷并保证其符合合同约定。若监理人或发包人要求对此类工程设备、材料、设计或工艺</w:t>
            </w:r>
            <w:r>
              <w:rPr>
                <w:rFonts w:hint="eastAsia" w:cs="Arial"/>
                <w:szCs w:val="21"/>
                <w:highlight w:val="none"/>
              </w:rPr>
              <w:t>重新</w:t>
            </w:r>
            <w:r>
              <w:rPr>
                <w:rFonts w:cs="Arial"/>
                <w:szCs w:val="21"/>
                <w:highlight w:val="none"/>
              </w:rPr>
              <w:t>进行检验，则此类检验应按相同条款和条件重新进行。如果此类拒收和</w:t>
            </w:r>
            <w:r>
              <w:rPr>
                <w:rFonts w:hint="eastAsia" w:cs="Arial"/>
                <w:szCs w:val="21"/>
                <w:highlight w:val="none"/>
              </w:rPr>
              <w:t>重新</w:t>
            </w:r>
            <w:r>
              <w:rPr>
                <w:rFonts w:cs="Arial"/>
                <w:szCs w:val="21"/>
                <w:highlight w:val="none"/>
              </w:rPr>
              <w:t>检验致使发包人产生了</w:t>
            </w:r>
            <w:r>
              <w:rPr>
                <w:rFonts w:hint="eastAsia" w:cs="Arial"/>
                <w:szCs w:val="21"/>
                <w:highlight w:val="none"/>
              </w:rPr>
              <w:t>额外</w:t>
            </w:r>
            <w:r>
              <w:rPr>
                <w:rFonts w:cs="Arial"/>
                <w:szCs w:val="21"/>
                <w:highlight w:val="none"/>
              </w:rPr>
              <w:t>费用，则此类费用应由承包人支付给发包人，或从</w:t>
            </w:r>
            <w:r>
              <w:rPr>
                <w:rFonts w:hint="eastAsia" w:cs="Arial"/>
                <w:szCs w:val="21"/>
                <w:highlight w:val="none"/>
              </w:rPr>
              <w:t>发包人应支付给</w:t>
            </w:r>
            <w:r>
              <w:rPr>
                <w:rFonts w:cs="Arial"/>
                <w:szCs w:val="21"/>
                <w:highlight w:val="none"/>
              </w:rPr>
              <w:t>承包人的款项中扣除。</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2</w:t>
            </w:r>
            <w:r>
              <w:rPr>
                <w:rFonts w:cs="Arial"/>
                <w:szCs w:val="21"/>
                <w:highlight w:val="none"/>
              </w:rPr>
              <w:t>.</w:t>
            </w:r>
            <w:r>
              <w:rPr>
                <w:rFonts w:hint="eastAsia" w:cs="Arial"/>
                <w:szCs w:val="21"/>
                <w:highlight w:val="none"/>
              </w:rPr>
              <w:t>7</w:t>
            </w:r>
          </w:p>
        </w:tc>
        <w:tc>
          <w:tcPr>
            <w:tcW w:w="7364" w:type="dxa"/>
          </w:tcPr>
          <w:p>
            <w:pPr>
              <w:spacing w:after="156" w:afterLines="50" w:line="300" w:lineRule="auto"/>
              <w:rPr>
                <w:rFonts w:cs="Arial"/>
                <w:szCs w:val="21"/>
                <w:highlight w:val="none"/>
              </w:rPr>
            </w:pPr>
            <w:r>
              <w:rPr>
                <w:rFonts w:hint="eastAsia" w:cs="Arial"/>
                <w:szCs w:val="21"/>
                <w:highlight w:val="none"/>
              </w:rPr>
              <w:t>承包人应在监理人的监督下，对涉及结构安全的试块、试件以及有关材料进行现场取样，并送</w:t>
            </w:r>
            <w:r>
              <w:rPr>
                <w:rFonts w:hint="eastAsia" w:cs="Arial"/>
                <w:szCs w:val="21"/>
                <w:highlight w:val="none"/>
                <w:u w:val="single"/>
              </w:rPr>
              <w:t xml:space="preserve"> 建设单位所在地 </w:t>
            </w:r>
            <w:r>
              <w:rPr>
                <w:rFonts w:hint="eastAsia" w:cs="Arial"/>
                <w:szCs w:val="21"/>
                <w:highlight w:val="none"/>
              </w:rPr>
              <w:t>质量检测单位进行检测。</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2</w:t>
            </w:r>
            <w:r>
              <w:rPr>
                <w:rFonts w:cs="Arial"/>
                <w:szCs w:val="21"/>
                <w:highlight w:val="none"/>
              </w:rPr>
              <w:t>.</w:t>
            </w:r>
            <w:r>
              <w:rPr>
                <w:rFonts w:hint="eastAsia" w:cs="Arial"/>
                <w:szCs w:val="21"/>
                <w:highlight w:val="none"/>
              </w:rPr>
              <w:t>8</w:t>
            </w:r>
          </w:p>
        </w:tc>
        <w:tc>
          <w:tcPr>
            <w:tcW w:w="7364" w:type="dxa"/>
          </w:tcPr>
          <w:p>
            <w:pPr>
              <w:spacing w:after="156" w:afterLines="50" w:line="300" w:lineRule="auto"/>
              <w:rPr>
                <w:rFonts w:cs="Arial"/>
                <w:szCs w:val="21"/>
                <w:highlight w:val="none"/>
              </w:rPr>
            </w:pPr>
            <w:r>
              <w:rPr>
                <w:rFonts w:hint="eastAsia" w:cs="Arial"/>
                <w:szCs w:val="21"/>
                <w:highlight w:val="none"/>
              </w:rPr>
              <w:t>除合同另有约定外，</w:t>
            </w:r>
            <w:r>
              <w:rPr>
                <w:rFonts w:cs="Arial"/>
                <w:szCs w:val="21"/>
                <w:highlight w:val="none"/>
              </w:rPr>
              <w:t>承包人应负担本合同项下的所有材料</w:t>
            </w:r>
            <w:r>
              <w:rPr>
                <w:rFonts w:hint="eastAsia" w:cs="Arial"/>
                <w:szCs w:val="21"/>
                <w:highlight w:val="none"/>
              </w:rPr>
              <w:t>、</w:t>
            </w:r>
            <w:r>
              <w:rPr>
                <w:rFonts w:cs="Arial"/>
                <w:szCs w:val="21"/>
                <w:highlight w:val="none"/>
              </w:rPr>
              <w:t>工程设备</w:t>
            </w:r>
            <w:r>
              <w:rPr>
                <w:rFonts w:hint="eastAsia" w:cs="Arial"/>
                <w:szCs w:val="21"/>
                <w:highlight w:val="none"/>
              </w:rPr>
              <w:t>和工艺</w:t>
            </w:r>
            <w:r>
              <w:rPr>
                <w:rFonts w:cs="Arial"/>
                <w:szCs w:val="21"/>
                <w:highlight w:val="none"/>
              </w:rPr>
              <w:t>检验的费用。</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59" w:name="_Toc241459802"/>
            <w:bookmarkStart w:id="2460" w:name="_Toc434331546"/>
            <w:bookmarkStart w:id="2461" w:name="_Toc14041"/>
            <w:bookmarkStart w:id="2462" w:name="_Toc342296559"/>
            <w:r>
              <w:rPr>
                <w:rFonts w:hint="eastAsia" w:ascii="宋体" w:hAnsi="宋体" w:cs="Arial"/>
                <w:sz w:val="21"/>
                <w:szCs w:val="21"/>
                <w:highlight w:val="none"/>
              </w:rPr>
              <w:t>13. 计日工</w:t>
            </w:r>
            <w:bookmarkEnd w:id="2459"/>
            <w:bookmarkEnd w:id="2460"/>
            <w:bookmarkEnd w:id="2461"/>
            <w:bookmarkEnd w:id="2462"/>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13.1</w:t>
            </w:r>
          </w:p>
        </w:tc>
        <w:tc>
          <w:tcPr>
            <w:tcW w:w="7364" w:type="dxa"/>
          </w:tcPr>
          <w:p>
            <w:pPr>
              <w:spacing w:after="156" w:afterLines="50" w:line="300" w:lineRule="auto"/>
              <w:rPr>
                <w:rFonts w:cs="Arial"/>
                <w:szCs w:val="21"/>
                <w:highlight w:val="none"/>
              </w:rPr>
            </w:pPr>
            <w:r>
              <w:rPr>
                <w:rFonts w:hint="eastAsia" w:cs="Arial"/>
                <w:szCs w:val="21"/>
                <w:highlight w:val="none"/>
              </w:rPr>
              <w:t>通用合同条款第15.7款约定的计日工，一般适用于合同约定之外的或者因变更而产生的、工程量清单中没有设立相应子目或者即便有相应子目但因工作条件发生变化而无法适用的额外工作，尤其是那些时间不允许事先商定价格的额外工作。计日工在发包人认为必要时，由监理人按通用合同条款第15.7.1项约定通知承包人实施。</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13.2</w:t>
            </w:r>
          </w:p>
        </w:tc>
        <w:tc>
          <w:tcPr>
            <w:tcW w:w="7364" w:type="dxa"/>
          </w:tcPr>
          <w:p>
            <w:pPr>
              <w:spacing w:after="156" w:afterLines="50" w:line="300" w:lineRule="auto"/>
              <w:rPr>
                <w:rFonts w:cs="Arial"/>
                <w:szCs w:val="21"/>
                <w:highlight w:val="none"/>
              </w:rPr>
            </w:pPr>
            <w:r>
              <w:rPr>
                <w:rFonts w:hint="eastAsia" w:cs="Arial"/>
                <w:szCs w:val="21"/>
                <w:highlight w:val="none"/>
              </w:rPr>
              <w:t>在工程实际开工后14天内，承包人应当按通用合同条款第15.7.2项约定的计日工报表内容，准备一份计日工日报表的格式，报送监理人审批，监理人应当在收到之日后7天内给予批复或提出修改意见。</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13.3</w:t>
            </w:r>
          </w:p>
        </w:tc>
        <w:tc>
          <w:tcPr>
            <w:tcW w:w="7364" w:type="dxa"/>
          </w:tcPr>
          <w:p>
            <w:pPr>
              <w:spacing w:after="156" w:afterLines="50" w:line="300" w:lineRule="auto"/>
              <w:rPr>
                <w:rFonts w:cs="Arial"/>
                <w:szCs w:val="21"/>
                <w:highlight w:val="none"/>
              </w:rPr>
            </w:pPr>
            <w:r>
              <w:rPr>
                <w:rFonts w:hint="eastAsia" w:cs="Arial"/>
                <w:szCs w:val="21"/>
                <w:highlight w:val="none"/>
              </w:rPr>
              <w:t>按计日工实施相关变更的过程中，承包人应当按经监理人批准的计日工日报表格式，每天提交计日工报表和有关凭证，报送监理人审批，监理人应当在收到相关报表和凭证后24小时内给予批复。</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13.4</w:t>
            </w:r>
          </w:p>
        </w:tc>
        <w:tc>
          <w:tcPr>
            <w:tcW w:w="7364" w:type="dxa"/>
          </w:tcPr>
          <w:p>
            <w:pPr>
              <w:spacing w:after="156" w:afterLines="50" w:line="300" w:lineRule="auto"/>
              <w:rPr>
                <w:rFonts w:cs="Arial"/>
                <w:szCs w:val="21"/>
                <w:highlight w:val="none"/>
              </w:rPr>
            </w:pPr>
            <w:r>
              <w:rPr>
                <w:rFonts w:hint="eastAsia" w:cs="Arial"/>
                <w:szCs w:val="21"/>
                <w:highlight w:val="none"/>
              </w:rPr>
              <w:t>计日工劳务按工日（8小时）计量，单次4小时以内按0.5个工日，单次4小时至8小时按1个工日，加班时间按照国家劳动法律法规的规定办理。实施计日工的劳务人员仅应包括直接从事计日工工作的工人和班组长（如果有），不应包括工长及其以上管理人员。</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13.5</w:t>
            </w:r>
          </w:p>
        </w:tc>
        <w:tc>
          <w:tcPr>
            <w:tcW w:w="7364" w:type="dxa"/>
          </w:tcPr>
          <w:p>
            <w:pPr>
              <w:spacing w:after="156" w:afterLines="50" w:line="300" w:lineRule="auto"/>
              <w:rPr>
                <w:rFonts w:cs="Arial"/>
                <w:szCs w:val="21"/>
                <w:highlight w:val="none"/>
              </w:rPr>
            </w:pPr>
            <w:r>
              <w:rPr>
                <w:rFonts w:hint="eastAsia" w:cs="Arial"/>
                <w:szCs w:val="21"/>
                <w:highlight w:val="none"/>
              </w:rPr>
              <w:t>已标价工程量清单计日工材料表中未列出的材料，实际发生于计日工时，其价格按照经监理人事先审批的材料运到现场的价格和有关材料采购的发票票面价格（运到现场价）中的较低者结算，另计一个在计日工材料表中填写的包括承包人企业管理费、利润在内的一个固定百分比，规费和税金另计。</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13.6</w:t>
            </w:r>
          </w:p>
        </w:tc>
        <w:tc>
          <w:tcPr>
            <w:tcW w:w="7364" w:type="dxa"/>
          </w:tcPr>
          <w:p>
            <w:pPr>
              <w:spacing w:after="156" w:afterLines="50" w:line="300" w:lineRule="auto"/>
              <w:rPr>
                <w:rFonts w:cs="Arial"/>
                <w:szCs w:val="21"/>
                <w:highlight w:val="none"/>
              </w:rPr>
            </w:pPr>
            <w:r>
              <w:rPr>
                <w:rFonts w:hint="eastAsia" w:cs="Arial"/>
                <w:szCs w:val="21"/>
                <w:highlight w:val="none"/>
              </w:rPr>
              <w:t>施工机械按台班计量（8小时），单次4小时以内按0.5个台班，单次4小时至8小时按1个台班，操作人员加班时间按照国家劳动法律法规的规定办理。计日工如果需要使用场外施工机械，台班费用和进出场费用按市场平均价格，由承包人事后报监理人审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13.7</w:t>
            </w:r>
          </w:p>
        </w:tc>
        <w:tc>
          <w:tcPr>
            <w:tcW w:w="7364" w:type="dxa"/>
          </w:tcPr>
          <w:p>
            <w:pPr>
              <w:spacing w:after="156" w:afterLines="50" w:line="300" w:lineRule="auto"/>
              <w:rPr>
                <w:rFonts w:cs="Arial"/>
                <w:szCs w:val="21"/>
                <w:highlight w:val="none"/>
              </w:rPr>
            </w:pPr>
            <w:r>
              <w:rPr>
                <w:rFonts w:hint="eastAsia" w:cs="Arial"/>
                <w:szCs w:val="21"/>
                <w:highlight w:val="none"/>
              </w:rPr>
              <w:t>关于计日工的其他约定：</w:t>
            </w:r>
            <w:r>
              <w:rPr>
                <w:rFonts w:hint="eastAsia" w:cs="Arial"/>
                <w:szCs w:val="21"/>
                <w:highlight w:val="none"/>
                <w:u w:val="single"/>
              </w:rPr>
              <w:t xml:space="preserve">     /          </w:t>
            </w:r>
            <w:r>
              <w:rPr>
                <w:rFonts w:hint="eastAsia" w:cs="Arial"/>
                <w:szCs w:val="21"/>
                <w:highlight w:val="none"/>
              </w:rPr>
              <w:t>。</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63" w:name="_Toc23578"/>
            <w:bookmarkStart w:id="2464" w:name="_Toc434331547"/>
            <w:bookmarkStart w:id="2465" w:name="_Toc241459803"/>
            <w:bookmarkStart w:id="2466" w:name="_Toc342296560"/>
            <w:r>
              <w:rPr>
                <w:rFonts w:hint="eastAsia" w:ascii="宋体" w:hAnsi="宋体" w:cs="Arial"/>
                <w:sz w:val="21"/>
                <w:szCs w:val="21"/>
                <w:highlight w:val="none"/>
              </w:rPr>
              <w:t>14. 计量与支付</w:t>
            </w:r>
            <w:bookmarkEnd w:id="2463"/>
            <w:bookmarkEnd w:id="2464"/>
            <w:bookmarkEnd w:id="2465"/>
            <w:bookmarkEnd w:id="2466"/>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67" w:name="_Toc263259828"/>
            <w:r>
              <w:rPr>
                <w:rFonts w:cs="Arial"/>
                <w:b/>
                <w:bCs/>
                <w:szCs w:val="21"/>
                <w:highlight w:val="none"/>
              </w:rPr>
              <w:t>1</w:t>
            </w:r>
            <w:r>
              <w:rPr>
                <w:rFonts w:hint="eastAsia" w:cs="Arial"/>
                <w:b/>
                <w:bCs/>
                <w:szCs w:val="21"/>
                <w:highlight w:val="none"/>
              </w:rPr>
              <w:t>4</w:t>
            </w:r>
            <w:r>
              <w:rPr>
                <w:rFonts w:cs="Arial"/>
                <w:b/>
                <w:bCs/>
                <w:szCs w:val="21"/>
                <w:highlight w:val="none"/>
              </w:rPr>
              <w:t>.</w:t>
            </w:r>
            <w:r>
              <w:rPr>
                <w:rFonts w:hint="eastAsia" w:cs="Arial"/>
                <w:b/>
                <w:bCs/>
                <w:szCs w:val="21"/>
                <w:highlight w:val="none"/>
              </w:rPr>
              <w:t>1</w:t>
            </w:r>
            <w:bookmarkEnd w:id="2467"/>
          </w:p>
        </w:tc>
        <w:tc>
          <w:tcPr>
            <w:tcW w:w="7364" w:type="dxa"/>
          </w:tcPr>
          <w:p>
            <w:pPr>
              <w:spacing w:after="156" w:afterLines="50" w:line="300" w:lineRule="auto"/>
              <w:outlineLvl w:val="3"/>
              <w:rPr>
                <w:rFonts w:cs="Arial"/>
                <w:b/>
                <w:bCs/>
                <w:szCs w:val="21"/>
                <w:highlight w:val="none"/>
              </w:rPr>
            </w:pPr>
            <w:bookmarkStart w:id="2468" w:name="_Toc263259829"/>
            <w:r>
              <w:rPr>
                <w:rFonts w:hint="eastAsia" w:cs="Arial"/>
                <w:b/>
                <w:bCs/>
                <w:szCs w:val="21"/>
                <w:highlight w:val="none"/>
              </w:rPr>
              <w:t>付款申请单</w:t>
            </w:r>
            <w:bookmarkEnd w:id="2468"/>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14.1.1</w:t>
            </w:r>
          </w:p>
        </w:tc>
        <w:tc>
          <w:tcPr>
            <w:tcW w:w="7364" w:type="dxa"/>
          </w:tcPr>
          <w:p>
            <w:pPr>
              <w:spacing w:after="156" w:afterLines="50" w:line="300" w:lineRule="auto"/>
              <w:rPr>
                <w:rFonts w:cs="Arial"/>
                <w:szCs w:val="21"/>
                <w:highlight w:val="none"/>
              </w:rPr>
            </w:pPr>
            <w:r>
              <w:rPr>
                <w:rFonts w:hint="eastAsia" w:cs="Arial"/>
                <w:szCs w:val="21"/>
                <w:highlight w:val="none"/>
              </w:rPr>
              <w:t>在工程实际开工后14天内，承包人应当按照合同条款第17条的约定，准备一份已完工程量报表、进度付款申请单和计量文件的格式等报送监理人，监理人应当在收到承包人报送的格式后7天内给予批复或者提出修改意见。</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14.1.2</w:t>
            </w:r>
          </w:p>
        </w:tc>
        <w:tc>
          <w:tcPr>
            <w:tcW w:w="7364" w:type="dxa"/>
          </w:tcPr>
          <w:p>
            <w:pPr>
              <w:spacing w:after="156" w:afterLines="50" w:line="300" w:lineRule="auto"/>
              <w:rPr>
                <w:rFonts w:cs="Arial"/>
                <w:szCs w:val="21"/>
                <w:highlight w:val="none"/>
              </w:rPr>
            </w:pPr>
            <w:r>
              <w:rPr>
                <w:rFonts w:hint="eastAsia" w:cs="Arial"/>
                <w:szCs w:val="21"/>
                <w:highlight w:val="none"/>
              </w:rPr>
              <w:t>根据合同条款第17.1款和第17.3款， 承包人应当在合同约定的每个付款周期末，对当期完成的各项工程量进行计量和计价，并按照第17.3.2项的约定，对当期应增加和扣减的各类款项进行梳理和汇总，按经监理人批准的格式和专用合同条款约定的份数和内容准备并向监理人递交进度付款申请单，并将进度付款申请单连同已完工程量报表、有关计量资料以及能够证明其进度付款申请单中所索要款项符合合同约定的各个支持性文件同时报送监理人审批。</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14.1.3</w:t>
            </w:r>
          </w:p>
        </w:tc>
        <w:tc>
          <w:tcPr>
            <w:tcW w:w="7364" w:type="dxa"/>
          </w:tcPr>
          <w:p>
            <w:pPr>
              <w:spacing w:after="156" w:afterLines="50" w:line="300" w:lineRule="auto"/>
              <w:rPr>
                <w:rFonts w:cs="Arial"/>
                <w:szCs w:val="21"/>
                <w:highlight w:val="none"/>
              </w:rPr>
            </w:pPr>
            <w:r>
              <w:rPr>
                <w:rFonts w:hint="eastAsia" w:cs="Arial"/>
                <w:szCs w:val="21"/>
                <w:highlight w:val="none"/>
              </w:rPr>
              <w:t>竣工付款申请单的内容按专用合同条款第17.5.1（1）目的约定。采用单价合同形式的，竣工付款申请单应当附上按通用合同条款第17.1.4（5）目确定的结算工程量和最近一次进度付款和竣工付款之间完成的各子目的工程量计量文件。采用总价合同形式的，签约合同价所基于的工程量就是相应的竣工结算工程量，但是，变更应按合同约定进行计量和计价。</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4</w:t>
            </w:r>
            <w:r>
              <w:rPr>
                <w:rFonts w:cs="Arial"/>
                <w:szCs w:val="21"/>
                <w:highlight w:val="none"/>
              </w:rPr>
              <w:t>.</w:t>
            </w:r>
            <w:r>
              <w:rPr>
                <w:rFonts w:hint="eastAsia" w:cs="Arial"/>
                <w:szCs w:val="21"/>
                <w:highlight w:val="none"/>
              </w:rPr>
              <w:t>1.4</w:t>
            </w:r>
          </w:p>
        </w:tc>
        <w:tc>
          <w:tcPr>
            <w:tcW w:w="7364" w:type="dxa"/>
          </w:tcPr>
          <w:p>
            <w:pPr>
              <w:spacing w:after="156" w:afterLines="50" w:line="300" w:lineRule="auto"/>
              <w:rPr>
                <w:rFonts w:cs="Arial"/>
                <w:szCs w:val="21"/>
                <w:highlight w:val="none"/>
              </w:rPr>
            </w:pPr>
            <w:r>
              <w:rPr>
                <w:rFonts w:hint="eastAsia" w:cs="Arial"/>
                <w:szCs w:val="21"/>
                <w:highlight w:val="none"/>
              </w:rPr>
              <w:t>竣工结算总价（合同价格）应当按以下内容梳理：</w:t>
            </w:r>
          </w:p>
          <w:p>
            <w:pPr>
              <w:numPr>
                <w:ilvl w:val="0"/>
                <w:numId w:val="29"/>
              </w:numPr>
              <w:spacing w:after="156" w:afterLines="50" w:line="300" w:lineRule="auto"/>
              <w:rPr>
                <w:rFonts w:cs="Arial"/>
                <w:szCs w:val="21"/>
                <w:highlight w:val="none"/>
              </w:rPr>
            </w:pPr>
            <w:r>
              <w:rPr>
                <w:rFonts w:hint="eastAsia" w:cs="Arial"/>
                <w:szCs w:val="21"/>
                <w:highlight w:val="none"/>
              </w:rPr>
              <w:t>签约合同价；</w:t>
            </w:r>
          </w:p>
          <w:p>
            <w:pPr>
              <w:numPr>
                <w:ilvl w:val="0"/>
                <w:numId w:val="29"/>
              </w:numPr>
              <w:spacing w:after="156" w:afterLines="50" w:line="300" w:lineRule="auto"/>
              <w:rPr>
                <w:rFonts w:cs="Arial"/>
                <w:szCs w:val="21"/>
                <w:highlight w:val="none"/>
              </w:rPr>
            </w:pPr>
            <w:r>
              <w:rPr>
                <w:rFonts w:hint="eastAsia" w:cs="Arial"/>
                <w:szCs w:val="21"/>
                <w:highlight w:val="none"/>
              </w:rPr>
              <w:t>应当扣减的项目：</w:t>
            </w:r>
          </w:p>
          <w:p>
            <w:pPr>
              <w:numPr>
                <w:ilvl w:val="1"/>
                <w:numId w:val="29"/>
              </w:numPr>
              <w:spacing w:after="156" w:afterLines="50" w:line="300" w:lineRule="auto"/>
              <w:rPr>
                <w:rFonts w:cs="Arial"/>
                <w:szCs w:val="21"/>
                <w:highlight w:val="none"/>
              </w:rPr>
            </w:pPr>
            <w:r>
              <w:rPr>
                <w:rFonts w:hint="eastAsia" w:cs="Arial"/>
                <w:szCs w:val="21"/>
                <w:highlight w:val="none"/>
              </w:rPr>
              <w:t>所有暂列金额；</w:t>
            </w:r>
          </w:p>
          <w:p>
            <w:pPr>
              <w:numPr>
                <w:ilvl w:val="1"/>
                <w:numId w:val="29"/>
              </w:numPr>
              <w:spacing w:after="156" w:afterLines="50" w:line="300" w:lineRule="auto"/>
              <w:rPr>
                <w:rFonts w:cs="Arial"/>
                <w:szCs w:val="21"/>
                <w:highlight w:val="none"/>
              </w:rPr>
            </w:pPr>
            <w:r>
              <w:rPr>
                <w:rFonts w:hint="eastAsia" w:cs="Arial"/>
                <w:szCs w:val="21"/>
                <w:highlight w:val="none"/>
              </w:rPr>
              <w:t>所有暂估价；</w:t>
            </w:r>
          </w:p>
          <w:p>
            <w:pPr>
              <w:numPr>
                <w:ilvl w:val="1"/>
                <w:numId w:val="29"/>
              </w:numPr>
              <w:spacing w:after="156" w:afterLines="50" w:line="300" w:lineRule="auto"/>
              <w:rPr>
                <w:rFonts w:cs="Arial"/>
                <w:szCs w:val="21"/>
                <w:highlight w:val="none"/>
              </w:rPr>
            </w:pPr>
            <w:r>
              <w:rPr>
                <w:rFonts w:hint="eastAsia" w:cs="Arial"/>
                <w:szCs w:val="21"/>
                <w:highlight w:val="none"/>
              </w:rPr>
              <w:t>根据合同条款第15条应扣减的变更金额；</w:t>
            </w:r>
          </w:p>
          <w:p>
            <w:pPr>
              <w:numPr>
                <w:ilvl w:val="1"/>
                <w:numId w:val="29"/>
              </w:numPr>
              <w:spacing w:after="156" w:afterLines="50" w:line="300" w:lineRule="auto"/>
              <w:rPr>
                <w:rFonts w:cs="Arial"/>
                <w:szCs w:val="21"/>
                <w:highlight w:val="none"/>
              </w:rPr>
            </w:pPr>
            <w:r>
              <w:rPr>
                <w:rFonts w:hint="eastAsia" w:cs="Arial"/>
                <w:szCs w:val="21"/>
                <w:highlight w:val="none"/>
              </w:rPr>
              <w:t>根据合同条款第16条应扣减的价格调整（下调部分）；</w:t>
            </w:r>
          </w:p>
          <w:p>
            <w:pPr>
              <w:numPr>
                <w:ilvl w:val="1"/>
                <w:numId w:val="29"/>
              </w:numPr>
              <w:spacing w:after="156" w:afterLines="50" w:line="300" w:lineRule="auto"/>
              <w:rPr>
                <w:rFonts w:cs="Arial"/>
                <w:szCs w:val="21"/>
                <w:highlight w:val="none"/>
              </w:rPr>
            </w:pPr>
            <w:r>
              <w:rPr>
                <w:rFonts w:hint="eastAsia" w:cs="Arial"/>
                <w:szCs w:val="21"/>
                <w:highlight w:val="none"/>
              </w:rPr>
              <w:t>根据合同条款第23.4款应扣减的发包人索赔金额；</w:t>
            </w:r>
          </w:p>
          <w:p>
            <w:pPr>
              <w:numPr>
                <w:ilvl w:val="1"/>
                <w:numId w:val="29"/>
              </w:numPr>
              <w:spacing w:after="156" w:afterLines="50" w:line="300" w:lineRule="auto"/>
              <w:rPr>
                <w:rFonts w:cs="Arial"/>
                <w:szCs w:val="21"/>
                <w:highlight w:val="none"/>
              </w:rPr>
            </w:pPr>
            <w:r>
              <w:rPr>
                <w:rFonts w:hint="eastAsia" w:cs="Arial"/>
                <w:szCs w:val="21"/>
                <w:highlight w:val="none"/>
              </w:rPr>
              <w:t>甩项工程的合同价值（如果有）；</w:t>
            </w:r>
          </w:p>
          <w:p>
            <w:pPr>
              <w:numPr>
                <w:ilvl w:val="1"/>
                <w:numId w:val="29"/>
              </w:numPr>
              <w:spacing w:after="156" w:afterLines="50" w:line="300" w:lineRule="auto"/>
              <w:rPr>
                <w:rFonts w:cs="Arial"/>
                <w:szCs w:val="21"/>
                <w:highlight w:val="none"/>
              </w:rPr>
            </w:pPr>
            <w:r>
              <w:rPr>
                <w:rFonts w:hint="eastAsia" w:cs="Arial"/>
                <w:szCs w:val="21"/>
                <w:highlight w:val="none"/>
              </w:rPr>
              <w:t>根据合同约定发包人应扣减的其他金额。</w:t>
            </w:r>
          </w:p>
          <w:p>
            <w:pPr>
              <w:numPr>
                <w:ilvl w:val="0"/>
                <w:numId w:val="29"/>
              </w:numPr>
              <w:spacing w:after="156" w:afterLines="50" w:line="300" w:lineRule="auto"/>
              <w:rPr>
                <w:rFonts w:cs="Arial"/>
                <w:szCs w:val="21"/>
                <w:highlight w:val="none"/>
              </w:rPr>
            </w:pPr>
            <w:r>
              <w:rPr>
                <w:rFonts w:hint="eastAsia" w:cs="Arial"/>
                <w:szCs w:val="21"/>
                <w:highlight w:val="none"/>
              </w:rPr>
              <w:t>应当增加的项目：</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numPr>
                <w:ilvl w:val="1"/>
                <w:numId w:val="29"/>
              </w:numPr>
              <w:spacing w:after="156" w:afterLines="50" w:line="300" w:lineRule="auto"/>
              <w:rPr>
                <w:rFonts w:cs="Arial"/>
                <w:szCs w:val="21"/>
                <w:highlight w:val="none"/>
              </w:rPr>
            </w:pPr>
            <w:r>
              <w:rPr>
                <w:rFonts w:hint="eastAsia" w:cs="Arial"/>
                <w:szCs w:val="21"/>
                <w:highlight w:val="none"/>
              </w:rPr>
              <w:t>实际发生的暂列金额（包括计日工）；</w:t>
            </w:r>
          </w:p>
          <w:p>
            <w:pPr>
              <w:numPr>
                <w:ilvl w:val="1"/>
                <w:numId w:val="29"/>
              </w:numPr>
              <w:spacing w:after="156" w:afterLines="50" w:line="300" w:lineRule="auto"/>
              <w:rPr>
                <w:rFonts w:cs="Arial"/>
                <w:szCs w:val="21"/>
                <w:highlight w:val="none"/>
              </w:rPr>
            </w:pPr>
            <w:r>
              <w:rPr>
                <w:rFonts w:hint="eastAsia" w:cs="Arial"/>
                <w:szCs w:val="21"/>
                <w:highlight w:val="none"/>
              </w:rPr>
              <w:t>实际发生的暂估价；</w:t>
            </w:r>
          </w:p>
          <w:p>
            <w:pPr>
              <w:numPr>
                <w:ilvl w:val="1"/>
                <w:numId w:val="29"/>
              </w:numPr>
              <w:spacing w:after="156" w:afterLines="50" w:line="300" w:lineRule="auto"/>
              <w:rPr>
                <w:rFonts w:cs="Arial"/>
                <w:szCs w:val="21"/>
                <w:highlight w:val="none"/>
              </w:rPr>
            </w:pPr>
            <w:r>
              <w:rPr>
                <w:rFonts w:hint="eastAsia" w:cs="Arial"/>
                <w:szCs w:val="21"/>
                <w:highlight w:val="none"/>
              </w:rPr>
              <w:t>根据合同条款第15条应增加的变更金额；</w:t>
            </w:r>
          </w:p>
          <w:p>
            <w:pPr>
              <w:numPr>
                <w:ilvl w:val="1"/>
                <w:numId w:val="29"/>
              </w:numPr>
              <w:spacing w:after="156" w:afterLines="50" w:line="300" w:lineRule="auto"/>
              <w:rPr>
                <w:rFonts w:cs="Arial"/>
                <w:szCs w:val="21"/>
                <w:highlight w:val="none"/>
              </w:rPr>
            </w:pPr>
            <w:r>
              <w:rPr>
                <w:rFonts w:hint="eastAsia" w:cs="Arial"/>
                <w:szCs w:val="21"/>
                <w:highlight w:val="none"/>
              </w:rPr>
              <w:t>根据合同条款第16条应增加的价格调整（上调部分）；</w:t>
            </w:r>
          </w:p>
          <w:p>
            <w:pPr>
              <w:numPr>
                <w:ilvl w:val="1"/>
                <w:numId w:val="29"/>
              </w:numPr>
              <w:spacing w:after="156" w:afterLines="50" w:line="300" w:lineRule="auto"/>
              <w:rPr>
                <w:rFonts w:cs="Arial"/>
                <w:szCs w:val="21"/>
                <w:highlight w:val="none"/>
              </w:rPr>
            </w:pPr>
            <w:r>
              <w:rPr>
                <w:rFonts w:hint="eastAsia" w:cs="Arial"/>
                <w:szCs w:val="21"/>
                <w:highlight w:val="none"/>
              </w:rPr>
              <w:t>根据合同条款第23.2款应增加的承包人索赔金额；</w:t>
            </w:r>
          </w:p>
          <w:p>
            <w:pPr>
              <w:numPr>
                <w:ilvl w:val="1"/>
                <w:numId w:val="29"/>
              </w:numPr>
              <w:spacing w:after="156" w:afterLines="50" w:line="300" w:lineRule="auto"/>
              <w:rPr>
                <w:rFonts w:cs="Arial"/>
                <w:szCs w:val="21"/>
                <w:highlight w:val="none"/>
              </w:rPr>
            </w:pPr>
            <w:r>
              <w:rPr>
                <w:rFonts w:hint="eastAsia" w:cs="Arial"/>
                <w:szCs w:val="21"/>
                <w:highlight w:val="none"/>
              </w:rPr>
              <w:t>根据合同约定承包人应当得到的其他金额。</w:t>
            </w:r>
          </w:p>
          <w:p>
            <w:pPr>
              <w:spacing w:after="156" w:afterLines="50" w:line="300" w:lineRule="auto"/>
              <w:rPr>
                <w:rFonts w:cs="Arial"/>
                <w:szCs w:val="21"/>
                <w:highlight w:val="none"/>
              </w:rPr>
            </w:pPr>
            <w:r>
              <w:rPr>
                <w:rFonts w:hint="eastAsia" w:cs="Arial"/>
                <w:szCs w:val="21"/>
                <w:highlight w:val="none"/>
              </w:rPr>
              <w:t>（4）规费和税金差额部分。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4</w:t>
            </w:r>
            <w:r>
              <w:rPr>
                <w:rFonts w:cs="Arial"/>
                <w:szCs w:val="21"/>
                <w:highlight w:val="none"/>
              </w:rPr>
              <w:t>.</w:t>
            </w:r>
            <w:r>
              <w:rPr>
                <w:rFonts w:hint="eastAsia" w:cs="Arial"/>
                <w:szCs w:val="21"/>
                <w:highlight w:val="none"/>
              </w:rPr>
              <w:t>1.5</w:t>
            </w:r>
          </w:p>
        </w:tc>
        <w:tc>
          <w:tcPr>
            <w:tcW w:w="7364" w:type="dxa"/>
          </w:tcPr>
          <w:p>
            <w:pPr>
              <w:spacing w:after="156" w:afterLines="50" w:line="300" w:lineRule="auto"/>
              <w:rPr>
                <w:rFonts w:cs="Arial"/>
                <w:szCs w:val="21"/>
                <w:highlight w:val="none"/>
              </w:rPr>
            </w:pPr>
            <w:r>
              <w:rPr>
                <w:rFonts w:hint="eastAsia" w:cs="Arial"/>
                <w:szCs w:val="21"/>
                <w:highlight w:val="none"/>
              </w:rPr>
              <w:t>最终结清申请单的应付金额应当按下列内容梳理：</w:t>
            </w:r>
          </w:p>
          <w:p>
            <w:pPr>
              <w:numPr>
                <w:ilvl w:val="0"/>
                <w:numId w:val="30"/>
              </w:numPr>
              <w:spacing w:after="156" w:afterLines="50" w:line="300" w:lineRule="auto"/>
              <w:rPr>
                <w:rFonts w:cs="Arial"/>
                <w:szCs w:val="21"/>
                <w:highlight w:val="none"/>
              </w:rPr>
            </w:pPr>
            <w:r>
              <w:rPr>
                <w:rFonts w:hint="eastAsia" w:cs="Arial"/>
                <w:szCs w:val="21"/>
                <w:highlight w:val="none"/>
              </w:rPr>
              <w:t>按合同约定扣留的质量保证金</w:t>
            </w:r>
          </w:p>
          <w:p>
            <w:pPr>
              <w:numPr>
                <w:ilvl w:val="0"/>
                <w:numId w:val="30"/>
              </w:numPr>
              <w:spacing w:after="156" w:afterLines="50" w:line="300" w:lineRule="auto"/>
              <w:rPr>
                <w:rFonts w:cs="Arial"/>
                <w:szCs w:val="21"/>
                <w:highlight w:val="none"/>
              </w:rPr>
            </w:pPr>
            <w:r>
              <w:rPr>
                <w:rFonts w:hint="eastAsia" w:cs="Arial"/>
                <w:szCs w:val="21"/>
                <w:highlight w:val="none"/>
              </w:rPr>
              <w:t>应当扣除的金额：</w:t>
            </w:r>
          </w:p>
          <w:p>
            <w:pPr>
              <w:numPr>
                <w:ilvl w:val="1"/>
                <w:numId w:val="30"/>
              </w:numPr>
              <w:spacing w:after="156" w:afterLines="50" w:line="300" w:lineRule="auto"/>
              <w:rPr>
                <w:rFonts w:cs="Arial"/>
                <w:szCs w:val="21"/>
                <w:highlight w:val="none"/>
              </w:rPr>
            </w:pPr>
            <w:r>
              <w:rPr>
                <w:rFonts w:hint="eastAsia" w:cs="Arial"/>
                <w:szCs w:val="21"/>
                <w:highlight w:val="none"/>
              </w:rPr>
              <w:t>按通用合同条款17.4.3项约定扣留的质量保证金；</w:t>
            </w:r>
          </w:p>
          <w:p>
            <w:pPr>
              <w:numPr>
                <w:ilvl w:val="1"/>
                <w:numId w:val="30"/>
              </w:numPr>
              <w:spacing w:after="156" w:afterLines="50" w:line="300" w:lineRule="auto"/>
              <w:rPr>
                <w:rFonts w:cs="Arial"/>
                <w:szCs w:val="21"/>
                <w:highlight w:val="none"/>
              </w:rPr>
            </w:pPr>
            <w:r>
              <w:rPr>
                <w:rFonts w:hint="eastAsia" w:cs="Arial"/>
                <w:szCs w:val="21"/>
                <w:highlight w:val="none"/>
              </w:rPr>
              <w:t>按通用合同条款19.2.4项约定扣除的质量保证金；</w:t>
            </w:r>
          </w:p>
          <w:p>
            <w:pPr>
              <w:numPr>
                <w:ilvl w:val="1"/>
                <w:numId w:val="30"/>
              </w:numPr>
              <w:spacing w:after="156" w:afterLines="50" w:line="300" w:lineRule="auto"/>
              <w:rPr>
                <w:rFonts w:cs="Arial"/>
                <w:szCs w:val="21"/>
                <w:highlight w:val="none"/>
              </w:rPr>
            </w:pPr>
            <w:r>
              <w:rPr>
                <w:rFonts w:hint="eastAsia" w:cs="Arial"/>
                <w:szCs w:val="21"/>
                <w:highlight w:val="none"/>
              </w:rPr>
              <w:t>根据合同条款第23.4款应扣减的缺陷责任期内发生的发包人索赔金额；</w:t>
            </w:r>
          </w:p>
          <w:p>
            <w:pPr>
              <w:numPr>
                <w:ilvl w:val="1"/>
                <w:numId w:val="30"/>
              </w:numPr>
              <w:spacing w:after="156" w:afterLines="50" w:line="300" w:lineRule="auto"/>
              <w:rPr>
                <w:rFonts w:cs="Arial"/>
                <w:szCs w:val="21"/>
                <w:highlight w:val="none"/>
              </w:rPr>
            </w:pPr>
            <w:r>
              <w:rPr>
                <w:rFonts w:hint="eastAsia" w:cs="Arial"/>
                <w:szCs w:val="21"/>
                <w:highlight w:val="none"/>
              </w:rPr>
              <w:t>根据合同约定应扣减的其他金额。</w:t>
            </w:r>
          </w:p>
          <w:p>
            <w:pPr>
              <w:numPr>
                <w:ilvl w:val="0"/>
                <w:numId w:val="30"/>
              </w:numPr>
              <w:spacing w:after="156" w:afterLines="50" w:line="300" w:lineRule="auto"/>
              <w:rPr>
                <w:rFonts w:cs="Arial"/>
                <w:szCs w:val="21"/>
                <w:highlight w:val="none"/>
              </w:rPr>
            </w:pPr>
            <w:r>
              <w:rPr>
                <w:rFonts w:hint="eastAsia" w:cs="Arial"/>
                <w:szCs w:val="21"/>
                <w:highlight w:val="none"/>
              </w:rPr>
              <w:t>应当增加的金额：</w:t>
            </w:r>
          </w:p>
          <w:p>
            <w:pPr>
              <w:numPr>
                <w:ilvl w:val="1"/>
                <w:numId w:val="30"/>
              </w:numPr>
              <w:spacing w:after="156" w:afterLines="50" w:line="300" w:lineRule="auto"/>
              <w:rPr>
                <w:rFonts w:cs="Arial"/>
                <w:szCs w:val="21"/>
                <w:highlight w:val="none"/>
              </w:rPr>
            </w:pPr>
            <w:r>
              <w:rPr>
                <w:rFonts w:hint="eastAsia" w:cs="Arial"/>
                <w:szCs w:val="21"/>
                <w:highlight w:val="none"/>
              </w:rPr>
              <w:t>已完且符合合同约定的甩项工程的价值；</w:t>
            </w:r>
          </w:p>
          <w:p>
            <w:pPr>
              <w:numPr>
                <w:ilvl w:val="1"/>
                <w:numId w:val="30"/>
              </w:numPr>
              <w:spacing w:after="156" w:afterLines="50" w:line="300" w:lineRule="auto"/>
              <w:rPr>
                <w:rFonts w:cs="Arial"/>
                <w:szCs w:val="21"/>
                <w:highlight w:val="none"/>
              </w:rPr>
            </w:pPr>
            <w:r>
              <w:rPr>
                <w:rFonts w:hint="eastAsia" w:cs="Arial"/>
                <w:szCs w:val="21"/>
                <w:highlight w:val="none"/>
              </w:rPr>
              <w:t>按通用合同条款19.2.3项约定由承包人修复的发包人原因造成的缺陷的价值；</w:t>
            </w:r>
          </w:p>
          <w:p>
            <w:pPr>
              <w:numPr>
                <w:ilvl w:val="1"/>
                <w:numId w:val="30"/>
              </w:numPr>
              <w:spacing w:after="156" w:afterLines="50" w:line="300" w:lineRule="auto"/>
              <w:rPr>
                <w:rFonts w:cs="Arial"/>
                <w:szCs w:val="21"/>
                <w:highlight w:val="none"/>
              </w:rPr>
            </w:pPr>
            <w:r>
              <w:rPr>
                <w:rFonts w:hint="eastAsia" w:cs="Arial"/>
                <w:szCs w:val="21"/>
                <w:highlight w:val="none"/>
              </w:rPr>
              <w:t>根据合同条款第23.2款应增加的缺陷责任期内发生的承包人索赔金额；</w:t>
            </w:r>
          </w:p>
          <w:p>
            <w:pPr>
              <w:numPr>
                <w:ilvl w:val="1"/>
                <w:numId w:val="30"/>
              </w:numPr>
              <w:spacing w:after="156" w:afterLines="50" w:line="300" w:lineRule="auto"/>
              <w:rPr>
                <w:rFonts w:cs="Arial"/>
                <w:szCs w:val="21"/>
                <w:highlight w:val="none"/>
              </w:rPr>
            </w:pPr>
            <w:r>
              <w:rPr>
                <w:rFonts w:hint="eastAsia" w:cs="Arial"/>
                <w:szCs w:val="21"/>
                <w:highlight w:val="none"/>
              </w:rPr>
              <w:t>根据合同约定承包人应当得到的其他金额。</w:t>
            </w:r>
          </w:p>
          <w:p>
            <w:pPr>
              <w:spacing w:after="156" w:afterLines="50" w:line="300" w:lineRule="auto"/>
              <w:rPr>
                <w:rFonts w:cs="Arial"/>
                <w:szCs w:val="21"/>
                <w:highlight w:val="none"/>
              </w:rPr>
            </w:pPr>
            <w:r>
              <w:rPr>
                <w:rFonts w:hint="eastAsia" w:cs="Arial"/>
                <w:szCs w:val="21"/>
                <w:highlight w:val="none"/>
              </w:rPr>
              <w:t>最终结清应当由发包人和承包人按照“多退少补”的原则办理。</w:t>
            </w:r>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cs="Arial"/>
                <w:szCs w:val="21"/>
                <w:highlight w:val="none"/>
              </w:rPr>
              <w:t>1</w:t>
            </w:r>
            <w:r>
              <w:rPr>
                <w:rFonts w:hint="eastAsia" w:cs="Arial"/>
                <w:szCs w:val="21"/>
                <w:highlight w:val="none"/>
              </w:rPr>
              <w:t>4</w:t>
            </w:r>
            <w:r>
              <w:rPr>
                <w:rFonts w:cs="Arial"/>
                <w:szCs w:val="21"/>
                <w:highlight w:val="none"/>
              </w:rPr>
              <w:t>.</w:t>
            </w:r>
            <w:r>
              <w:rPr>
                <w:rFonts w:hint="eastAsia" w:cs="Arial"/>
                <w:szCs w:val="21"/>
                <w:highlight w:val="none"/>
              </w:rPr>
              <w:t>1.6</w:t>
            </w:r>
          </w:p>
        </w:tc>
        <w:tc>
          <w:tcPr>
            <w:tcW w:w="7364" w:type="dxa"/>
          </w:tcPr>
          <w:p>
            <w:pPr>
              <w:spacing w:after="156" w:afterLines="50" w:line="300" w:lineRule="auto"/>
              <w:rPr>
                <w:rFonts w:cs="Arial"/>
                <w:szCs w:val="21"/>
                <w:highlight w:val="none"/>
              </w:rPr>
            </w:pPr>
            <w:r>
              <w:rPr>
                <w:rFonts w:hint="eastAsia" w:cs="Arial"/>
                <w:szCs w:val="21"/>
                <w:highlight w:val="none"/>
              </w:rPr>
              <w:t>竣工付款申请单和最终结清申请单应当比照进度付款申请单的格式准备，并提供相关证明材料。</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69" w:name="_Toc263259830"/>
            <w:r>
              <w:rPr>
                <w:rFonts w:hint="eastAsia" w:cs="Arial"/>
                <w:b/>
                <w:bCs/>
                <w:szCs w:val="21"/>
                <w:highlight w:val="none"/>
              </w:rPr>
              <w:t>14.2</w:t>
            </w:r>
            <w:bookmarkEnd w:id="2469"/>
          </w:p>
        </w:tc>
        <w:tc>
          <w:tcPr>
            <w:tcW w:w="7364" w:type="dxa"/>
          </w:tcPr>
          <w:p>
            <w:pPr>
              <w:spacing w:after="156" w:afterLines="50" w:line="300" w:lineRule="auto"/>
              <w:outlineLvl w:val="3"/>
              <w:rPr>
                <w:rFonts w:cs="Arial"/>
                <w:b/>
                <w:bCs/>
                <w:szCs w:val="21"/>
                <w:highlight w:val="none"/>
              </w:rPr>
            </w:pPr>
            <w:bookmarkStart w:id="2470" w:name="_Toc263259831"/>
            <w:r>
              <w:rPr>
                <w:rFonts w:hint="eastAsia" w:cs="Arial"/>
                <w:b/>
                <w:bCs/>
                <w:szCs w:val="21"/>
                <w:highlight w:val="none"/>
              </w:rPr>
              <w:t>其他约定</w:t>
            </w:r>
            <w:bookmarkEnd w:id="2470"/>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pStyle w:val="18"/>
              <w:rPr>
                <w:highlight w:val="none"/>
              </w:rPr>
            </w:pPr>
            <w:r>
              <w:rPr>
                <w:rFonts w:hint="eastAsia"/>
                <w:highlight w:val="none"/>
              </w:rPr>
              <w:t>1、材料和设备等样板费用由承包人自行承担，包含于报价中。</w:t>
            </w:r>
          </w:p>
          <w:p>
            <w:pPr>
              <w:pStyle w:val="18"/>
              <w:rPr>
                <w:highlight w:val="none"/>
              </w:rPr>
            </w:pPr>
            <w:r>
              <w:rPr>
                <w:rFonts w:hint="eastAsia"/>
                <w:highlight w:val="none"/>
              </w:rPr>
              <w:t>2、需要进行二次深化设计的，设计费用考虑在工程量清单位分部分项报价中，发包人不另行支付深化设计费。</w:t>
            </w:r>
          </w:p>
        </w:tc>
      </w:tr>
      <w:tr>
        <w:tblPrEx>
          <w:tblCellMar>
            <w:top w:w="0" w:type="dxa"/>
            <w:left w:w="108" w:type="dxa"/>
            <w:bottom w:w="0" w:type="dxa"/>
            <w:right w:w="108" w:type="dxa"/>
          </w:tblCellMar>
        </w:tblPrEx>
        <w:tc>
          <w:tcPr>
            <w:tcW w:w="8420" w:type="dxa"/>
            <w:gridSpan w:val="2"/>
          </w:tcPr>
          <w:p>
            <w:pPr>
              <w:pStyle w:val="4"/>
              <w:rPr>
                <w:rFonts w:ascii="宋体" w:hAnsi="宋体" w:cs="Arial"/>
                <w:sz w:val="21"/>
                <w:szCs w:val="21"/>
                <w:highlight w:val="none"/>
              </w:rPr>
            </w:pPr>
            <w:bookmarkStart w:id="2471" w:name="_Toc434331548"/>
            <w:bookmarkStart w:id="2472" w:name="_Toc342296561"/>
            <w:bookmarkStart w:id="2473" w:name="_Toc948"/>
            <w:bookmarkStart w:id="2474" w:name="_Toc241459804"/>
            <w:r>
              <w:rPr>
                <w:rFonts w:hint="eastAsia" w:ascii="宋体" w:hAnsi="宋体" w:cs="Arial"/>
                <w:sz w:val="21"/>
                <w:szCs w:val="21"/>
                <w:highlight w:val="none"/>
              </w:rPr>
              <w:t>15. 竣工验收和工程移交</w:t>
            </w:r>
            <w:bookmarkEnd w:id="2471"/>
            <w:bookmarkEnd w:id="2472"/>
            <w:bookmarkEnd w:id="2473"/>
            <w:bookmarkEnd w:id="2474"/>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75" w:name="_Toc263259833"/>
            <w:r>
              <w:rPr>
                <w:rFonts w:hint="eastAsia" w:cs="Arial"/>
                <w:b/>
                <w:bCs/>
                <w:szCs w:val="21"/>
                <w:highlight w:val="none"/>
              </w:rPr>
              <w:t>15.1</w:t>
            </w:r>
            <w:bookmarkEnd w:id="2475"/>
          </w:p>
        </w:tc>
        <w:tc>
          <w:tcPr>
            <w:tcW w:w="7364" w:type="dxa"/>
          </w:tcPr>
          <w:p>
            <w:pPr>
              <w:spacing w:after="156" w:afterLines="50" w:line="300" w:lineRule="auto"/>
              <w:outlineLvl w:val="3"/>
              <w:rPr>
                <w:rFonts w:cs="Arial"/>
                <w:b/>
                <w:bCs/>
                <w:szCs w:val="21"/>
                <w:highlight w:val="none"/>
              </w:rPr>
            </w:pPr>
            <w:bookmarkStart w:id="2476" w:name="_Toc263259834"/>
            <w:r>
              <w:rPr>
                <w:rFonts w:hint="eastAsia" w:cs="Arial"/>
                <w:b/>
                <w:bCs/>
                <w:szCs w:val="21"/>
                <w:highlight w:val="none"/>
              </w:rPr>
              <w:t>竣工验收前的清理</w:t>
            </w:r>
            <w:bookmarkEnd w:id="2476"/>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r>
              <w:rPr>
                <w:rFonts w:hint="eastAsia" w:cs="Arial"/>
                <w:szCs w:val="21"/>
                <w:highlight w:val="none"/>
              </w:rPr>
              <w:t>15.1.1</w:t>
            </w:r>
          </w:p>
        </w:tc>
        <w:tc>
          <w:tcPr>
            <w:tcW w:w="7364" w:type="dxa"/>
          </w:tcPr>
          <w:p>
            <w:pPr>
              <w:spacing w:after="156" w:afterLines="50" w:line="300" w:lineRule="auto"/>
              <w:rPr>
                <w:rFonts w:cs="Arial"/>
                <w:szCs w:val="21"/>
                <w:highlight w:val="none"/>
              </w:rPr>
            </w:pPr>
            <w:r>
              <w:rPr>
                <w:rFonts w:hint="eastAsia" w:cs="Arial"/>
                <w:szCs w:val="21"/>
                <w:highlight w:val="none"/>
              </w:rPr>
              <w:t>在向监理人提交竣工验收申请报告前，承包人应当完成竣工验收前的清理工作，包括但不限于：</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p>
        </w:tc>
        <w:tc>
          <w:tcPr>
            <w:tcW w:w="7364" w:type="dxa"/>
          </w:tcPr>
          <w:p>
            <w:pPr>
              <w:numPr>
                <w:ilvl w:val="0"/>
                <w:numId w:val="31"/>
              </w:numPr>
              <w:spacing w:after="156" w:afterLines="50" w:line="300" w:lineRule="auto"/>
              <w:rPr>
                <w:szCs w:val="21"/>
                <w:highlight w:val="none"/>
              </w:rPr>
            </w:pPr>
            <w:r>
              <w:rPr>
                <w:rFonts w:hint="eastAsia"/>
                <w:szCs w:val="21"/>
                <w:highlight w:val="none"/>
              </w:rPr>
              <w:t>从永久工程内清除所有剩余材料、杂物、垃圾等等；</w:t>
            </w:r>
          </w:p>
          <w:p>
            <w:pPr>
              <w:numPr>
                <w:ilvl w:val="0"/>
                <w:numId w:val="31"/>
              </w:numPr>
              <w:spacing w:after="156" w:afterLines="50" w:line="300" w:lineRule="auto"/>
              <w:rPr>
                <w:szCs w:val="21"/>
                <w:highlight w:val="none"/>
              </w:rPr>
            </w:pPr>
            <w:r>
              <w:rPr>
                <w:rFonts w:hint="eastAsia"/>
                <w:szCs w:val="21"/>
                <w:highlight w:val="none"/>
              </w:rPr>
              <w:t>清洗工程的所有地面、墙面、楼面、路面等表面；</w:t>
            </w:r>
          </w:p>
          <w:p>
            <w:pPr>
              <w:numPr>
                <w:ilvl w:val="0"/>
                <w:numId w:val="31"/>
              </w:numPr>
              <w:spacing w:after="156" w:afterLines="50" w:line="300" w:lineRule="auto"/>
              <w:rPr>
                <w:szCs w:val="21"/>
                <w:highlight w:val="none"/>
              </w:rPr>
            </w:pPr>
            <w:r>
              <w:rPr>
                <w:rFonts w:hint="eastAsia"/>
                <w:szCs w:val="21"/>
                <w:highlight w:val="none"/>
              </w:rPr>
              <w:t>清洗和擦洗所有玻璃、磁砖、石材和所有金属面；</w:t>
            </w:r>
          </w:p>
          <w:p>
            <w:pPr>
              <w:numPr>
                <w:ilvl w:val="0"/>
                <w:numId w:val="31"/>
              </w:numPr>
              <w:spacing w:after="156" w:afterLines="50" w:line="300" w:lineRule="auto"/>
              <w:rPr>
                <w:szCs w:val="21"/>
                <w:highlight w:val="none"/>
              </w:rPr>
            </w:pPr>
            <w:r>
              <w:rPr>
                <w:rFonts w:hint="eastAsia"/>
                <w:szCs w:val="21"/>
                <w:highlight w:val="none"/>
              </w:rPr>
              <w:t>修缮所有损坏、清除所有污迹、替换所有需更换的材料；</w:t>
            </w:r>
          </w:p>
          <w:p>
            <w:pPr>
              <w:numPr>
                <w:ilvl w:val="0"/>
                <w:numId w:val="31"/>
              </w:numPr>
              <w:spacing w:after="156" w:afterLines="50" w:line="300" w:lineRule="auto"/>
              <w:rPr>
                <w:szCs w:val="21"/>
                <w:highlight w:val="none"/>
              </w:rPr>
            </w:pPr>
            <w:r>
              <w:rPr>
                <w:rFonts w:hint="eastAsia"/>
                <w:szCs w:val="21"/>
                <w:highlight w:val="none"/>
              </w:rPr>
              <w:t>所有表面完成约定的装修和装饰；</w:t>
            </w:r>
          </w:p>
          <w:p>
            <w:pPr>
              <w:numPr>
                <w:ilvl w:val="0"/>
                <w:numId w:val="31"/>
              </w:numPr>
              <w:spacing w:after="156" w:afterLines="50" w:line="300" w:lineRule="auto"/>
              <w:rPr>
                <w:szCs w:val="21"/>
                <w:highlight w:val="none"/>
              </w:rPr>
            </w:pPr>
            <w:r>
              <w:rPr>
                <w:rFonts w:hint="eastAsia"/>
                <w:szCs w:val="21"/>
                <w:highlight w:val="none"/>
              </w:rPr>
              <w:t>检查和调试所有的门、窗、抽屉等以确保他们开启的顺畅；</w:t>
            </w:r>
          </w:p>
          <w:p>
            <w:pPr>
              <w:numPr>
                <w:ilvl w:val="0"/>
                <w:numId w:val="31"/>
              </w:numPr>
              <w:spacing w:after="156" w:afterLines="50" w:line="300" w:lineRule="auto"/>
              <w:rPr>
                <w:szCs w:val="21"/>
                <w:highlight w:val="none"/>
              </w:rPr>
            </w:pPr>
            <w:r>
              <w:rPr>
                <w:rFonts w:hint="eastAsia"/>
                <w:szCs w:val="21"/>
                <w:highlight w:val="none"/>
              </w:rPr>
              <w:t>检查和调试所有的五金件并上油；</w:t>
            </w:r>
          </w:p>
          <w:p>
            <w:pPr>
              <w:numPr>
                <w:ilvl w:val="0"/>
                <w:numId w:val="31"/>
              </w:numPr>
              <w:spacing w:after="156" w:afterLines="50" w:line="300" w:lineRule="auto"/>
              <w:rPr>
                <w:szCs w:val="21"/>
                <w:highlight w:val="none"/>
              </w:rPr>
            </w:pPr>
            <w:r>
              <w:rPr>
                <w:rFonts w:hint="eastAsia"/>
                <w:szCs w:val="21"/>
                <w:highlight w:val="none"/>
              </w:rPr>
              <w:t>检查、测试和确保所有服务系统、设施和设备达到良好的运行状态和效果；</w:t>
            </w:r>
          </w:p>
          <w:p>
            <w:pPr>
              <w:numPr>
                <w:ilvl w:val="0"/>
                <w:numId w:val="31"/>
              </w:numPr>
              <w:spacing w:after="156" w:afterLines="50" w:line="300" w:lineRule="auto"/>
              <w:rPr>
                <w:rFonts w:cs="Arial"/>
                <w:szCs w:val="21"/>
                <w:highlight w:val="none"/>
              </w:rPr>
            </w:pPr>
            <w:r>
              <w:rPr>
                <w:rFonts w:hint="eastAsia"/>
                <w:szCs w:val="21"/>
                <w:highlight w:val="none"/>
              </w:rPr>
              <w:t>所有钥匙（如果有）贴上标签并固定到钥匙排上随时可以交给监理人。</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15.1.2</w:t>
            </w:r>
          </w:p>
        </w:tc>
        <w:tc>
          <w:tcPr>
            <w:tcW w:w="7364" w:type="dxa"/>
          </w:tcPr>
          <w:p>
            <w:pPr>
              <w:spacing w:after="156" w:afterLines="50" w:line="300" w:lineRule="auto"/>
              <w:rPr>
                <w:szCs w:val="21"/>
                <w:highlight w:val="none"/>
              </w:rPr>
            </w:pPr>
            <w:r>
              <w:rPr>
                <w:rFonts w:hint="eastAsia"/>
                <w:szCs w:val="21"/>
                <w:highlight w:val="none"/>
              </w:rPr>
              <w:t>清理工作所需费用由承包人承担。</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77" w:name="_Toc263259835"/>
            <w:r>
              <w:rPr>
                <w:rFonts w:hint="eastAsia" w:cs="Arial"/>
                <w:b/>
                <w:bCs/>
                <w:szCs w:val="21"/>
                <w:highlight w:val="none"/>
              </w:rPr>
              <w:t>15.2</w:t>
            </w:r>
            <w:bookmarkEnd w:id="2477"/>
          </w:p>
        </w:tc>
        <w:tc>
          <w:tcPr>
            <w:tcW w:w="7364" w:type="dxa"/>
          </w:tcPr>
          <w:p>
            <w:pPr>
              <w:spacing w:after="156" w:afterLines="50" w:line="300" w:lineRule="auto"/>
              <w:outlineLvl w:val="3"/>
              <w:rPr>
                <w:rFonts w:cs="Arial"/>
                <w:b/>
                <w:bCs/>
                <w:szCs w:val="21"/>
                <w:highlight w:val="none"/>
              </w:rPr>
            </w:pPr>
            <w:bookmarkStart w:id="2478" w:name="_Toc263259836"/>
            <w:r>
              <w:rPr>
                <w:rFonts w:hint="eastAsia" w:cs="Arial"/>
                <w:b/>
                <w:bCs/>
                <w:szCs w:val="21"/>
                <w:highlight w:val="none"/>
              </w:rPr>
              <w:t>竣工验收申请报告</w:t>
            </w:r>
            <w:bookmarkEnd w:id="2478"/>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15.2.1</w:t>
            </w:r>
          </w:p>
        </w:tc>
        <w:tc>
          <w:tcPr>
            <w:tcW w:w="7364" w:type="dxa"/>
          </w:tcPr>
          <w:p>
            <w:pPr>
              <w:spacing w:after="156" w:afterLines="50" w:line="300" w:lineRule="auto"/>
              <w:rPr>
                <w:szCs w:val="21"/>
                <w:highlight w:val="none"/>
              </w:rPr>
            </w:pPr>
            <w:r>
              <w:rPr>
                <w:rFonts w:hint="eastAsia" w:cs="Arial"/>
                <w:szCs w:val="21"/>
                <w:highlight w:val="none"/>
              </w:rPr>
              <w:t>竣工验收申请报告，也称竣工验收报告，是承包人完成合同约定的工作内容后，按照国家有关施工质量验收标准的规定，经其自行检查，证明已经完成合同工作内容并符合合同约定，达到竣工验收标准，而向监理人或发包人提交的请求发包人组织进行合同工程竣工验收的一份</w:t>
            </w:r>
            <w:r>
              <w:rPr>
                <w:rFonts w:hint="eastAsia"/>
                <w:szCs w:val="21"/>
                <w:highlight w:val="none"/>
              </w:rPr>
              <w:t>书面申请函，合同约定的竣工验收资料和其他文件一般作为竣工验收申请报告的附件，是竣工验收申请报告的组成部分。</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15.2.2</w:t>
            </w:r>
          </w:p>
        </w:tc>
        <w:tc>
          <w:tcPr>
            <w:tcW w:w="7364" w:type="dxa"/>
          </w:tcPr>
          <w:p>
            <w:pPr>
              <w:spacing w:after="156" w:afterLines="50" w:line="300" w:lineRule="auto"/>
              <w:rPr>
                <w:rFonts w:cs="Arial"/>
                <w:szCs w:val="21"/>
                <w:highlight w:val="none"/>
              </w:rPr>
            </w:pPr>
            <w:r>
              <w:rPr>
                <w:rFonts w:hint="eastAsia" w:cs="Arial"/>
                <w:szCs w:val="21"/>
                <w:highlight w:val="none"/>
              </w:rPr>
              <w:t>竣工验收申请报告一般应当包括工程概况说明，承包范围，分包工程情况，主要材料、设备供应情况，采用的主要施工方法，新材料、新技术和新工艺采用情况，自检质量情况等的说明。竣工验收申请报告的格式和应当包括的内容应事先经过监理人的审批。</w:t>
            </w:r>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sz w:val="21"/>
                <w:szCs w:val="21"/>
                <w:highlight w:val="none"/>
              </w:rPr>
            </w:pPr>
            <w:r>
              <w:rPr>
                <w:rFonts w:hint="eastAsia" w:hAnsi="宋体" w:cs="Arial"/>
                <w:sz w:val="21"/>
                <w:szCs w:val="21"/>
                <w:highlight w:val="none"/>
              </w:rPr>
              <w:t>15.2.3</w:t>
            </w:r>
          </w:p>
        </w:tc>
        <w:tc>
          <w:tcPr>
            <w:tcW w:w="7364" w:type="dxa"/>
          </w:tcPr>
          <w:p>
            <w:pPr>
              <w:spacing w:after="156" w:afterLines="50" w:line="300" w:lineRule="auto"/>
              <w:rPr>
                <w:szCs w:val="21"/>
                <w:highlight w:val="none"/>
              </w:rPr>
            </w:pPr>
            <w:r>
              <w:rPr>
                <w:rFonts w:hint="eastAsia"/>
                <w:szCs w:val="21"/>
                <w:highlight w:val="none"/>
              </w:rPr>
              <w:t>竣工验收申请报告应当按通用合同条款第18.2款附上下列内容：</w:t>
            </w:r>
          </w:p>
          <w:p>
            <w:pPr>
              <w:numPr>
                <w:ilvl w:val="0"/>
                <w:numId w:val="32"/>
              </w:numPr>
              <w:spacing w:after="156" w:afterLines="50" w:line="300" w:lineRule="auto"/>
              <w:rPr>
                <w:szCs w:val="21"/>
                <w:highlight w:val="none"/>
              </w:rPr>
            </w:pPr>
            <w:r>
              <w:rPr>
                <w:rFonts w:hint="eastAsia"/>
                <w:szCs w:val="21"/>
                <w:highlight w:val="none"/>
              </w:rPr>
              <w:t>承包人的自行检查和评定记录文件，即除监理人同意列入缺陷责任期内完成的尾工（甩项）工程和缺陷修补工作外，合同范围内的全部单位工程以及有关工作，包括合同要求的试验、试运行以及检验和验收均已完成，并符合合同要求；</w:t>
            </w:r>
          </w:p>
          <w:p>
            <w:pPr>
              <w:numPr>
                <w:ilvl w:val="0"/>
                <w:numId w:val="32"/>
              </w:numPr>
              <w:spacing w:after="156" w:afterLines="50" w:line="300" w:lineRule="auto"/>
              <w:rPr>
                <w:szCs w:val="21"/>
                <w:highlight w:val="none"/>
              </w:rPr>
            </w:pPr>
            <w:r>
              <w:rPr>
                <w:rFonts w:hint="eastAsia"/>
                <w:szCs w:val="21"/>
                <w:highlight w:val="none"/>
              </w:rPr>
              <w:t xml:space="preserve">按专用合同条款第18.2（2）目约定的内容和份数整理的符合要求的竣工资料； </w:t>
            </w:r>
          </w:p>
          <w:p>
            <w:pPr>
              <w:numPr>
                <w:ilvl w:val="0"/>
                <w:numId w:val="32"/>
              </w:numPr>
              <w:spacing w:after="156" w:afterLines="50" w:line="300" w:lineRule="auto"/>
              <w:rPr>
                <w:szCs w:val="21"/>
                <w:highlight w:val="none"/>
              </w:rPr>
            </w:pPr>
            <w:r>
              <w:rPr>
                <w:rFonts w:hint="eastAsia"/>
                <w:szCs w:val="21"/>
                <w:highlight w:val="none"/>
              </w:rPr>
              <w:t>按监理人的要求编制了在缺陷责任期内完成的尾工（甩项）工程和缺陷修补工作清单以及相应施工计划；</w:t>
            </w:r>
          </w:p>
          <w:p>
            <w:pPr>
              <w:numPr>
                <w:ilvl w:val="0"/>
                <w:numId w:val="32"/>
              </w:numPr>
              <w:spacing w:after="156" w:afterLines="50" w:line="300" w:lineRule="auto"/>
              <w:rPr>
                <w:szCs w:val="21"/>
                <w:highlight w:val="none"/>
              </w:rPr>
            </w:pPr>
            <w:r>
              <w:rPr>
                <w:rFonts w:hint="eastAsia"/>
                <w:szCs w:val="21"/>
                <w:highlight w:val="none"/>
              </w:rPr>
              <w:t>监理人要求在竣工验收前应完成的其他工作的证明材料；</w:t>
            </w:r>
          </w:p>
          <w:p>
            <w:pPr>
              <w:numPr>
                <w:ilvl w:val="0"/>
                <w:numId w:val="32"/>
              </w:numPr>
              <w:spacing w:after="156" w:afterLines="50" w:line="300" w:lineRule="auto"/>
              <w:rPr>
                <w:szCs w:val="21"/>
                <w:highlight w:val="none"/>
              </w:rPr>
            </w:pPr>
            <w:r>
              <w:rPr>
                <w:rFonts w:hint="eastAsia"/>
                <w:szCs w:val="21"/>
                <w:highlight w:val="none"/>
              </w:rPr>
              <w:t>监理人要求提交的竣工验收资料清单；</w:t>
            </w:r>
          </w:p>
          <w:p>
            <w:pPr>
              <w:numPr>
                <w:ilvl w:val="0"/>
                <w:numId w:val="32"/>
              </w:numPr>
              <w:spacing w:after="156" w:afterLines="50" w:line="300" w:lineRule="auto"/>
              <w:rPr>
                <w:szCs w:val="21"/>
                <w:highlight w:val="none"/>
              </w:rPr>
            </w:pPr>
            <w:r>
              <w:rPr>
                <w:rFonts w:hint="eastAsia"/>
                <w:szCs w:val="21"/>
                <w:highlight w:val="none"/>
              </w:rPr>
              <w:t>通用合同条款第18.4.1项约定的单位工程竣工验收成果和结论文件（如果有）；</w:t>
            </w:r>
          </w:p>
          <w:p>
            <w:pPr>
              <w:numPr>
                <w:ilvl w:val="0"/>
                <w:numId w:val="32"/>
              </w:numPr>
              <w:spacing w:after="156" w:afterLines="50" w:line="300" w:lineRule="auto"/>
              <w:rPr>
                <w:rFonts w:cs="Arial"/>
                <w:szCs w:val="21"/>
                <w:highlight w:val="none"/>
              </w:rPr>
            </w:pPr>
            <w:r>
              <w:rPr>
                <w:rFonts w:hint="eastAsia"/>
                <w:szCs w:val="21"/>
                <w:highlight w:val="none"/>
              </w:rPr>
              <w:t>专用合同条款第19.7款约定的质量保修书（此前已经提交的不再提交）；</w:t>
            </w:r>
          </w:p>
          <w:p>
            <w:pPr>
              <w:numPr>
                <w:ilvl w:val="0"/>
                <w:numId w:val="32"/>
              </w:numPr>
              <w:spacing w:after="156" w:afterLines="50" w:line="300" w:lineRule="auto"/>
              <w:rPr>
                <w:rFonts w:cs="Arial"/>
                <w:szCs w:val="21"/>
                <w:highlight w:val="none"/>
              </w:rPr>
            </w:pPr>
            <w:r>
              <w:rPr>
                <w:rFonts w:hint="eastAsia"/>
                <w:szCs w:val="21"/>
                <w:highlight w:val="none"/>
              </w:rPr>
              <w:t>其他：</w:t>
            </w:r>
            <w:r>
              <w:rPr>
                <w:rFonts w:hint="eastAsia"/>
                <w:szCs w:val="21"/>
                <w:highlight w:val="none"/>
                <w:u w:val="single"/>
              </w:rPr>
              <w:t xml:space="preserve">      /                    </w:t>
            </w:r>
            <w:r>
              <w:rPr>
                <w:rFonts w:hint="eastAsia"/>
                <w:szCs w:val="21"/>
                <w:highlight w:val="none"/>
              </w:rPr>
              <w:t>。</w:t>
            </w:r>
          </w:p>
        </w:tc>
      </w:tr>
      <w:tr>
        <w:tblPrEx>
          <w:tblCellMar>
            <w:top w:w="0" w:type="dxa"/>
            <w:left w:w="108" w:type="dxa"/>
            <w:bottom w:w="0" w:type="dxa"/>
            <w:right w:w="108" w:type="dxa"/>
          </w:tblCellMar>
        </w:tblPrEx>
        <w:tc>
          <w:tcPr>
            <w:tcW w:w="1056" w:type="dxa"/>
          </w:tcPr>
          <w:p>
            <w:pPr>
              <w:spacing w:after="156" w:afterLines="50" w:line="300" w:lineRule="auto"/>
              <w:outlineLvl w:val="3"/>
              <w:rPr>
                <w:rFonts w:cs="Arial"/>
                <w:b/>
                <w:bCs/>
                <w:szCs w:val="21"/>
                <w:highlight w:val="none"/>
              </w:rPr>
            </w:pPr>
            <w:bookmarkStart w:id="2479" w:name="_Toc263259837"/>
            <w:r>
              <w:rPr>
                <w:rFonts w:hint="eastAsia" w:cs="Arial"/>
                <w:b/>
                <w:bCs/>
                <w:szCs w:val="21"/>
                <w:highlight w:val="none"/>
              </w:rPr>
              <w:t>15.3</w:t>
            </w:r>
            <w:bookmarkEnd w:id="2479"/>
          </w:p>
        </w:tc>
        <w:tc>
          <w:tcPr>
            <w:tcW w:w="7364" w:type="dxa"/>
          </w:tcPr>
          <w:p>
            <w:pPr>
              <w:pStyle w:val="29"/>
              <w:spacing w:after="156" w:afterLines="50" w:line="300" w:lineRule="auto"/>
              <w:outlineLvl w:val="3"/>
              <w:rPr>
                <w:rFonts w:hAnsi="宋体" w:cs="Arial"/>
                <w:b/>
                <w:bCs/>
                <w:sz w:val="21"/>
                <w:szCs w:val="21"/>
                <w:highlight w:val="none"/>
              </w:rPr>
            </w:pPr>
            <w:bookmarkStart w:id="2480" w:name="_Toc263259838"/>
            <w:r>
              <w:rPr>
                <w:rFonts w:hint="eastAsia" w:hAnsi="宋体" w:cs="Arial"/>
                <w:b/>
                <w:bCs/>
                <w:sz w:val="21"/>
                <w:szCs w:val="21"/>
                <w:highlight w:val="none"/>
              </w:rPr>
              <w:t>竣工清场</w:t>
            </w:r>
            <w:bookmarkEnd w:id="2480"/>
          </w:p>
        </w:tc>
      </w:tr>
      <w:tr>
        <w:tblPrEx>
          <w:tblCellMar>
            <w:top w:w="0" w:type="dxa"/>
            <w:left w:w="108" w:type="dxa"/>
            <w:bottom w:w="0" w:type="dxa"/>
            <w:right w:w="108" w:type="dxa"/>
          </w:tblCellMar>
        </w:tblPrEx>
        <w:tc>
          <w:tcPr>
            <w:tcW w:w="1056" w:type="dxa"/>
          </w:tcPr>
          <w:p>
            <w:pPr>
              <w:pStyle w:val="29"/>
              <w:spacing w:after="156" w:afterLines="50" w:line="300" w:lineRule="auto"/>
              <w:rPr>
                <w:rFonts w:hAnsi="宋体" w:cs="Arial"/>
                <w:bCs/>
                <w:sz w:val="21"/>
                <w:szCs w:val="21"/>
                <w:highlight w:val="none"/>
              </w:rPr>
            </w:pPr>
            <w:r>
              <w:rPr>
                <w:rFonts w:hint="eastAsia" w:hAnsi="宋体" w:cs="Arial"/>
                <w:bCs/>
                <w:sz w:val="21"/>
                <w:szCs w:val="21"/>
                <w:highlight w:val="none"/>
              </w:rPr>
              <w:t>15.3.1</w:t>
            </w:r>
          </w:p>
        </w:tc>
        <w:tc>
          <w:tcPr>
            <w:tcW w:w="7364" w:type="dxa"/>
          </w:tcPr>
          <w:p>
            <w:pPr>
              <w:spacing w:after="156" w:afterLines="50" w:line="300" w:lineRule="auto"/>
              <w:rPr>
                <w:szCs w:val="21"/>
                <w:highlight w:val="none"/>
              </w:rPr>
            </w:pPr>
            <w:r>
              <w:rPr>
                <w:rFonts w:hint="eastAsia"/>
                <w:szCs w:val="21"/>
                <w:highlight w:val="none"/>
              </w:rPr>
              <w:t>监理人颁发（出具）工程接收证书后，承包人应在56天内按以下要求对施工场地（现场</w:t>
            </w:r>
            <w:r>
              <w:rPr>
                <w:szCs w:val="21"/>
                <w:highlight w:val="none"/>
              </w:rPr>
              <w:t>）</w:t>
            </w:r>
            <w:r>
              <w:rPr>
                <w:rFonts w:hint="eastAsia"/>
                <w:szCs w:val="21"/>
                <w:highlight w:val="none"/>
              </w:rPr>
              <w:t>进行清理：</w:t>
            </w:r>
          </w:p>
          <w:p>
            <w:pPr>
              <w:numPr>
                <w:ilvl w:val="0"/>
                <w:numId w:val="33"/>
              </w:numPr>
              <w:spacing w:after="156" w:afterLines="50" w:line="300" w:lineRule="auto"/>
              <w:rPr>
                <w:szCs w:val="21"/>
                <w:highlight w:val="none"/>
              </w:rPr>
            </w:pPr>
            <w:r>
              <w:rPr>
                <w:rFonts w:hint="eastAsia"/>
                <w:szCs w:val="21"/>
                <w:highlight w:val="none"/>
              </w:rPr>
              <w:t>从施工场地（现场）清除所有杂物和垃圾等等；</w:t>
            </w:r>
          </w:p>
          <w:p>
            <w:pPr>
              <w:numPr>
                <w:ilvl w:val="0"/>
                <w:numId w:val="33"/>
              </w:numPr>
              <w:spacing w:after="156" w:afterLines="50" w:line="300" w:lineRule="auto"/>
              <w:rPr>
                <w:szCs w:val="21"/>
                <w:highlight w:val="none"/>
              </w:rPr>
            </w:pPr>
            <w:r>
              <w:rPr>
                <w:rFonts w:hint="eastAsia"/>
                <w:szCs w:val="21"/>
                <w:highlight w:val="none"/>
              </w:rPr>
              <w:t>从施工场地现场拆除所有的临时工程和临时设施并恢复地面原状，但经监理人批准的护坡桩、锚杆、塔吊基础和无法拆除的埋入式模板等无法拆除的临时设施除外；</w:t>
            </w:r>
          </w:p>
          <w:p>
            <w:pPr>
              <w:numPr>
                <w:ilvl w:val="0"/>
                <w:numId w:val="33"/>
              </w:numPr>
              <w:spacing w:after="156" w:afterLines="50" w:line="300" w:lineRule="auto"/>
              <w:rPr>
                <w:szCs w:val="21"/>
                <w:highlight w:val="none"/>
              </w:rPr>
            </w:pPr>
            <w:r>
              <w:rPr>
                <w:rFonts w:hint="eastAsia"/>
                <w:szCs w:val="21"/>
                <w:highlight w:val="none"/>
              </w:rPr>
              <w:t>撤离所有承包人施工设备和剩余材料（经监理人同意需在缺陷责任期内继续使用的除外）；</w:t>
            </w:r>
          </w:p>
          <w:p>
            <w:pPr>
              <w:numPr>
                <w:ilvl w:val="0"/>
                <w:numId w:val="33"/>
              </w:numPr>
              <w:spacing w:after="156" w:afterLines="50" w:line="300" w:lineRule="auto"/>
              <w:rPr>
                <w:szCs w:val="21"/>
                <w:highlight w:val="none"/>
              </w:rPr>
            </w:pPr>
            <w:r>
              <w:rPr>
                <w:rFonts w:hint="eastAsia"/>
                <w:szCs w:val="21"/>
                <w:highlight w:val="none"/>
              </w:rPr>
              <w:t>监理人指示的其他清场工作。</w:t>
            </w:r>
          </w:p>
        </w:tc>
      </w:tr>
      <w:tr>
        <w:tblPrEx>
          <w:tblCellMar>
            <w:top w:w="0" w:type="dxa"/>
            <w:left w:w="108" w:type="dxa"/>
            <w:bottom w:w="0" w:type="dxa"/>
            <w:right w:w="108" w:type="dxa"/>
          </w:tblCellMar>
        </w:tblPrEx>
        <w:trPr>
          <w:trHeight w:val="664" w:hRule="atLeast"/>
        </w:trPr>
        <w:tc>
          <w:tcPr>
            <w:tcW w:w="8420" w:type="dxa"/>
            <w:gridSpan w:val="2"/>
          </w:tcPr>
          <w:p>
            <w:pPr>
              <w:pStyle w:val="4"/>
              <w:rPr>
                <w:rFonts w:ascii="宋体" w:hAnsi="宋体" w:cs="Arial"/>
                <w:sz w:val="21"/>
                <w:szCs w:val="21"/>
                <w:highlight w:val="none"/>
              </w:rPr>
            </w:pPr>
            <w:bookmarkStart w:id="2481" w:name="_Toc1345"/>
            <w:bookmarkStart w:id="2482" w:name="_Toc241459805"/>
            <w:bookmarkStart w:id="2483" w:name="_Toc342296562"/>
            <w:bookmarkStart w:id="2484" w:name="_Toc434331549"/>
            <w:r>
              <w:rPr>
                <w:rFonts w:hint="eastAsia" w:ascii="宋体" w:hAnsi="宋体" w:cs="Arial"/>
                <w:sz w:val="21"/>
                <w:szCs w:val="21"/>
                <w:highlight w:val="none"/>
              </w:rPr>
              <w:t>16. 其他要求</w:t>
            </w:r>
            <w:bookmarkEnd w:id="2481"/>
            <w:bookmarkEnd w:id="2482"/>
            <w:bookmarkEnd w:id="2483"/>
            <w:bookmarkEnd w:id="2484"/>
          </w:p>
        </w:tc>
      </w:tr>
      <w:tr>
        <w:tblPrEx>
          <w:tblCellMar>
            <w:top w:w="0" w:type="dxa"/>
            <w:left w:w="108" w:type="dxa"/>
            <w:bottom w:w="0" w:type="dxa"/>
            <w:right w:w="108" w:type="dxa"/>
          </w:tblCellMar>
        </w:tblPrEx>
        <w:tc>
          <w:tcPr>
            <w:tcW w:w="1056" w:type="dxa"/>
          </w:tcPr>
          <w:p>
            <w:pPr>
              <w:spacing w:after="156" w:afterLines="50" w:line="300" w:lineRule="auto"/>
              <w:rPr>
                <w:rFonts w:cs="Arial"/>
                <w:szCs w:val="21"/>
                <w:highlight w:val="none"/>
              </w:rPr>
            </w:pPr>
          </w:p>
        </w:tc>
        <w:tc>
          <w:tcPr>
            <w:tcW w:w="7364" w:type="dxa"/>
          </w:tcPr>
          <w:p>
            <w:pPr>
              <w:spacing w:line="400" w:lineRule="exact"/>
              <w:ind w:left="-29" w:leftChars="-14" w:right="-50" w:rightChars="-24" w:firstLine="2"/>
              <w:rPr>
                <w:szCs w:val="21"/>
                <w:highlight w:val="none"/>
              </w:rPr>
            </w:pPr>
            <w:bookmarkStart w:id="2485" w:name="_Toc360107303"/>
            <w:r>
              <w:rPr>
                <w:rFonts w:hint="eastAsia"/>
                <w:szCs w:val="21"/>
                <w:highlight w:val="none"/>
              </w:rPr>
              <w:t>16.2.1按照图纸及招标文件内容施工.</w:t>
            </w:r>
          </w:p>
          <w:p>
            <w:pPr>
              <w:spacing w:line="400" w:lineRule="exact"/>
              <w:ind w:left="-29" w:leftChars="-14" w:right="-50" w:rightChars="-24" w:firstLine="2"/>
              <w:rPr>
                <w:szCs w:val="21"/>
                <w:highlight w:val="none"/>
              </w:rPr>
            </w:pPr>
            <w:r>
              <w:rPr>
                <w:rFonts w:hint="eastAsia"/>
                <w:szCs w:val="21"/>
                <w:highlight w:val="none"/>
              </w:rPr>
              <w:t>16.2.2在施工过程中，施工场地内各种井按要求拆除提升及更换井圈、井盖。</w:t>
            </w:r>
          </w:p>
          <w:p>
            <w:pPr>
              <w:spacing w:line="400" w:lineRule="exact"/>
              <w:ind w:left="-29" w:leftChars="-14" w:right="-50" w:rightChars="-24" w:firstLine="2"/>
              <w:rPr>
                <w:szCs w:val="21"/>
                <w:highlight w:val="none"/>
              </w:rPr>
            </w:pPr>
            <w:r>
              <w:rPr>
                <w:rFonts w:hint="eastAsia"/>
                <w:szCs w:val="21"/>
                <w:highlight w:val="none"/>
              </w:rPr>
              <w:t>16.3工程量的计算规则及报价要求：</w:t>
            </w:r>
          </w:p>
          <w:p>
            <w:pPr>
              <w:spacing w:line="400" w:lineRule="exact"/>
              <w:ind w:left="-29" w:leftChars="-14" w:right="-50" w:rightChars="-24" w:firstLine="2"/>
              <w:rPr>
                <w:szCs w:val="21"/>
                <w:highlight w:val="none"/>
              </w:rPr>
            </w:pPr>
            <w:r>
              <w:rPr>
                <w:rFonts w:hint="eastAsia"/>
                <w:szCs w:val="21"/>
                <w:highlight w:val="none"/>
              </w:rPr>
              <w:t>16.3.1暂估价材料在结算时以实际发生的价格为准。</w:t>
            </w:r>
          </w:p>
          <w:p>
            <w:pPr>
              <w:spacing w:line="400" w:lineRule="exact"/>
              <w:ind w:left="-29" w:leftChars="-14" w:right="-50" w:rightChars="-24" w:firstLine="2"/>
              <w:rPr>
                <w:szCs w:val="21"/>
                <w:highlight w:val="none"/>
              </w:rPr>
            </w:pPr>
            <w:r>
              <w:rPr>
                <w:rFonts w:hint="eastAsia"/>
                <w:szCs w:val="21"/>
                <w:highlight w:val="none"/>
              </w:rPr>
              <w:t>16.3.2施工用水、用电费用自理。</w:t>
            </w:r>
          </w:p>
          <w:p>
            <w:pPr>
              <w:spacing w:line="400" w:lineRule="exact"/>
              <w:ind w:left="-29" w:leftChars="-14" w:right="-50" w:rightChars="-24" w:firstLine="2"/>
              <w:rPr>
                <w:szCs w:val="21"/>
                <w:highlight w:val="none"/>
              </w:rPr>
            </w:pPr>
            <w:r>
              <w:rPr>
                <w:rFonts w:hint="eastAsia"/>
                <w:szCs w:val="21"/>
                <w:highlight w:val="none"/>
              </w:rPr>
              <w:t>16.4施工管理：</w:t>
            </w:r>
          </w:p>
          <w:p>
            <w:pPr>
              <w:spacing w:line="400" w:lineRule="exact"/>
              <w:ind w:left="-29" w:leftChars="-14" w:right="-50" w:rightChars="-24" w:firstLine="2"/>
              <w:rPr>
                <w:szCs w:val="21"/>
                <w:highlight w:val="none"/>
              </w:rPr>
            </w:pPr>
            <w:r>
              <w:rPr>
                <w:rFonts w:hint="eastAsia"/>
                <w:szCs w:val="21"/>
                <w:highlight w:val="none"/>
              </w:rPr>
              <w:t>16.4.1执行项目经理负责制，施工中必须遵守国家有关质量、安全管理规定、相应规程、规范和标准。</w:t>
            </w:r>
          </w:p>
          <w:p>
            <w:pPr>
              <w:spacing w:line="400" w:lineRule="exact"/>
              <w:ind w:left="-29" w:leftChars="-14" w:right="-50" w:rightChars="-24" w:firstLine="2"/>
              <w:rPr>
                <w:szCs w:val="21"/>
                <w:highlight w:val="none"/>
              </w:rPr>
            </w:pPr>
            <w:r>
              <w:rPr>
                <w:rFonts w:hint="eastAsia"/>
                <w:szCs w:val="21"/>
                <w:highlight w:val="none"/>
              </w:rPr>
              <w:t>16.4.2所有分项工程、隐蔽验收、中间验收须有施工记录及验收手续。</w:t>
            </w:r>
          </w:p>
          <w:p>
            <w:pPr>
              <w:spacing w:line="400" w:lineRule="exact"/>
              <w:ind w:left="-29" w:leftChars="-14" w:right="-50" w:rightChars="-24" w:firstLine="2"/>
              <w:rPr>
                <w:szCs w:val="21"/>
                <w:highlight w:val="none"/>
              </w:rPr>
            </w:pPr>
            <w:r>
              <w:rPr>
                <w:rFonts w:hint="eastAsia"/>
                <w:szCs w:val="21"/>
                <w:highlight w:val="none"/>
              </w:rPr>
              <w:t>16.4.3投标方应充分了解本工程施工现场的实际情况，在施工期间不能影响建设方的正常工作、生活秩序。</w:t>
            </w:r>
          </w:p>
          <w:p>
            <w:pPr>
              <w:spacing w:line="400" w:lineRule="exact"/>
              <w:ind w:left="-29" w:leftChars="-14" w:right="-50" w:rightChars="-24" w:firstLine="2"/>
              <w:rPr>
                <w:szCs w:val="21"/>
                <w:highlight w:val="none"/>
              </w:rPr>
            </w:pPr>
            <w:r>
              <w:rPr>
                <w:rFonts w:hint="eastAsia"/>
                <w:szCs w:val="21"/>
                <w:highlight w:val="none"/>
              </w:rPr>
              <w:t>16.4.4因承包方施工不当，给建设方造成损失由承包方承担责任。</w:t>
            </w:r>
          </w:p>
          <w:p>
            <w:pPr>
              <w:spacing w:line="400" w:lineRule="exact"/>
              <w:ind w:left="-29" w:leftChars="-14" w:right="-50" w:rightChars="-24" w:firstLine="2"/>
              <w:rPr>
                <w:szCs w:val="21"/>
                <w:highlight w:val="none"/>
              </w:rPr>
            </w:pPr>
            <w:r>
              <w:rPr>
                <w:rFonts w:hint="eastAsia"/>
                <w:szCs w:val="21"/>
                <w:highlight w:val="none"/>
              </w:rPr>
              <w:t>16.5本招标文件为签订合同的主要依据，施工合同条款应与招标文件相一致。</w:t>
            </w:r>
          </w:p>
          <w:p>
            <w:pPr>
              <w:spacing w:line="400" w:lineRule="exact"/>
              <w:ind w:left="-29" w:leftChars="-14" w:right="-50" w:rightChars="-24" w:firstLine="2"/>
              <w:rPr>
                <w:szCs w:val="21"/>
                <w:highlight w:val="none"/>
              </w:rPr>
            </w:pPr>
            <w:r>
              <w:rPr>
                <w:rFonts w:hint="eastAsia"/>
                <w:szCs w:val="21"/>
                <w:highlight w:val="none"/>
              </w:rPr>
              <w:t>16.6遇到特殊情况甲方可要求乙方随时停工,不给予任何费用补偿，工期顺廷。</w:t>
            </w:r>
          </w:p>
          <w:p>
            <w:pPr>
              <w:spacing w:after="156" w:afterLines="50" w:line="300" w:lineRule="auto"/>
              <w:ind w:left="-29" w:leftChars="-14" w:right="-50" w:rightChars="-24"/>
              <w:rPr>
                <w:szCs w:val="21"/>
                <w:highlight w:val="none"/>
                <w:u w:val="single"/>
              </w:rPr>
            </w:pPr>
            <w:r>
              <w:rPr>
                <w:rFonts w:hint="eastAsia"/>
                <w:szCs w:val="21"/>
                <w:highlight w:val="none"/>
              </w:rPr>
              <w:t>16.9本工程施工用水、电提供均在院内。施工用房（包括民工宿舍）均由施工单位自行解决。除因赶工期夜间加班外，拟装修的建筑物内不得留住施工人员。（保安人员除外</w:t>
            </w:r>
            <w:r>
              <w:rPr>
                <w:szCs w:val="21"/>
                <w:highlight w:val="none"/>
              </w:rPr>
              <w:t>）</w:t>
            </w:r>
            <w:r>
              <w:rPr>
                <w:rFonts w:hint="eastAsia"/>
                <w:szCs w:val="21"/>
                <w:highlight w:val="none"/>
              </w:rPr>
              <w:t>。</w:t>
            </w:r>
            <w:bookmarkEnd w:id="2485"/>
          </w:p>
        </w:tc>
      </w:tr>
    </w:tbl>
    <w:p>
      <w:pPr>
        <w:spacing w:after="156" w:afterLines="50" w:line="300" w:lineRule="auto"/>
        <w:rPr>
          <w:szCs w:val="21"/>
          <w:highlight w:val="none"/>
        </w:rPr>
      </w:pPr>
    </w:p>
    <w:p>
      <w:pPr>
        <w:spacing w:after="156" w:afterLines="50" w:line="300" w:lineRule="auto"/>
        <w:rPr>
          <w:highlight w:val="none"/>
        </w:rPr>
      </w:pPr>
      <w:r>
        <w:rPr>
          <w:highlight w:val="none"/>
        </w:rPr>
        <w:br w:type="page"/>
      </w:r>
    </w:p>
    <w:p>
      <w:pPr>
        <w:pStyle w:val="3"/>
        <w:rPr>
          <w:highlight w:val="none"/>
        </w:rPr>
      </w:pPr>
      <w:bookmarkStart w:id="2486" w:name="_Toc434331550"/>
      <w:bookmarkStart w:id="2487" w:name="_Toc342296563"/>
      <w:bookmarkStart w:id="2488" w:name="_Toc7230"/>
      <w:bookmarkStart w:id="2489" w:name="_Toc241459806"/>
      <w:r>
        <w:rPr>
          <w:rFonts w:hint="eastAsia" w:ascii="黑体" w:hAnsi="黑体" w:cs="Arial"/>
          <w:sz w:val="24"/>
          <w:highlight w:val="none"/>
        </w:rPr>
        <w:t>第二节 特殊技术标准和要求</w:t>
      </w:r>
      <w:bookmarkEnd w:id="2486"/>
      <w:bookmarkEnd w:id="2487"/>
      <w:bookmarkEnd w:id="2488"/>
      <w:bookmarkEnd w:id="2489"/>
    </w:p>
    <w:p>
      <w:pPr>
        <w:spacing w:after="156" w:afterLines="50" w:line="300" w:lineRule="auto"/>
        <w:rPr>
          <w:rFonts w:ascii="黑体" w:eastAsia="黑体"/>
          <w:sz w:val="24"/>
          <w:highlight w:val="none"/>
        </w:rPr>
      </w:pPr>
      <w:r>
        <w:rPr>
          <w:rFonts w:hint="eastAsia" w:ascii="黑体" w:eastAsia="黑体"/>
          <w:sz w:val="24"/>
          <w:highlight w:val="none"/>
        </w:rPr>
        <w:t>详见设计图纸及清</w:t>
      </w:r>
      <w:r>
        <w:rPr>
          <w:rFonts w:hint="eastAsia" w:ascii="黑体" w:eastAsia="黑体"/>
          <w:b/>
          <w:bCs/>
          <w:sz w:val="24"/>
          <w:highlight w:val="none"/>
        </w:rPr>
        <w:t>单。</w:t>
      </w:r>
    </w:p>
    <w:p>
      <w:pPr>
        <w:pStyle w:val="3"/>
        <w:rPr>
          <w:rFonts w:ascii="黑体" w:hAnsi="黑体" w:cs="Arial"/>
          <w:bCs w:val="0"/>
          <w:sz w:val="24"/>
          <w:highlight w:val="none"/>
        </w:rPr>
      </w:pPr>
      <w:r>
        <w:rPr>
          <w:rFonts w:ascii="黑体"/>
          <w:sz w:val="24"/>
          <w:highlight w:val="none"/>
        </w:rPr>
        <w:br w:type="page"/>
      </w:r>
      <w:bookmarkStart w:id="2490" w:name="_Toc397170428"/>
      <w:bookmarkStart w:id="2491" w:name="_Toc13899"/>
      <w:bookmarkStart w:id="2492" w:name="_Toc434331555"/>
      <w:r>
        <w:rPr>
          <w:rFonts w:hint="eastAsia" w:ascii="黑体" w:hAnsi="黑体" w:cs="Arial"/>
          <w:sz w:val="24"/>
          <w:highlight w:val="none"/>
        </w:rPr>
        <w:t>第三节 适用的国家、行业以及地方规范、标准和规程</w:t>
      </w:r>
      <w:bookmarkEnd w:id="2490"/>
      <w:bookmarkEnd w:id="2491"/>
      <w:bookmarkEnd w:id="2492"/>
    </w:p>
    <w:p>
      <w:pPr>
        <w:spacing w:after="156" w:afterLines="50" w:line="300" w:lineRule="auto"/>
        <w:rPr>
          <w:rFonts w:hint="default" w:eastAsia="宋体"/>
          <w:szCs w:val="21"/>
          <w:highlight w:val="none"/>
          <w:lang w:val="en-US" w:eastAsia="zh-CN"/>
        </w:rPr>
      </w:pPr>
      <w:r>
        <w:rPr>
          <w:rFonts w:hint="eastAsia"/>
          <w:szCs w:val="21"/>
          <w:highlight w:val="none"/>
        </w:rPr>
        <w:t>说明：</w:t>
      </w:r>
      <w:r>
        <w:rPr>
          <w:rFonts w:hint="eastAsia"/>
          <w:szCs w:val="21"/>
          <w:highlight w:val="none"/>
          <w:lang w:val="en-US" w:eastAsia="zh-CN"/>
        </w:rPr>
        <w:t>本工程按照国家、行业现行规范及标准执行，以下所列规范仅作为参考。</w:t>
      </w:r>
    </w:p>
    <w:p>
      <w:pPr>
        <w:spacing w:line="360" w:lineRule="auto"/>
        <w:rPr>
          <w:rFonts w:cs="Arial"/>
          <w:szCs w:val="21"/>
          <w:highlight w:val="none"/>
        </w:rPr>
      </w:pPr>
      <w:r>
        <w:rPr>
          <w:rFonts w:hint="eastAsia"/>
          <w:kern w:val="0"/>
          <w:szCs w:val="21"/>
          <w:highlight w:val="none"/>
        </w:rPr>
        <w:t>适用于本招标工程的主要设计和施工验收规范名录包括但不限于如下部分：</w:t>
      </w:r>
    </w:p>
    <w:p>
      <w:pPr>
        <w:spacing w:line="360" w:lineRule="auto"/>
        <w:outlineLvl w:val="0"/>
        <w:rPr>
          <w:szCs w:val="21"/>
          <w:highlight w:val="none"/>
          <w:u w:val="single"/>
        </w:rPr>
      </w:pPr>
      <w:bookmarkStart w:id="2493" w:name="_Toc45652786"/>
      <w:bookmarkStart w:id="2494" w:name="_Toc30023"/>
      <w:bookmarkStart w:id="2495" w:name="_Toc434331556"/>
      <w:r>
        <w:rPr>
          <w:kern w:val="0"/>
          <w:szCs w:val="21"/>
          <w:highlight w:val="none"/>
          <w:u w:val="single"/>
        </w:rPr>
        <w:t>1工程管理规范</w:t>
      </w:r>
      <w:bookmarkEnd w:id="2493"/>
      <w:bookmarkEnd w:id="2494"/>
      <w:bookmarkEnd w:id="2495"/>
    </w:p>
    <w:p>
      <w:pPr>
        <w:numPr>
          <w:ilvl w:val="0"/>
          <w:numId w:val="34"/>
        </w:numPr>
        <w:spacing w:line="360" w:lineRule="auto"/>
        <w:rPr>
          <w:szCs w:val="21"/>
          <w:highlight w:val="none"/>
          <w:u w:val="single"/>
        </w:rPr>
      </w:pPr>
      <w:r>
        <w:rPr>
          <w:rFonts w:hint="eastAsia"/>
          <w:kern w:val="0"/>
          <w:szCs w:val="21"/>
          <w:highlight w:val="none"/>
          <w:u w:val="single"/>
        </w:rPr>
        <w:t>《建设工程监理规范》GB50319-2013</w:t>
      </w:r>
    </w:p>
    <w:p>
      <w:pPr>
        <w:numPr>
          <w:ilvl w:val="0"/>
          <w:numId w:val="34"/>
        </w:numPr>
        <w:spacing w:line="360" w:lineRule="auto"/>
        <w:rPr>
          <w:szCs w:val="21"/>
          <w:highlight w:val="none"/>
          <w:u w:val="single"/>
        </w:rPr>
      </w:pPr>
      <w:r>
        <w:rPr>
          <w:kern w:val="0"/>
          <w:szCs w:val="21"/>
          <w:highlight w:val="none"/>
          <w:u w:val="single"/>
        </w:rPr>
        <w:t>建设工程工程量清单计价规范 GB50500-20</w:t>
      </w:r>
      <w:r>
        <w:rPr>
          <w:rFonts w:hint="eastAsia"/>
          <w:kern w:val="0"/>
          <w:szCs w:val="21"/>
          <w:highlight w:val="none"/>
          <w:u w:val="single"/>
        </w:rPr>
        <w:t>13</w:t>
      </w:r>
    </w:p>
    <w:p>
      <w:pPr>
        <w:numPr>
          <w:ilvl w:val="0"/>
          <w:numId w:val="34"/>
        </w:numPr>
        <w:spacing w:line="360" w:lineRule="auto"/>
        <w:rPr>
          <w:szCs w:val="21"/>
          <w:highlight w:val="none"/>
          <w:u w:val="single"/>
        </w:rPr>
      </w:pPr>
      <w:r>
        <w:rPr>
          <w:kern w:val="0"/>
          <w:szCs w:val="21"/>
          <w:highlight w:val="none"/>
          <w:u w:val="single"/>
        </w:rPr>
        <w:t>建筑工程资料管理规程 DB11/T695-2009</w:t>
      </w:r>
    </w:p>
    <w:p>
      <w:pPr>
        <w:numPr>
          <w:ilvl w:val="0"/>
          <w:numId w:val="34"/>
        </w:numPr>
        <w:spacing w:line="360" w:lineRule="auto"/>
        <w:rPr>
          <w:szCs w:val="21"/>
          <w:highlight w:val="none"/>
          <w:u w:val="single"/>
        </w:rPr>
      </w:pPr>
      <w:r>
        <w:rPr>
          <w:rFonts w:hint="eastAsia"/>
          <w:kern w:val="0"/>
          <w:szCs w:val="21"/>
          <w:highlight w:val="none"/>
          <w:u w:val="single"/>
        </w:rPr>
        <w:t>绿色施工管理规程DB11/513-2008</w:t>
      </w:r>
    </w:p>
    <w:p>
      <w:pPr>
        <w:spacing w:line="360" w:lineRule="auto"/>
        <w:rPr>
          <w:szCs w:val="21"/>
          <w:highlight w:val="none"/>
          <w:u w:val="single"/>
        </w:rPr>
      </w:pPr>
      <w:r>
        <w:rPr>
          <w:kern w:val="0"/>
          <w:szCs w:val="21"/>
          <w:highlight w:val="none"/>
          <w:u w:val="single"/>
        </w:rPr>
        <w:t>2施工质量验收规程</w:t>
      </w:r>
    </w:p>
    <w:p>
      <w:pPr>
        <w:numPr>
          <w:ilvl w:val="0"/>
          <w:numId w:val="35"/>
        </w:numPr>
        <w:spacing w:line="360" w:lineRule="auto"/>
        <w:rPr>
          <w:szCs w:val="21"/>
          <w:highlight w:val="none"/>
          <w:u w:val="single"/>
        </w:rPr>
      </w:pPr>
      <w:r>
        <w:rPr>
          <w:kern w:val="0"/>
          <w:szCs w:val="21"/>
          <w:highlight w:val="none"/>
          <w:u w:val="single"/>
        </w:rPr>
        <w:t>建筑工程施工质量验收统一标准 GB50300-</w:t>
      </w:r>
      <w:r>
        <w:rPr>
          <w:rFonts w:hint="eastAsia"/>
          <w:kern w:val="0"/>
          <w:szCs w:val="21"/>
          <w:highlight w:val="none"/>
          <w:u w:val="single"/>
        </w:rPr>
        <w:t>2013</w:t>
      </w:r>
    </w:p>
    <w:p>
      <w:pPr>
        <w:numPr>
          <w:ilvl w:val="0"/>
          <w:numId w:val="35"/>
        </w:numPr>
        <w:spacing w:line="360" w:lineRule="auto"/>
        <w:rPr>
          <w:szCs w:val="21"/>
          <w:highlight w:val="none"/>
          <w:u w:val="single"/>
        </w:rPr>
      </w:pPr>
      <w:r>
        <w:rPr>
          <w:kern w:val="0"/>
          <w:szCs w:val="21"/>
          <w:highlight w:val="none"/>
          <w:u w:val="single"/>
        </w:rPr>
        <w:t>建筑地基基础工程施工质量验收规范  GB50202-2002</w:t>
      </w:r>
    </w:p>
    <w:p>
      <w:pPr>
        <w:numPr>
          <w:ilvl w:val="0"/>
          <w:numId w:val="35"/>
        </w:numPr>
        <w:spacing w:line="360" w:lineRule="auto"/>
        <w:rPr>
          <w:szCs w:val="21"/>
          <w:highlight w:val="none"/>
          <w:u w:val="single"/>
        </w:rPr>
      </w:pPr>
      <w:r>
        <w:rPr>
          <w:kern w:val="0"/>
          <w:szCs w:val="21"/>
          <w:highlight w:val="none"/>
          <w:u w:val="single"/>
        </w:rPr>
        <w:t>砌体</w:t>
      </w:r>
      <w:r>
        <w:rPr>
          <w:rFonts w:hint="eastAsia"/>
          <w:kern w:val="0"/>
          <w:szCs w:val="21"/>
          <w:highlight w:val="none"/>
          <w:u w:val="single"/>
        </w:rPr>
        <w:t>结构</w:t>
      </w:r>
      <w:r>
        <w:rPr>
          <w:kern w:val="0"/>
          <w:szCs w:val="21"/>
          <w:highlight w:val="none"/>
          <w:u w:val="single"/>
        </w:rPr>
        <w:t>工程施工质量验收规范  GB50203-20</w:t>
      </w:r>
      <w:r>
        <w:rPr>
          <w:rFonts w:hint="eastAsia"/>
          <w:kern w:val="0"/>
          <w:szCs w:val="21"/>
          <w:highlight w:val="none"/>
          <w:u w:val="single"/>
        </w:rPr>
        <w:t>11</w:t>
      </w:r>
    </w:p>
    <w:p>
      <w:pPr>
        <w:numPr>
          <w:ilvl w:val="0"/>
          <w:numId w:val="35"/>
        </w:numPr>
        <w:spacing w:line="360" w:lineRule="auto"/>
        <w:rPr>
          <w:szCs w:val="21"/>
          <w:highlight w:val="none"/>
          <w:u w:val="single"/>
        </w:rPr>
      </w:pPr>
      <w:r>
        <w:rPr>
          <w:rFonts w:hint="eastAsia"/>
          <w:szCs w:val="21"/>
          <w:highlight w:val="none"/>
          <w:u w:val="single"/>
        </w:rPr>
        <w:t>建筑工程冬期施工规程  JGJ104-2011</w:t>
      </w:r>
    </w:p>
    <w:p>
      <w:pPr>
        <w:numPr>
          <w:ilvl w:val="0"/>
          <w:numId w:val="35"/>
        </w:numPr>
        <w:spacing w:line="360" w:lineRule="auto"/>
        <w:rPr>
          <w:szCs w:val="21"/>
          <w:highlight w:val="none"/>
          <w:u w:val="single"/>
        </w:rPr>
      </w:pPr>
      <w:r>
        <w:rPr>
          <w:kern w:val="0"/>
          <w:szCs w:val="21"/>
          <w:highlight w:val="none"/>
          <w:u w:val="single"/>
        </w:rPr>
        <w:t>混凝土结构工程施工质量验收规范  GB50204-2002</w:t>
      </w:r>
    </w:p>
    <w:p>
      <w:pPr>
        <w:numPr>
          <w:ilvl w:val="0"/>
          <w:numId w:val="35"/>
        </w:numPr>
        <w:spacing w:line="360" w:lineRule="auto"/>
        <w:rPr>
          <w:szCs w:val="21"/>
          <w:highlight w:val="none"/>
          <w:u w:val="single"/>
        </w:rPr>
      </w:pPr>
      <w:r>
        <w:rPr>
          <w:kern w:val="0"/>
          <w:szCs w:val="21"/>
          <w:highlight w:val="none"/>
          <w:u w:val="single"/>
        </w:rPr>
        <w:t>钢结构工程施工质量验收规范  GB50205-200</w:t>
      </w:r>
      <w:r>
        <w:rPr>
          <w:rFonts w:hint="eastAsia"/>
          <w:kern w:val="0"/>
          <w:szCs w:val="21"/>
          <w:highlight w:val="none"/>
          <w:u w:val="single"/>
        </w:rPr>
        <w:t>1</w:t>
      </w:r>
    </w:p>
    <w:p>
      <w:pPr>
        <w:numPr>
          <w:ilvl w:val="0"/>
          <w:numId w:val="35"/>
        </w:numPr>
        <w:spacing w:line="360" w:lineRule="auto"/>
        <w:rPr>
          <w:szCs w:val="21"/>
          <w:highlight w:val="none"/>
          <w:u w:val="single"/>
        </w:rPr>
      </w:pPr>
      <w:r>
        <w:rPr>
          <w:kern w:val="0"/>
          <w:szCs w:val="21"/>
          <w:highlight w:val="none"/>
          <w:u w:val="single"/>
        </w:rPr>
        <w:t>木结构工程施工质量验收规范  GB50206-20</w:t>
      </w:r>
      <w:r>
        <w:rPr>
          <w:rFonts w:hint="eastAsia"/>
          <w:kern w:val="0"/>
          <w:szCs w:val="21"/>
          <w:highlight w:val="none"/>
          <w:u w:val="single"/>
        </w:rPr>
        <w:t>12</w:t>
      </w:r>
      <w:r>
        <w:rPr>
          <w:kern w:val="0"/>
          <w:szCs w:val="21"/>
          <w:highlight w:val="none"/>
          <w:u w:val="single"/>
        </w:rPr>
        <w:t xml:space="preserve"> </w:t>
      </w:r>
    </w:p>
    <w:p>
      <w:pPr>
        <w:numPr>
          <w:ilvl w:val="0"/>
          <w:numId w:val="35"/>
        </w:numPr>
        <w:spacing w:line="360" w:lineRule="auto"/>
        <w:rPr>
          <w:szCs w:val="21"/>
          <w:highlight w:val="none"/>
          <w:u w:val="single"/>
        </w:rPr>
      </w:pPr>
      <w:r>
        <w:rPr>
          <w:kern w:val="0"/>
          <w:szCs w:val="21"/>
          <w:highlight w:val="none"/>
          <w:u w:val="single"/>
        </w:rPr>
        <w:t xml:space="preserve">屋面工程施工质量验收规范  GB50207-2002 </w:t>
      </w:r>
    </w:p>
    <w:p>
      <w:pPr>
        <w:numPr>
          <w:ilvl w:val="0"/>
          <w:numId w:val="35"/>
        </w:numPr>
        <w:spacing w:line="360" w:lineRule="auto"/>
        <w:rPr>
          <w:szCs w:val="21"/>
          <w:highlight w:val="none"/>
          <w:u w:val="single"/>
        </w:rPr>
      </w:pPr>
      <w:r>
        <w:rPr>
          <w:kern w:val="0"/>
          <w:szCs w:val="21"/>
          <w:highlight w:val="none"/>
          <w:u w:val="single"/>
        </w:rPr>
        <w:t>地下防水工程施工质量验收规范  GB50208-2002</w:t>
      </w:r>
    </w:p>
    <w:p>
      <w:pPr>
        <w:numPr>
          <w:ilvl w:val="0"/>
          <w:numId w:val="35"/>
        </w:numPr>
        <w:spacing w:line="360" w:lineRule="auto"/>
        <w:rPr>
          <w:szCs w:val="21"/>
          <w:highlight w:val="none"/>
          <w:u w:val="single"/>
        </w:rPr>
      </w:pPr>
      <w:r>
        <w:rPr>
          <w:kern w:val="0"/>
          <w:szCs w:val="21"/>
          <w:highlight w:val="none"/>
          <w:u w:val="single"/>
        </w:rPr>
        <w:t>建筑地面工程施工质量验收规范  GB50209-20</w:t>
      </w:r>
      <w:r>
        <w:rPr>
          <w:rFonts w:hint="eastAsia"/>
          <w:kern w:val="0"/>
          <w:szCs w:val="21"/>
          <w:highlight w:val="none"/>
          <w:u w:val="single"/>
        </w:rPr>
        <w:t>10</w:t>
      </w:r>
      <w:r>
        <w:rPr>
          <w:kern w:val="0"/>
          <w:szCs w:val="21"/>
          <w:highlight w:val="none"/>
          <w:u w:val="single"/>
        </w:rPr>
        <w:t xml:space="preserve"> </w:t>
      </w:r>
    </w:p>
    <w:p>
      <w:pPr>
        <w:numPr>
          <w:ilvl w:val="0"/>
          <w:numId w:val="35"/>
        </w:numPr>
        <w:spacing w:line="360" w:lineRule="auto"/>
        <w:rPr>
          <w:szCs w:val="21"/>
          <w:highlight w:val="none"/>
          <w:u w:val="single"/>
        </w:rPr>
      </w:pPr>
      <w:r>
        <w:rPr>
          <w:kern w:val="0"/>
          <w:szCs w:val="21"/>
          <w:highlight w:val="none"/>
          <w:u w:val="single"/>
        </w:rPr>
        <w:t xml:space="preserve">建筑装饰装修工程施工质量验收规范GB50210-2001 </w:t>
      </w:r>
    </w:p>
    <w:p>
      <w:pPr>
        <w:numPr>
          <w:ilvl w:val="0"/>
          <w:numId w:val="35"/>
        </w:numPr>
        <w:spacing w:line="360" w:lineRule="auto"/>
        <w:rPr>
          <w:szCs w:val="21"/>
          <w:highlight w:val="none"/>
          <w:u w:val="single"/>
        </w:rPr>
      </w:pPr>
      <w:r>
        <w:rPr>
          <w:kern w:val="0"/>
          <w:szCs w:val="21"/>
          <w:highlight w:val="none"/>
          <w:u w:val="single"/>
        </w:rPr>
        <w:t>民用建筑工程室内环境污染控制规范  GB50325-20</w:t>
      </w:r>
      <w:r>
        <w:rPr>
          <w:rFonts w:hint="eastAsia"/>
          <w:kern w:val="0"/>
          <w:szCs w:val="21"/>
          <w:highlight w:val="none"/>
          <w:u w:val="single"/>
        </w:rPr>
        <w:t>10</w:t>
      </w:r>
    </w:p>
    <w:p>
      <w:pPr>
        <w:numPr>
          <w:ilvl w:val="0"/>
          <w:numId w:val="35"/>
        </w:numPr>
        <w:spacing w:line="360" w:lineRule="auto"/>
        <w:rPr>
          <w:szCs w:val="21"/>
          <w:highlight w:val="none"/>
          <w:u w:val="single"/>
        </w:rPr>
      </w:pPr>
      <w:r>
        <w:rPr>
          <w:kern w:val="0"/>
          <w:szCs w:val="21"/>
          <w:highlight w:val="none"/>
          <w:u w:val="single"/>
        </w:rPr>
        <w:t xml:space="preserve">建筑防腐蚀工程施工质量验收规范GB50224-2010  </w:t>
      </w:r>
    </w:p>
    <w:p>
      <w:pPr>
        <w:numPr>
          <w:ilvl w:val="0"/>
          <w:numId w:val="35"/>
        </w:numPr>
        <w:spacing w:line="360" w:lineRule="auto"/>
        <w:rPr>
          <w:szCs w:val="21"/>
          <w:highlight w:val="none"/>
          <w:u w:val="single"/>
        </w:rPr>
      </w:pPr>
      <w:r>
        <w:rPr>
          <w:kern w:val="0"/>
          <w:szCs w:val="21"/>
          <w:highlight w:val="none"/>
          <w:u w:val="single"/>
        </w:rPr>
        <w:t>建筑给排水及采暖工程施工质量验收规范 GB50242-2002</w:t>
      </w:r>
    </w:p>
    <w:p>
      <w:pPr>
        <w:numPr>
          <w:ilvl w:val="0"/>
          <w:numId w:val="35"/>
        </w:numPr>
        <w:spacing w:line="360" w:lineRule="auto"/>
        <w:rPr>
          <w:szCs w:val="21"/>
          <w:highlight w:val="none"/>
          <w:u w:val="single"/>
        </w:rPr>
      </w:pPr>
      <w:r>
        <w:rPr>
          <w:kern w:val="0"/>
          <w:szCs w:val="21"/>
          <w:highlight w:val="none"/>
          <w:u w:val="single"/>
        </w:rPr>
        <w:t>通风与空调施工质量验收规范 GB50243-2002</w:t>
      </w:r>
    </w:p>
    <w:p>
      <w:pPr>
        <w:numPr>
          <w:ilvl w:val="0"/>
          <w:numId w:val="35"/>
        </w:numPr>
        <w:spacing w:line="360" w:lineRule="auto"/>
        <w:rPr>
          <w:szCs w:val="21"/>
          <w:highlight w:val="none"/>
          <w:u w:val="single"/>
        </w:rPr>
      </w:pPr>
      <w:r>
        <w:rPr>
          <w:kern w:val="0"/>
          <w:szCs w:val="21"/>
          <w:highlight w:val="none"/>
          <w:u w:val="single"/>
        </w:rPr>
        <w:t>建筑电气工程施工质量验收规范 GB50</w:t>
      </w:r>
      <w:r>
        <w:rPr>
          <w:rFonts w:hint="eastAsia"/>
          <w:kern w:val="0"/>
          <w:szCs w:val="21"/>
          <w:highlight w:val="none"/>
          <w:u w:val="single"/>
        </w:rPr>
        <w:t>210-2011</w:t>
      </w:r>
    </w:p>
    <w:p>
      <w:pPr>
        <w:numPr>
          <w:ilvl w:val="0"/>
          <w:numId w:val="35"/>
        </w:numPr>
        <w:spacing w:line="360" w:lineRule="auto"/>
        <w:rPr>
          <w:szCs w:val="21"/>
          <w:highlight w:val="none"/>
          <w:u w:val="single"/>
        </w:rPr>
      </w:pPr>
      <w:r>
        <w:rPr>
          <w:kern w:val="0"/>
          <w:szCs w:val="21"/>
          <w:highlight w:val="none"/>
          <w:u w:val="single"/>
        </w:rPr>
        <w:t>电梯工程施工质量验收规范 GB50310-2002</w:t>
      </w:r>
    </w:p>
    <w:p>
      <w:pPr>
        <w:numPr>
          <w:ilvl w:val="0"/>
          <w:numId w:val="35"/>
        </w:numPr>
        <w:spacing w:line="360" w:lineRule="auto"/>
        <w:rPr>
          <w:szCs w:val="21"/>
          <w:highlight w:val="none"/>
          <w:u w:val="single"/>
        </w:rPr>
      </w:pPr>
      <w:r>
        <w:rPr>
          <w:kern w:val="0"/>
          <w:szCs w:val="21"/>
          <w:highlight w:val="none"/>
          <w:u w:val="single"/>
        </w:rPr>
        <w:t>火灾自动报警系统施工及验收规范  GB50166</w:t>
      </w:r>
      <w:r>
        <w:rPr>
          <w:rFonts w:hint="eastAsia"/>
          <w:kern w:val="0"/>
          <w:szCs w:val="21"/>
          <w:highlight w:val="none"/>
          <w:u w:val="single"/>
        </w:rPr>
        <w:t>-2007</w:t>
      </w:r>
      <w:r>
        <w:rPr>
          <w:kern w:val="0"/>
          <w:szCs w:val="21"/>
          <w:highlight w:val="none"/>
          <w:u w:val="single"/>
        </w:rPr>
        <w:t xml:space="preserve"> </w:t>
      </w:r>
    </w:p>
    <w:p>
      <w:pPr>
        <w:numPr>
          <w:ilvl w:val="0"/>
          <w:numId w:val="35"/>
        </w:numPr>
        <w:spacing w:line="360" w:lineRule="auto"/>
        <w:rPr>
          <w:szCs w:val="21"/>
          <w:highlight w:val="none"/>
          <w:u w:val="single"/>
        </w:rPr>
      </w:pPr>
      <w:r>
        <w:rPr>
          <w:rFonts w:hint="eastAsia"/>
          <w:kern w:val="0"/>
          <w:szCs w:val="21"/>
          <w:highlight w:val="none"/>
          <w:u w:val="single"/>
        </w:rPr>
        <w:t>《市政工程质量检验与评定标准》</w:t>
      </w:r>
    </w:p>
    <w:p>
      <w:pPr>
        <w:numPr>
          <w:ilvl w:val="0"/>
          <w:numId w:val="35"/>
        </w:numPr>
        <w:spacing w:line="360" w:lineRule="auto"/>
        <w:rPr>
          <w:szCs w:val="21"/>
          <w:highlight w:val="none"/>
          <w:u w:val="single"/>
        </w:rPr>
      </w:pPr>
      <w:r>
        <w:rPr>
          <w:rFonts w:hint="eastAsia"/>
          <w:szCs w:val="21"/>
          <w:highlight w:val="none"/>
          <w:u w:val="single"/>
        </w:rPr>
        <w:t>《气体灭火系统施工及验收规范》GB50263-2007</w:t>
      </w:r>
    </w:p>
    <w:p>
      <w:pPr>
        <w:numPr>
          <w:ilvl w:val="0"/>
          <w:numId w:val="35"/>
        </w:numPr>
        <w:spacing w:line="360" w:lineRule="auto"/>
        <w:rPr>
          <w:szCs w:val="21"/>
          <w:highlight w:val="none"/>
          <w:u w:val="single"/>
        </w:rPr>
      </w:pPr>
      <w:r>
        <w:rPr>
          <w:rFonts w:hint="eastAsia"/>
          <w:szCs w:val="21"/>
          <w:highlight w:val="none"/>
          <w:u w:val="single"/>
        </w:rPr>
        <w:t>《自动喷水灭火系统施工及验收规范》 GB 50261-2005</w:t>
      </w:r>
    </w:p>
    <w:p>
      <w:pPr>
        <w:numPr>
          <w:ilvl w:val="0"/>
          <w:numId w:val="35"/>
        </w:numPr>
        <w:spacing w:line="360" w:lineRule="auto"/>
        <w:rPr>
          <w:szCs w:val="21"/>
          <w:highlight w:val="none"/>
          <w:u w:val="single"/>
        </w:rPr>
      </w:pPr>
      <w:r>
        <w:rPr>
          <w:rFonts w:hint="eastAsia"/>
          <w:szCs w:val="21"/>
          <w:highlight w:val="none"/>
          <w:u w:val="single"/>
        </w:rPr>
        <w:t xml:space="preserve">智能建筑工程质量验收规范  GB50339-2013  </w:t>
      </w:r>
    </w:p>
    <w:p>
      <w:pPr>
        <w:numPr>
          <w:ilvl w:val="0"/>
          <w:numId w:val="35"/>
        </w:numPr>
        <w:spacing w:line="360" w:lineRule="auto"/>
        <w:rPr>
          <w:szCs w:val="21"/>
          <w:highlight w:val="none"/>
          <w:u w:val="single"/>
        </w:rPr>
      </w:pPr>
      <w:r>
        <w:rPr>
          <w:rFonts w:hint="eastAsia"/>
          <w:szCs w:val="21"/>
          <w:highlight w:val="none"/>
          <w:u w:val="single"/>
        </w:rPr>
        <w:t xml:space="preserve">建筑与建筑群综合布线系统工程施工及验收规范 GBT50312-2007 </w:t>
      </w:r>
    </w:p>
    <w:p>
      <w:pPr>
        <w:spacing w:line="360" w:lineRule="auto"/>
        <w:rPr>
          <w:szCs w:val="21"/>
          <w:highlight w:val="none"/>
          <w:u w:val="single"/>
        </w:rPr>
      </w:pPr>
      <w:r>
        <w:rPr>
          <w:kern w:val="0"/>
          <w:szCs w:val="21"/>
          <w:highlight w:val="none"/>
          <w:u w:val="single"/>
        </w:rPr>
        <w:t>3施工应执行</w:t>
      </w:r>
      <w:r>
        <w:rPr>
          <w:rFonts w:hint="eastAsia"/>
          <w:kern w:val="0"/>
          <w:szCs w:val="21"/>
          <w:highlight w:val="none"/>
          <w:u w:val="single"/>
        </w:rPr>
        <w:t>的</w:t>
      </w:r>
      <w:r>
        <w:rPr>
          <w:kern w:val="0"/>
          <w:szCs w:val="21"/>
          <w:highlight w:val="none"/>
          <w:u w:val="single"/>
        </w:rPr>
        <w:t>规范或规程</w:t>
      </w:r>
    </w:p>
    <w:p>
      <w:pPr>
        <w:numPr>
          <w:ilvl w:val="0"/>
          <w:numId w:val="36"/>
        </w:numPr>
        <w:spacing w:line="360" w:lineRule="auto"/>
        <w:rPr>
          <w:szCs w:val="21"/>
          <w:highlight w:val="none"/>
          <w:u w:val="single"/>
        </w:rPr>
      </w:pPr>
      <w:r>
        <w:rPr>
          <w:kern w:val="0"/>
          <w:szCs w:val="21"/>
          <w:highlight w:val="none"/>
          <w:u w:val="single"/>
        </w:rPr>
        <w:t>建筑工程冬期施工规程  JGJ104-</w:t>
      </w:r>
      <w:r>
        <w:rPr>
          <w:rFonts w:hint="eastAsia"/>
          <w:kern w:val="0"/>
          <w:szCs w:val="21"/>
          <w:highlight w:val="none"/>
          <w:u w:val="single"/>
        </w:rPr>
        <w:t>2011</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外墙饰面砖工程施工及验收规程  JGJ126-200</w:t>
      </w:r>
      <w:r>
        <w:rPr>
          <w:rFonts w:hint="eastAsia"/>
          <w:kern w:val="0"/>
          <w:szCs w:val="21"/>
          <w:highlight w:val="none"/>
          <w:u w:val="single"/>
        </w:rPr>
        <w:t>9</w:t>
      </w:r>
    </w:p>
    <w:p>
      <w:pPr>
        <w:numPr>
          <w:ilvl w:val="0"/>
          <w:numId w:val="36"/>
        </w:numPr>
        <w:spacing w:line="360" w:lineRule="auto"/>
        <w:rPr>
          <w:szCs w:val="21"/>
          <w:highlight w:val="none"/>
          <w:u w:val="single"/>
        </w:rPr>
      </w:pPr>
      <w:r>
        <w:rPr>
          <w:kern w:val="0"/>
          <w:szCs w:val="21"/>
          <w:highlight w:val="none"/>
          <w:u w:val="single"/>
        </w:rPr>
        <w:t>建筑涂饰工程施工及验收规程 JGJ/T29-2003</w:t>
      </w:r>
    </w:p>
    <w:p>
      <w:pPr>
        <w:numPr>
          <w:ilvl w:val="0"/>
          <w:numId w:val="36"/>
        </w:numPr>
        <w:spacing w:line="360" w:lineRule="auto"/>
        <w:rPr>
          <w:szCs w:val="21"/>
          <w:highlight w:val="none"/>
          <w:u w:val="single"/>
        </w:rPr>
      </w:pPr>
      <w:r>
        <w:rPr>
          <w:kern w:val="0"/>
          <w:szCs w:val="21"/>
          <w:highlight w:val="none"/>
          <w:u w:val="single"/>
        </w:rPr>
        <w:t>室内空气质量标准  GB/T18883-2002</w:t>
      </w:r>
    </w:p>
    <w:p>
      <w:pPr>
        <w:numPr>
          <w:ilvl w:val="0"/>
          <w:numId w:val="36"/>
        </w:numPr>
        <w:spacing w:line="360" w:lineRule="auto"/>
        <w:rPr>
          <w:szCs w:val="21"/>
          <w:highlight w:val="none"/>
          <w:u w:val="single"/>
        </w:rPr>
      </w:pPr>
      <w:r>
        <w:rPr>
          <w:kern w:val="0"/>
          <w:szCs w:val="21"/>
          <w:highlight w:val="none"/>
          <w:u w:val="single"/>
        </w:rPr>
        <w:t xml:space="preserve">建筑外门的空气渗透性能和雨水渗漏性能分级及其检测方法  GB13686-92 </w:t>
      </w:r>
    </w:p>
    <w:p>
      <w:pPr>
        <w:numPr>
          <w:ilvl w:val="0"/>
          <w:numId w:val="36"/>
        </w:numPr>
        <w:spacing w:line="360" w:lineRule="auto"/>
        <w:rPr>
          <w:szCs w:val="21"/>
          <w:highlight w:val="none"/>
          <w:u w:val="single"/>
        </w:rPr>
      </w:pPr>
      <w:r>
        <w:rPr>
          <w:kern w:val="0"/>
          <w:szCs w:val="21"/>
          <w:highlight w:val="none"/>
          <w:u w:val="single"/>
        </w:rPr>
        <w:t xml:space="preserve">建筑外门的风压变形性能分级及其检测方法  GB13685-92 </w:t>
      </w:r>
    </w:p>
    <w:p>
      <w:pPr>
        <w:numPr>
          <w:ilvl w:val="0"/>
          <w:numId w:val="36"/>
        </w:numPr>
        <w:spacing w:line="360" w:lineRule="auto"/>
        <w:rPr>
          <w:szCs w:val="21"/>
          <w:highlight w:val="none"/>
          <w:u w:val="single"/>
        </w:rPr>
      </w:pPr>
      <w:r>
        <w:rPr>
          <w:kern w:val="0"/>
          <w:szCs w:val="21"/>
          <w:highlight w:val="none"/>
          <w:u w:val="single"/>
        </w:rPr>
        <w:t>建筑玻璃应用技术规程  JGJ113-200</w:t>
      </w:r>
      <w:r>
        <w:rPr>
          <w:rFonts w:hint="eastAsia"/>
          <w:kern w:val="0"/>
          <w:szCs w:val="21"/>
          <w:highlight w:val="none"/>
          <w:u w:val="single"/>
        </w:rPr>
        <w:t>9</w:t>
      </w:r>
    </w:p>
    <w:p>
      <w:pPr>
        <w:numPr>
          <w:ilvl w:val="0"/>
          <w:numId w:val="36"/>
        </w:numPr>
        <w:spacing w:line="360" w:lineRule="auto"/>
        <w:rPr>
          <w:szCs w:val="21"/>
          <w:highlight w:val="none"/>
          <w:u w:val="single"/>
        </w:rPr>
      </w:pPr>
      <w:r>
        <w:rPr>
          <w:kern w:val="0"/>
          <w:szCs w:val="21"/>
          <w:highlight w:val="none"/>
          <w:u w:val="single"/>
        </w:rPr>
        <w:t>砌筑砂浆配合比设计规程  JGJ98-20</w:t>
      </w:r>
      <w:r>
        <w:rPr>
          <w:rFonts w:hint="eastAsia"/>
          <w:kern w:val="0"/>
          <w:szCs w:val="21"/>
          <w:highlight w:val="none"/>
          <w:u w:val="single"/>
        </w:rPr>
        <w:t>1</w:t>
      </w:r>
      <w:r>
        <w:rPr>
          <w:kern w:val="0"/>
          <w:szCs w:val="21"/>
          <w:highlight w:val="none"/>
          <w:u w:val="single"/>
        </w:rPr>
        <w:t xml:space="preserve">0  </w:t>
      </w:r>
    </w:p>
    <w:p>
      <w:pPr>
        <w:numPr>
          <w:ilvl w:val="0"/>
          <w:numId w:val="36"/>
        </w:numPr>
        <w:spacing w:line="360" w:lineRule="auto"/>
        <w:rPr>
          <w:szCs w:val="21"/>
          <w:highlight w:val="none"/>
          <w:u w:val="single"/>
        </w:rPr>
      </w:pPr>
      <w:r>
        <w:rPr>
          <w:kern w:val="0"/>
          <w:szCs w:val="21"/>
          <w:highlight w:val="none"/>
          <w:u w:val="single"/>
        </w:rPr>
        <w:t>钢筋焊接及验收规程 JGJ18-20</w:t>
      </w:r>
      <w:r>
        <w:rPr>
          <w:rFonts w:hint="eastAsia"/>
          <w:kern w:val="0"/>
          <w:szCs w:val="21"/>
          <w:highlight w:val="none"/>
          <w:u w:val="single"/>
        </w:rPr>
        <w:t>12</w:t>
      </w:r>
    </w:p>
    <w:p>
      <w:pPr>
        <w:numPr>
          <w:ilvl w:val="0"/>
          <w:numId w:val="36"/>
        </w:numPr>
        <w:spacing w:line="360" w:lineRule="auto"/>
        <w:rPr>
          <w:kern w:val="0"/>
          <w:szCs w:val="21"/>
          <w:highlight w:val="none"/>
          <w:u w:val="single"/>
        </w:rPr>
      </w:pPr>
      <w:r>
        <w:rPr>
          <w:rFonts w:hint="eastAsia"/>
          <w:kern w:val="0"/>
          <w:szCs w:val="21"/>
          <w:highlight w:val="none"/>
          <w:u w:val="single"/>
        </w:rPr>
        <w:t>室外给水设计规范GB50014-2006（2014年版）</w:t>
      </w:r>
    </w:p>
    <w:p>
      <w:pPr>
        <w:numPr>
          <w:ilvl w:val="0"/>
          <w:numId w:val="36"/>
        </w:numPr>
        <w:spacing w:line="360" w:lineRule="auto"/>
        <w:rPr>
          <w:szCs w:val="21"/>
          <w:highlight w:val="none"/>
          <w:u w:val="single"/>
        </w:rPr>
      </w:pPr>
      <w:r>
        <w:rPr>
          <w:rFonts w:hint="eastAsia"/>
          <w:kern w:val="0"/>
          <w:szCs w:val="21"/>
          <w:highlight w:val="none"/>
          <w:u w:val="single"/>
        </w:rPr>
        <w:t>钢结构焊接规范</w:t>
      </w:r>
      <w:r>
        <w:rPr>
          <w:kern w:val="0"/>
          <w:szCs w:val="21"/>
          <w:highlight w:val="none"/>
          <w:u w:val="single"/>
        </w:rPr>
        <w:t>GB 50661-2011</w:t>
      </w:r>
    </w:p>
    <w:p>
      <w:pPr>
        <w:numPr>
          <w:ilvl w:val="0"/>
          <w:numId w:val="36"/>
        </w:numPr>
        <w:spacing w:line="360" w:lineRule="auto"/>
        <w:rPr>
          <w:szCs w:val="21"/>
          <w:highlight w:val="none"/>
          <w:u w:val="single"/>
        </w:rPr>
      </w:pPr>
      <w:r>
        <w:rPr>
          <w:kern w:val="0"/>
          <w:szCs w:val="21"/>
          <w:highlight w:val="none"/>
          <w:u w:val="single"/>
        </w:rPr>
        <w:t>混凝土质量控制标准  GB50164</w:t>
      </w:r>
      <w:r>
        <w:rPr>
          <w:rFonts w:hint="eastAsia"/>
          <w:kern w:val="0"/>
          <w:szCs w:val="21"/>
          <w:highlight w:val="none"/>
          <w:u w:val="single"/>
        </w:rPr>
        <w:t>-2011</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砂、石碱活性快速试验方法 CECS48:93</w:t>
      </w:r>
    </w:p>
    <w:p>
      <w:pPr>
        <w:numPr>
          <w:ilvl w:val="0"/>
          <w:numId w:val="36"/>
        </w:numPr>
        <w:spacing w:line="360" w:lineRule="auto"/>
        <w:rPr>
          <w:szCs w:val="21"/>
          <w:highlight w:val="none"/>
          <w:u w:val="single"/>
        </w:rPr>
      </w:pPr>
      <w:r>
        <w:rPr>
          <w:kern w:val="0"/>
          <w:szCs w:val="21"/>
          <w:highlight w:val="none"/>
          <w:u w:val="single"/>
        </w:rPr>
        <w:t>建筑工程饰面砖粘结强度检验标准  JGJ110-</w:t>
      </w:r>
      <w:r>
        <w:rPr>
          <w:rFonts w:hint="eastAsia"/>
          <w:kern w:val="0"/>
          <w:szCs w:val="21"/>
          <w:highlight w:val="none"/>
          <w:u w:val="single"/>
        </w:rPr>
        <w:t>2008</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混凝土外加剂应用技术规范 GB50119-20</w:t>
      </w:r>
      <w:r>
        <w:rPr>
          <w:rFonts w:hint="eastAsia"/>
          <w:kern w:val="0"/>
          <w:szCs w:val="21"/>
          <w:highlight w:val="none"/>
          <w:u w:val="single"/>
        </w:rPr>
        <w:t>1</w:t>
      </w:r>
      <w:r>
        <w:rPr>
          <w:kern w:val="0"/>
          <w:szCs w:val="21"/>
          <w:highlight w:val="none"/>
          <w:u w:val="single"/>
        </w:rPr>
        <w:t>3</w:t>
      </w:r>
    </w:p>
    <w:p>
      <w:pPr>
        <w:numPr>
          <w:ilvl w:val="0"/>
          <w:numId w:val="36"/>
        </w:numPr>
        <w:spacing w:line="360" w:lineRule="auto"/>
        <w:rPr>
          <w:kern w:val="0"/>
          <w:szCs w:val="21"/>
          <w:highlight w:val="none"/>
          <w:u w:val="single"/>
        </w:rPr>
      </w:pPr>
      <w:r>
        <w:rPr>
          <w:kern w:val="0"/>
          <w:szCs w:val="21"/>
          <w:highlight w:val="none"/>
          <w:u w:val="single"/>
        </w:rPr>
        <w:t>普通混凝土用砂、石质量及检验方法标准  JGJ5</w:t>
      </w:r>
      <w:r>
        <w:rPr>
          <w:rFonts w:hint="eastAsia"/>
          <w:kern w:val="0"/>
          <w:szCs w:val="21"/>
          <w:highlight w:val="none"/>
          <w:u w:val="single"/>
        </w:rPr>
        <w:t>2</w:t>
      </w:r>
      <w:r>
        <w:rPr>
          <w:kern w:val="0"/>
          <w:szCs w:val="21"/>
          <w:highlight w:val="none"/>
          <w:u w:val="single"/>
        </w:rPr>
        <w:t>-</w:t>
      </w:r>
      <w:r>
        <w:rPr>
          <w:rFonts w:hint="eastAsia"/>
          <w:kern w:val="0"/>
          <w:szCs w:val="21"/>
          <w:highlight w:val="none"/>
          <w:u w:val="single"/>
        </w:rPr>
        <w:t>2006</w:t>
      </w:r>
    </w:p>
    <w:p>
      <w:pPr>
        <w:numPr>
          <w:ilvl w:val="0"/>
          <w:numId w:val="36"/>
        </w:numPr>
        <w:spacing w:line="360" w:lineRule="auto"/>
        <w:rPr>
          <w:kern w:val="0"/>
          <w:szCs w:val="21"/>
          <w:highlight w:val="none"/>
          <w:u w:val="single"/>
        </w:rPr>
      </w:pPr>
      <w:r>
        <w:rPr>
          <w:kern w:val="0"/>
          <w:szCs w:val="21"/>
          <w:highlight w:val="none"/>
          <w:u w:val="single"/>
        </w:rPr>
        <w:t>建设用卵石、碎石GB/T 14685-2011</w:t>
      </w:r>
    </w:p>
    <w:p>
      <w:pPr>
        <w:numPr>
          <w:ilvl w:val="0"/>
          <w:numId w:val="36"/>
        </w:numPr>
        <w:spacing w:line="360" w:lineRule="auto"/>
        <w:rPr>
          <w:kern w:val="0"/>
          <w:szCs w:val="21"/>
          <w:highlight w:val="none"/>
          <w:u w:val="single"/>
        </w:rPr>
      </w:pPr>
      <w:r>
        <w:rPr>
          <w:kern w:val="0"/>
          <w:szCs w:val="21"/>
          <w:highlight w:val="none"/>
          <w:u w:val="single"/>
        </w:rPr>
        <w:t>建设用砂GB/T 14684-2011</w:t>
      </w:r>
    </w:p>
    <w:p>
      <w:pPr>
        <w:numPr>
          <w:ilvl w:val="0"/>
          <w:numId w:val="36"/>
        </w:numPr>
        <w:spacing w:line="360" w:lineRule="auto"/>
        <w:rPr>
          <w:kern w:val="0"/>
          <w:szCs w:val="21"/>
          <w:highlight w:val="none"/>
          <w:u w:val="single"/>
        </w:rPr>
      </w:pPr>
      <w:r>
        <w:rPr>
          <w:kern w:val="0"/>
          <w:szCs w:val="21"/>
          <w:highlight w:val="none"/>
          <w:u w:val="single"/>
        </w:rPr>
        <w:t>普通混凝土用砂质量标准及检验方法  JGJ52-</w:t>
      </w:r>
      <w:r>
        <w:rPr>
          <w:rFonts w:hint="eastAsia"/>
          <w:kern w:val="0"/>
          <w:szCs w:val="21"/>
          <w:highlight w:val="none"/>
          <w:u w:val="single"/>
        </w:rPr>
        <w:t>2006</w:t>
      </w:r>
    </w:p>
    <w:p>
      <w:pPr>
        <w:numPr>
          <w:ilvl w:val="0"/>
          <w:numId w:val="36"/>
        </w:numPr>
        <w:spacing w:line="360" w:lineRule="auto"/>
        <w:rPr>
          <w:szCs w:val="21"/>
          <w:highlight w:val="none"/>
          <w:u w:val="single"/>
        </w:rPr>
      </w:pPr>
      <w:r>
        <w:rPr>
          <w:kern w:val="0"/>
          <w:szCs w:val="21"/>
          <w:highlight w:val="none"/>
          <w:u w:val="single"/>
        </w:rPr>
        <w:t xml:space="preserve">粉煤灰在混凝土和砂浆中应用技术规程  JGJ28-86 </w:t>
      </w:r>
    </w:p>
    <w:p>
      <w:pPr>
        <w:numPr>
          <w:ilvl w:val="0"/>
          <w:numId w:val="36"/>
        </w:numPr>
        <w:spacing w:line="360" w:lineRule="auto"/>
        <w:rPr>
          <w:szCs w:val="21"/>
          <w:highlight w:val="none"/>
          <w:u w:val="single"/>
        </w:rPr>
      </w:pPr>
      <w:r>
        <w:rPr>
          <w:kern w:val="0"/>
          <w:szCs w:val="21"/>
          <w:highlight w:val="none"/>
          <w:u w:val="single"/>
        </w:rPr>
        <w:t>混凝土强度检验评定标准  GBJ107</w:t>
      </w:r>
      <w:r>
        <w:rPr>
          <w:rFonts w:hint="eastAsia"/>
          <w:kern w:val="0"/>
          <w:szCs w:val="21"/>
          <w:highlight w:val="none"/>
          <w:u w:val="single"/>
        </w:rPr>
        <w:t>-2010</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水泥取样方法  GB12573-</w:t>
      </w:r>
      <w:r>
        <w:rPr>
          <w:rFonts w:hint="eastAsia"/>
          <w:kern w:val="0"/>
          <w:szCs w:val="21"/>
          <w:highlight w:val="none"/>
          <w:u w:val="single"/>
        </w:rPr>
        <w:t>2008</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轻集料混凝土小型空心砌块  GB15229-</w:t>
      </w:r>
      <w:r>
        <w:rPr>
          <w:rFonts w:hint="eastAsia"/>
          <w:kern w:val="0"/>
          <w:szCs w:val="21"/>
          <w:highlight w:val="none"/>
          <w:u w:val="single"/>
        </w:rPr>
        <w:t>2011</w:t>
      </w:r>
      <w:r>
        <w:rPr>
          <w:kern w:val="0"/>
          <w:szCs w:val="21"/>
          <w:highlight w:val="none"/>
          <w:u w:val="single"/>
        </w:rPr>
        <w:t xml:space="preserve">  </w:t>
      </w:r>
    </w:p>
    <w:p>
      <w:pPr>
        <w:numPr>
          <w:ilvl w:val="0"/>
          <w:numId w:val="36"/>
        </w:numPr>
        <w:spacing w:line="360" w:lineRule="auto"/>
        <w:rPr>
          <w:szCs w:val="21"/>
          <w:highlight w:val="none"/>
          <w:u w:val="single"/>
        </w:rPr>
      </w:pPr>
      <w:r>
        <w:rPr>
          <w:kern w:val="0"/>
          <w:szCs w:val="21"/>
          <w:highlight w:val="none"/>
          <w:u w:val="single"/>
        </w:rPr>
        <w:t>轻骨料混凝土技术规程JGJ51-2002</w:t>
      </w:r>
    </w:p>
    <w:p>
      <w:pPr>
        <w:numPr>
          <w:ilvl w:val="0"/>
          <w:numId w:val="36"/>
        </w:numPr>
        <w:spacing w:line="360" w:lineRule="auto"/>
        <w:rPr>
          <w:szCs w:val="21"/>
          <w:highlight w:val="none"/>
          <w:u w:val="single"/>
        </w:rPr>
      </w:pPr>
      <w:r>
        <w:rPr>
          <w:kern w:val="0"/>
          <w:szCs w:val="21"/>
          <w:highlight w:val="none"/>
          <w:u w:val="single"/>
        </w:rPr>
        <w:t>烧结空心砖和空心砌块  GB13545</w:t>
      </w:r>
      <w:r>
        <w:rPr>
          <w:rFonts w:hint="eastAsia"/>
          <w:kern w:val="0"/>
          <w:szCs w:val="21"/>
          <w:highlight w:val="none"/>
          <w:u w:val="single"/>
        </w:rPr>
        <w:t>-</w:t>
      </w:r>
      <w:r>
        <w:rPr>
          <w:kern w:val="0"/>
          <w:szCs w:val="21"/>
          <w:highlight w:val="none"/>
          <w:u w:val="single"/>
        </w:rPr>
        <w:t>20</w:t>
      </w:r>
      <w:r>
        <w:rPr>
          <w:rFonts w:hint="eastAsia"/>
          <w:kern w:val="0"/>
          <w:szCs w:val="21"/>
          <w:highlight w:val="none"/>
          <w:u w:val="single"/>
        </w:rPr>
        <w:t>14</w:t>
      </w:r>
    </w:p>
    <w:p>
      <w:pPr>
        <w:numPr>
          <w:ilvl w:val="0"/>
          <w:numId w:val="36"/>
        </w:numPr>
        <w:spacing w:line="360" w:lineRule="auto"/>
        <w:rPr>
          <w:szCs w:val="21"/>
          <w:highlight w:val="none"/>
          <w:u w:val="single"/>
        </w:rPr>
      </w:pPr>
      <w:r>
        <w:rPr>
          <w:kern w:val="0"/>
          <w:szCs w:val="21"/>
          <w:highlight w:val="none"/>
          <w:u w:val="single"/>
        </w:rPr>
        <w:t>混凝土结构试验方法标准  GB50152-</w:t>
      </w:r>
      <w:r>
        <w:rPr>
          <w:rFonts w:hint="eastAsia"/>
          <w:kern w:val="0"/>
          <w:szCs w:val="21"/>
          <w:highlight w:val="none"/>
          <w:u w:val="single"/>
        </w:rPr>
        <w:t>201</w:t>
      </w:r>
      <w:r>
        <w:rPr>
          <w:kern w:val="0"/>
          <w:szCs w:val="21"/>
          <w:highlight w:val="none"/>
          <w:u w:val="single"/>
        </w:rPr>
        <w:t>2</w:t>
      </w:r>
    </w:p>
    <w:p>
      <w:pPr>
        <w:numPr>
          <w:ilvl w:val="0"/>
          <w:numId w:val="36"/>
        </w:numPr>
        <w:spacing w:line="360" w:lineRule="auto"/>
        <w:rPr>
          <w:szCs w:val="21"/>
          <w:highlight w:val="none"/>
          <w:u w:val="single"/>
        </w:rPr>
      </w:pPr>
      <w:r>
        <w:rPr>
          <w:rFonts w:hint="eastAsia"/>
          <w:kern w:val="0"/>
          <w:szCs w:val="21"/>
          <w:highlight w:val="none"/>
          <w:u w:val="single"/>
        </w:rPr>
        <w:t xml:space="preserve">建筑排水硬聚氯乙烯螺旋管管道工程设计、施工及验收规程  CECS94：2002    </w:t>
      </w:r>
    </w:p>
    <w:p>
      <w:pPr>
        <w:spacing w:line="360" w:lineRule="auto"/>
        <w:rPr>
          <w:szCs w:val="21"/>
          <w:highlight w:val="none"/>
          <w:u w:val="single"/>
        </w:rPr>
      </w:pPr>
      <w:r>
        <w:rPr>
          <w:kern w:val="0"/>
          <w:szCs w:val="21"/>
          <w:highlight w:val="none"/>
          <w:u w:val="single"/>
        </w:rPr>
        <w:t>4建筑材料</w:t>
      </w:r>
    </w:p>
    <w:p>
      <w:pPr>
        <w:numPr>
          <w:ilvl w:val="0"/>
          <w:numId w:val="37"/>
        </w:numPr>
        <w:spacing w:line="360" w:lineRule="auto"/>
        <w:rPr>
          <w:szCs w:val="21"/>
          <w:highlight w:val="none"/>
          <w:u w:val="single"/>
        </w:rPr>
      </w:pPr>
      <w:r>
        <w:rPr>
          <w:kern w:val="0"/>
          <w:szCs w:val="21"/>
          <w:highlight w:val="none"/>
          <w:u w:val="single"/>
        </w:rPr>
        <w:t>建筑材料放射性核素限量  GB6566-20</w:t>
      </w:r>
      <w:r>
        <w:rPr>
          <w:rFonts w:hint="eastAsia"/>
          <w:kern w:val="0"/>
          <w:szCs w:val="21"/>
          <w:highlight w:val="none"/>
          <w:u w:val="single"/>
        </w:rPr>
        <w:t>10</w:t>
      </w:r>
      <w:r>
        <w:rPr>
          <w:kern w:val="0"/>
          <w:szCs w:val="21"/>
          <w:highlight w:val="none"/>
          <w:u w:val="single"/>
        </w:rPr>
        <w:t xml:space="preserve"> </w:t>
      </w:r>
    </w:p>
    <w:p>
      <w:pPr>
        <w:numPr>
          <w:ilvl w:val="0"/>
          <w:numId w:val="37"/>
        </w:numPr>
        <w:spacing w:line="360" w:lineRule="auto"/>
        <w:rPr>
          <w:szCs w:val="21"/>
          <w:highlight w:val="none"/>
          <w:u w:val="single"/>
        </w:rPr>
      </w:pPr>
      <w:r>
        <w:rPr>
          <w:kern w:val="0"/>
          <w:szCs w:val="21"/>
          <w:highlight w:val="none"/>
          <w:u w:val="single"/>
        </w:rPr>
        <w:t>混凝土外加剂中释放氨限量  GB18588</w:t>
      </w:r>
      <w:r>
        <w:rPr>
          <w:rFonts w:hint="eastAsia"/>
          <w:kern w:val="0"/>
          <w:szCs w:val="21"/>
          <w:highlight w:val="none"/>
          <w:u w:val="single"/>
        </w:rPr>
        <w:t>-</w:t>
      </w:r>
      <w:r>
        <w:rPr>
          <w:kern w:val="0"/>
          <w:szCs w:val="21"/>
          <w:highlight w:val="none"/>
          <w:u w:val="single"/>
        </w:rPr>
        <w:t>2001</w:t>
      </w:r>
    </w:p>
    <w:p>
      <w:pPr>
        <w:numPr>
          <w:ilvl w:val="0"/>
          <w:numId w:val="37"/>
        </w:numPr>
        <w:spacing w:line="360" w:lineRule="auto"/>
        <w:rPr>
          <w:szCs w:val="21"/>
          <w:highlight w:val="none"/>
          <w:u w:val="single"/>
        </w:rPr>
      </w:pPr>
    </w:p>
    <w:p>
      <w:pPr>
        <w:spacing w:line="360" w:lineRule="auto"/>
        <w:rPr>
          <w:szCs w:val="21"/>
          <w:highlight w:val="none"/>
          <w:u w:val="single"/>
        </w:rPr>
      </w:pPr>
      <w:r>
        <w:rPr>
          <w:kern w:val="0"/>
          <w:szCs w:val="21"/>
          <w:highlight w:val="none"/>
          <w:u w:val="single"/>
        </w:rPr>
        <w:t>5施工现场管理</w:t>
      </w:r>
    </w:p>
    <w:p>
      <w:pPr>
        <w:numPr>
          <w:ilvl w:val="0"/>
          <w:numId w:val="38"/>
        </w:numPr>
        <w:spacing w:line="360" w:lineRule="auto"/>
        <w:rPr>
          <w:szCs w:val="21"/>
          <w:highlight w:val="none"/>
          <w:u w:val="single"/>
        </w:rPr>
      </w:pPr>
      <w:r>
        <w:rPr>
          <w:kern w:val="0"/>
          <w:szCs w:val="21"/>
          <w:highlight w:val="none"/>
          <w:u w:val="single"/>
        </w:rPr>
        <w:t>建设工程施工现场生活区设置和管理标准</w:t>
      </w:r>
    </w:p>
    <w:p>
      <w:pPr>
        <w:numPr>
          <w:ilvl w:val="0"/>
          <w:numId w:val="38"/>
        </w:numPr>
        <w:spacing w:line="360" w:lineRule="auto"/>
        <w:rPr>
          <w:szCs w:val="21"/>
          <w:highlight w:val="none"/>
          <w:u w:val="single"/>
        </w:rPr>
      </w:pPr>
      <w:r>
        <w:rPr>
          <w:kern w:val="0"/>
          <w:szCs w:val="21"/>
          <w:highlight w:val="none"/>
          <w:u w:val="single"/>
        </w:rPr>
        <w:t>建筑施工安全检查标准JGJ59－</w:t>
      </w:r>
      <w:r>
        <w:rPr>
          <w:rFonts w:hint="eastAsia"/>
          <w:kern w:val="0"/>
          <w:szCs w:val="21"/>
          <w:highlight w:val="none"/>
          <w:u w:val="single"/>
        </w:rPr>
        <w:t>2011</w:t>
      </w:r>
    </w:p>
    <w:p>
      <w:pPr>
        <w:numPr>
          <w:ilvl w:val="0"/>
          <w:numId w:val="38"/>
        </w:numPr>
        <w:spacing w:line="360" w:lineRule="auto"/>
        <w:rPr>
          <w:szCs w:val="21"/>
          <w:highlight w:val="none"/>
          <w:u w:val="single"/>
        </w:rPr>
      </w:pPr>
      <w:r>
        <w:rPr>
          <w:kern w:val="0"/>
          <w:szCs w:val="21"/>
          <w:highlight w:val="none"/>
          <w:u w:val="single"/>
        </w:rPr>
        <w:t>建筑施工门式钢管脚手架安全技术规范 JGJ128-20</w:t>
      </w:r>
      <w:r>
        <w:rPr>
          <w:rFonts w:hint="eastAsia"/>
          <w:kern w:val="0"/>
          <w:szCs w:val="21"/>
          <w:highlight w:val="none"/>
          <w:u w:val="single"/>
        </w:rPr>
        <w:t>1</w:t>
      </w:r>
      <w:r>
        <w:rPr>
          <w:kern w:val="0"/>
          <w:szCs w:val="21"/>
          <w:highlight w:val="none"/>
          <w:u w:val="single"/>
        </w:rPr>
        <w:t>0</w:t>
      </w:r>
    </w:p>
    <w:p>
      <w:pPr>
        <w:numPr>
          <w:ilvl w:val="0"/>
          <w:numId w:val="38"/>
        </w:numPr>
        <w:spacing w:line="360" w:lineRule="auto"/>
        <w:rPr>
          <w:szCs w:val="21"/>
          <w:highlight w:val="none"/>
          <w:u w:val="single"/>
        </w:rPr>
      </w:pPr>
      <w:r>
        <w:rPr>
          <w:kern w:val="0"/>
          <w:szCs w:val="21"/>
          <w:highlight w:val="none"/>
          <w:u w:val="single"/>
        </w:rPr>
        <w:t>建筑施工扣件式钢管脚手架安全技术规范 JGJ130-20</w:t>
      </w:r>
      <w:r>
        <w:rPr>
          <w:rFonts w:hint="eastAsia"/>
          <w:kern w:val="0"/>
          <w:szCs w:val="21"/>
          <w:highlight w:val="none"/>
          <w:u w:val="single"/>
        </w:rPr>
        <w:t>1</w:t>
      </w:r>
      <w:r>
        <w:rPr>
          <w:kern w:val="0"/>
          <w:szCs w:val="21"/>
          <w:highlight w:val="none"/>
          <w:u w:val="single"/>
        </w:rPr>
        <w:t>1</w:t>
      </w:r>
    </w:p>
    <w:p>
      <w:pPr>
        <w:numPr>
          <w:ilvl w:val="0"/>
          <w:numId w:val="38"/>
        </w:numPr>
        <w:spacing w:line="360" w:lineRule="auto"/>
        <w:rPr>
          <w:szCs w:val="21"/>
          <w:highlight w:val="none"/>
          <w:u w:val="single"/>
        </w:rPr>
      </w:pPr>
      <w:r>
        <w:rPr>
          <w:kern w:val="0"/>
          <w:szCs w:val="21"/>
          <w:highlight w:val="none"/>
          <w:u w:val="single"/>
        </w:rPr>
        <w:t>建筑施工高处作业安全技术规范  JGJ80-91</w:t>
      </w:r>
    </w:p>
    <w:p>
      <w:pPr>
        <w:numPr>
          <w:ilvl w:val="0"/>
          <w:numId w:val="38"/>
        </w:numPr>
        <w:spacing w:line="360" w:lineRule="auto"/>
        <w:rPr>
          <w:szCs w:val="21"/>
          <w:highlight w:val="none"/>
          <w:u w:val="single"/>
        </w:rPr>
      </w:pPr>
      <w:r>
        <w:rPr>
          <w:kern w:val="0"/>
          <w:szCs w:val="21"/>
          <w:highlight w:val="none"/>
          <w:u w:val="single"/>
        </w:rPr>
        <w:t>施工升降机安全规则  GB10055-</w:t>
      </w:r>
      <w:r>
        <w:rPr>
          <w:rFonts w:hint="eastAsia"/>
          <w:kern w:val="0"/>
          <w:szCs w:val="21"/>
          <w:highlight w:val="none"/>
          <w:u w:val="single"/>
        </w:rPr>
        <w:t xml:space="preserve">2007 </w:t>
      </w:r>
    </w:p>
    <w:p>
      <w:pPr>
        <w:numPr>
          <w:ilvl w:val="0"/>
          <w:numId w:val="38"/>
        </w:numPr>
        <w:spacing w:line="360" w:lineRule="auto"/>
        <w:rPr>
          <w:szCs w:val="21"/>
          <w:highlight w:val="none"/>
          <w:u w:val="single"/>
        </w:rPr>
      </w:pPr>
      <w:r>
        <w:rPr>
          <w:kern w:val="0"/>
          <w:szCs w:val="21"/>
          <w:highlight w:val="none"/>
          <w:u w:val="single"/>
        </w:rPr>
        <w:t>建筑机械使用安全技术规程 JGJ33-</w:t>
      </w:r>
      <w:r>
        <w:rPr>
          <w:rFonts w:hint="eastAsia"/>
          <w:kern w:val="0"/>
          <w:szCs w:val="21"/>
          <w:highlight w:val="none"/>
          <w:u w:val="single"/>
        </w:rPr>
        <w:t xml:space="preserve">2012 </w:t>
      </w:r>
    </w:p>
    <w:p>
      <w:pPr>
        <w:numPr>
          <w:ilvl w:val="0"/>
          <w:numId w:val="38"/>
        </w:numPr>
        <w:spacing w:line="360" w:lineRule="auto"/>
        <w:rPr>
          <w:szCs w:val="21"/>
          <w:highlight w:val="none"/>
          <w:u w:val="single"/>
        </w:rPr>
      </w:pPr>
      <w:r>
        <w:rPr>
          <w:kern w:val="0"/>
          <w:szCs w:val="21"/>
          <w:highlight w:val="none"/>
          <w:u w:val="single"/>
        </w:rPr>
        <w:t>施工现场临时用电安全技术规程 JGJ46-</w:t>
      </w:r>
      <w:r>
        <w:rPr>
          <w:rFonts w:hint="eastAsia"/>
          <w:kern w:val="0"/>
          <w:szCs w:val="21"/>
          <w:highlight w:val="none"/>
          <w:u w:val="single"/>
        </w:rPr>
        <w:t xml:space="preserve">2005 </w:t>
      </w:r>
    </w:p>
    <w:p>
      <w:pPr>
        <w:numPr>
          <w:ilvl w:val="0"/>
          <w:numId w:val="38"/>
        </w:numPr>
        <w:spacing w:line="360" w:lineRule="auto"/>
        <w:rPr>
          <w:szCs w:val="21"/>
          <w:highlight w:val="none"/>
          <w:u w:val="single"/>
        </w:rPr>
      </w:pPr>
      <w:r>
        <w:rPr>
          <w:kern w:val="0"/>
          <w:szCs w:val="21"/>
          <w:highlight w:val="none"/>
          <w:u w:val="single"/>
        </w:rPr>
        <w:t>建设工程施工现场供用电安全规范  GB50194-</w:t>
      </w:r>
      <w:r>
        <w:rPr>
          <w:rFonts w:hint="eastAsia"/>
          <w:kern w:val="0"/>
          <w:szCs w:val="21"/>
          <w:highlight w:val="none"/>
          <w:u w:val="single"/>
        </w:rPr>
        <w:t>2014</w:t>
      </w:r>
    </w:p>
    <w:p>
      <w:pPr>
        <w:spacing w:line="360" w:lineRule="auto"/>
        <w:rPr>
          <w:b/>
          <w:szCs w:val="21"/>
          <w:highlight w:val="none"/>
        </w:rPr>
      </w:pPr>
      <w:r>
        <w:rPr>
          <w:rFonts w:hint="eastAsia"/>
          <w:kern w:val="0"/>
          <w:szCs w:val="21"/>
          <w:highlight w:val="none"/>
        </w:rPr>
        <w:t>备注：上述列及的规范或标准仅为部分，任何适用本工程的规范或标准，承包人都必须严格遵照执行。</w:t>
      </w:r>
    </w:p>
    <w:p>
      <w:pPr>
        <w:spacing w:after="156" w:afterLines="50" w:line="300" w:lineRule="auto"/>
        <w:rPr>
          <w:highlight w:val="none"/>
        </w:rPr>
      </w:pPr>
      <w:r>
        <w:rPr>
          <w:rFonts w:hint="eastAsia" w:ascii="Arial Narrow"/>
          <w:b/>
          <w:kern w:val="0"/>
          <w:sz w:val="20"/>
          <w:highlight w:val="none"/>
        </w:rPr>
        <w:t>本招标文件中约定的任何承包人应予以遵照执行的规范都指各自的最新版本。其他未注明的规范执行国家最新标准。如与最新的规范相矛盾，按照国家颁布的最新的验收规范执行。</w:t>
      </w:r>
    </w:p>
    <w:p>
      <w:pPr>
        <w:spacing w:after="156" w:afterLines="50" w:line="300" w:lineRule="auto"/>
        <w:rPr>
          <w:rFonts w:ascii="黑体" w:eastAsia="黑体"/>
          <w:sz w:val="24"/>
          <w:highlight w:val="none"/>
        </w:rPr>
      </w:pPr>
    </w:p>
    <w:p>
      <w:pPr>
        <w:spacing w:after="156" w:afterLines="50" w:line="300" w:lineRule="auto"/>
        <w:rPr>
          <w:rFonts w:ascii="黑体" w:eastAsia="黑体"/>
          <w:sz w:val="24"/>
          <w:highlight w:val="none"/>
        </w:rPr>
      </w:pPr>
      <w:r>
        <w:rPr>
          <w:rFonts w:ascii="黑体" w:eastAsia="黑体"/>
          <w:sz w:val="24"/>
          <w:highlight w:val="none"/>
        </w:rPr>
        <w:br w:type="page"/>
      </w:r>
    </w:p>
    <w:p>
      <w:pPr>
        <w:spacing w:after="156" w:afterLines="50" w:line="300" w:lineRule="auto"/>
        <w:rPr>
          <w:highlight w:val="none"/>
        </w:rPr>
      </w:pPr>
    </w:p>
    <w:p>
      <w:pPr>
        <w:spacing w:before="312" w:beforeLines="100" w:after="312" w:afterLines="100"/>
        <w:jc w:val="center"/>
        <w:rPr>
          <w:rFonts w:ascii="黑体" w:eastAsia="黑体"/>
          <w:sz w:val="24"/>
          <w:highlight w:val="none"/>
        </w:rPr>
      </w:pPr>
      <w:r>
        <w:rPr>
          <w:rFonts w:hint="eastAsia" w:ascii="黑体" w:eastAsia="黑体"/>
          <w:sz w:val="24"/>
          <w:highlight w:val="none"/>
        </w:rPr>
        <w:t>附件A：施工现场现状平面图</w:t>
      </w:r>
    </w:p>
    <w:p>
      <w:pPr>
        <w:jc w:val="center"/>
        <w:rPr>
          <w:rFonts w:ascii="黑体" w:eastAsia="黑体"/>
          <w:sz w:val="48"/>
          <w:szCs w:val="48"/>
          <w:highlight w:val="none"/>
        </w:rPr>
      </w:pPr>
      <w:r>
        <w:rPr>
          <w:rFonts w:ascii="黑体" w:eastAsia="黑体"/>
          <w:sz w:val="48"/>
          <w:szCs w:val="48"/>
          <w:highlight w:val="none"/>
        </w:rPr>
        <w:br w:type="page"/>
      </w:r>
      <w:r>
        <w:rPr>
          <w:rFonts w:hint="eastAsia" w:ascii="黑体" w:hAnsi="Times New Roman" w:eastAsia="黑体" w:cs="Times New Roman"/>
          <w:b/>
          <w:sz w:val="48"/>
          <w:szCs w:val="48"/>
          <w:highlight w:val="none"/>
        </w:rPr>
        <w:t>第四卷</w:t>
      </w:r>
    </w:p>
    <w:p>
      <w:pPr>
        <w:widowControl/>
        <w:spacing w:line="360" w:lineRule="auto"/>
        <w:jc w:val="center"/>
        <w:outlineLvl w:val="0"/>
        <w:rPr>
          <w:rFonts w:ascii="黑体" w:eastAsia="黑体"/>
          <w:sz w:val="32"/>
          <w:szCs w:val="32"/>
          <w:highlight w:val="none"/>
        </w:rPr>
      </w:pPr>
      <w:r>
        <w:rPr>
          <w:rFonts w:ascii="黑体" w:eastAsia="黑体"/>
          <w:sz w:val="32"/>
          <w:szCs w:val="32"/>
          <w:highlight w:val="none"/>
        </w:rPr>
        <w:br w:type="page"/>
      </w:r>
      <w:bookmarkStart w:id="2496" w:name="_Toc26796"/>
      <w:r>
        <w:rPr>
          <w:rFonts w:hint="eastAsia" w:ascii="黑体" w:hAnsi="黑体" w:eastAsia="黑体" w:cs="Times New Roman"/>
          <w:b/>
          <w:kern w:val="0"/>
          <w:sz w:val="30"/>
          <w:szCs w:val="30"/>
          <w:highlight w:val="none"/>
        </w:rPr>
        <w:t>第八章  投标文件格式</w:t>
      </w:r>
      <w:bookmarkEnd w:id="2496"/>
    </w:p>
    <w:p>
      <w:pPr>
        <w:jc w:val="center"/>
        <w:rPr>
          <w:rFonts w:ascii="黑体" w:eastAsia="黑体"/>
          <w:sz w:val="28"/>
          <w:szCs w:val="28"/>
          <w:highlight w:val="none"/>
        </w:rPr>
      </w:pPr>
      <w:r>
        <w:rPr>
          <w:rFonts w:ascii="黑体" w:eastAsia="黑体"/>
          <w:sz w:val="32"/>
          <w:szCs w:val="32"/>
          <w:highlight w:val="none"/>
          <w:u w:val="single"/>
        </w:rPr>
        <w:br w:type="page"/>
      </w:r>
      <w:r>
        <w:rPr>
          <w:rFonts w:hint="eastAsia" w:ascii="黑体" w:eastAsia="黑体"/>
          <w:sz w:val="32"/>
          <w:szCs w:val="32"/>
          <w:highlight w:val="none"/>
          <w:u w:val="single"/>
        </w:rPr>
        <w:t xml:space="preserve">             </w:t>
      </w:r>
      <w:r>
        <w:rPr>
          <w:rFonts w:hint="eastAsia"/>
          <w:sz w:val="28"/>
          <w:szCs w:val="28"/>
          <w:highlight w:val="none"/>
        </w:rPr>
        <w:t>（项目名称）</w:t>
      </w: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r>
        <w:rPr>
          <w:rFonts w:hint="eastAsia" w:ascii="黑体" w:eastAsia="黑体"/>
          <w:sz w:val="44"/>
          <w:szCs w:val="44"/>
          <w:highlight w:val="none"/>
        </w:rPr>
        <w:t>投  标  文  件</w:t>
      </w: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before="312" w:beforeLines="100"/>
        <w:jc w:val="center"/>
        <w:rPr>
          <w:rFonts w:ascii="黑体" w:eastAsia="黑体"/>
          <w:sz w:val="44"/>
          <w:szCs w:val="44"/>
          <w:highlight w:val="none"/>
        </w:rPr>
      </w:pPr>
    </w:p>
    <w:p>
      <w:pPr>
        <w:spacing w:line="360" w:lineRule="auto"/>
        <w:jc w:val="center"/>
        <w:rPr>
          <w:rFonts w:ascii="黑体" w:eastAsia="黑体"/>
          <w:sz w:val="28"/>
          <w:szCs w:val="28"/>
          <w:highlight w:val="none"/>
        </w:rPr>
      </w:pPr>
      <w:r>
        <w:rPr>
          <w:rFonts w:hint="eastAsia" w:ascii="黑体" w:eastAsia="黑体"/>
          <w:sz w:val="28"/>
          <w:szCs w:val="28"/>
          <w:highlight w:val="none"/>
        </w:rPr>
        <w:t>投标人：</w:t>
      </w:r>
      <w:r>
        <w:rPr>
          <w:rFonts w:hint="eastAsia" w:ascii="黑体" w:eastAsia="黑体"/>
          <w:sz w:val="28"/>
          <w:szCs w:val="28"/>
          <w:highlight w:val="none"/>
          <w:u w:val="single"/>
        </w:rPr>
        <w:t xml:space="preserve">                               </w:t>
      </w:r>
      <w:r>
        <w:rPr>
          <w:rFonts w:hint="eastAsia" w:ascii="黑体" w:eastAsia="黑体"/>
          <w:sz w:val="28"/>
          <w:szCs w:val="28"/>
          <w:highlight w:val="none"/>
        </w:rPr>
        <w:t>（盖单位章）</w:t>
      </w:r>
    </w:p>
    <w:p>
      <w:pPr>
        <w:spacing w:line="360" w:lineRule="auto"/>
        <w:jc w:val="center"/>
        <w:rPr>
          <w:rFonts w:ascii="黑体" w:eastAsia="黑体"/>
          <w:sz w:val="28"/>
          <w:szCs w:val="28"/>
          <w:highlight w:val="none"/>
        </w:rPr>
      </w:pPr>
      <w:r>
        <w:rPr>
          <w:rFonts w:hint="eastAsia" w:ascii="黑体" w:eastAsia="黑体"/>
          <w:sz w:val="28"/>
          <w:szCs w:val="28"/>
          <w:highlight w:val="none"/>
        </w:rPr>
        <w:t>法定代表人或其委托代理人：</w:t>
      </w:r>
      <w:r>
        <w:rPr>
          <w:rFonts w:hint="eastAsia" w:ascii="黑体" w:eastAsia="黑体"/>
          <w:sz w:val="28"/>
          <w:szCs w:val="28"/>
          <w:highlight w:val="none"/>
          <w:u w:val="single"/>
        </w:rPr>
        <w:t xml:space="preserve">                 </w:t>
      </w:r>
      <w:r>
        <w:rPr>
          <w:rFonts w:hint="eastAsia" w:ascii="黑体" w:eastAsia="黑体"/>
          <w:sz w:val="28"/>
          <w:szCs w:val="28"/>
          <w:highlight w:val="none"/>
        </w:rPr>
        <w:t>（签字）</w:t>
      </w:r>
    </w:p>
    <w:p>
      <w:pPr>
        <w:jc w:val="center"/>
        <w:rPr>
          <w:rFonts w:ascii="黑体" w:eastAsia="黑体"/>
          <w:sz w:val="28"/>
          <w:szCs w:val="28"/>
          <w:highlight w:val="none"/>
        </w:rPr>
      </w:pPr>
      <w:r>
        <w:rPr>
          <w:rFonts w:hint="eastAsia" w:ascii="黑体" w:eastAsia="黑体"/>
          <w:sz w:val="28"/>
          <w:szCs w:val="28"/>
          <w:highlight w:val="none"/>
          <w:u w:val="single"/>
        </w:rPr>
        <w:t xml:space="preserve">         </w:t>
      </w:r>
      <w:r>
        <w:rPr>
          <w:rFonts w:hint="eastAsia" w:ascii="黑体" w:eastAsia="黑体"/>
          <w:sz w:val="28"/>
          <w:szCs w:val="28"/>
          <w:highlight w:val="none"/>
        </w:rPr>
        <w:t>年</w:t>
      </w:r>
      <w:r>
        <w:rPr>
          <w:rFonts w:hint="eastAsia" w:ascii="黑体" w:eastAsia="黑体"/>
          <w:sz w:val="28"/>
          <w:szCs w:val="28"/>
          <w:highlight w:val="none"/>
          <w:u w:val="single"/>
        </w:rPr>
        <w:t xml:space="preserve">         </w:t>
      </w:r>
      <w:r>
        <w:rPr>
          <w:rFonts w:hint="eastAsia" w:ascii="黑体" w:eastAsia="黑体"/>
          <w:sz w:val="28"/>
          <w:szCs w:val="28"/>
          <w:highlight w:val="none"/>
        </w:rPr>
        <w:t>月</w:t>
      </w:r>
      <w:r>
        <w:rPr>
          <w:rFonts w:hint="eastAsia" w:ascii="黑体" w:eastAsia="黑体"/>
          <w:sz w:val="28"/>
          <w:szCs w:val="28"/>
          <w:highlight w:val="none"/>
          <w:u w:val="single"/>
        </w:rPr>
        <w:t xml:space="preserve">         </w:t>
      </w:r>
      <w:r>
        <w:rPr>
          <w:rFonts w:hint="eastAsia" w:ascii="黑体" w:eastAsia="黑体"/>
          <w:sz w:val="28"/>
          <w:szCs w:val="28"/>
          <w:highlight w:val="none"/>
        </w:rPr>
        <w:t>日</w:t>
      </w:r>
    </w:p>
    <w:p>
      <w:pPr>
        <w:spacing w:before="312" w:beforeLines="100" w:after="312" w:afterLines="100"/>
        <w:jc w:val="center"/>
        <w:rPr>
          <w:rFonts w:ascii="黑体" w:eastAsia="黑体"/>
          <w:sz w:val="28"/>
          <w:szCs w:val="28"/>
          <w:highlight w:val="none"/>
        </w:rPr>
      </w:pPr>
      <w:r>
        <w:rPr>
          <w:rFonts w:ascii="黑体" w:eastAsia="黑体"/>
          <w:sz w:val="28"/>
          <w:szCs w:val="28"/>
          <w:highlight w:val="none"/>
        </w:rPr>
        <w:br w:type="page"/>
      </w:r>
      <w:r>
        <w:rPr>
          <w:rFonts w:hint="eastAsia" w:ascii="黑体" w:eastAsia="黑体"/>
          <w:sz w:val="28"/>
          <w:szCs w:val="28"/>
          <w:highlight w:val="none"/>
        </w:rPr>
        <w:t>目    录</w:t>
      </w:r>
    </w:p>
    <w:p>
      <w:pPr>
        <w:spacing w:line="600" w:lineRule="exact"/>
        <w:rPr>
          <w:szCs w:val="21"/>
          <w:highlight w:val="none"/>
        </w:rPr>
      </w:pPr>
      <w:r>
        <w:rPr>
          <w:rFonts w:hint="eastAsia"/>
          <w:szCs w:val="21"/>
          <w:highlight w:val="none"/>
        </w:rPr>
        <w:t>一、投标函及投标函附录</w:t>
      </w:r>
    </w:p>
    <w:p>
      <w:pPr>
        <w:spacing w:line="600" w:lineRule="exact"/>
        <w:rPr>
          <w:szCs w:val="21"/>
          <w:highlight w:val="none"/>
        </w:rPr>
      </w:pPr>
      <w:r>
        <w:rPr>
          <w:rFonts w:hint="eastAsia"/>
          <w:szCs w:val="21"/>
          <w:highlight w:val="none"/>
        </w:rPr>
        <w:t>二、法定代表人身份证明</w:t>
      </w:r>
    </w:p>
    <w:p>
      <w:pPr>
        <w:spacing w:line="600" w:lineRule="exact"/>
        <w:rPr>
          <w:szCs w:val="21"/>
          <w:highlight w:val="none"/>
        </w:rPr>
      </w:pPr>
      <w:r>
        <w:rPr>
          <w:rFonts w:hint="eastAsia"/>
          <w:szCs w:val="21"/>
          <w:highlight w:val="none"/>
        </w:rPr>
        <w:t>二、授权委托书</w:t>
      </w:r>
    </w:p>
    <w:p>
      <w:pPr>
        <w:spacing w:line="600" w:lineRule="exact"/>
        <w:rPr>
          <w:szCs w:val="21"/>
          <w:highlight w:val="none"/>
        </w:rPr>
      </w:pPr>
      <w:r>
        <w:rPr>
          <w:rFonts w:hint="eastAsia"/>
          <w:szCs w:val="21"/>
          <w:highlight w:val="none"/>
          <w:lang w:val="en-US" w:eastAsia="zh-CN"/>
        </w:rPr>
        <w:t>三</w:t>
      </w:r>
      <w:r>
        <w:rPr>
          <w:rFonts w:hint="eastAsia"/>
          <w:szCs w:val="21"/>
          <w:highlight w:val="none"/>
        </w:rPr>
        <w:t>、投标保证金</w:t>
      </w:r>
    </w:p>
    <w:p>
      <w:pPr>
        <w:spacing w:line="600" w:lineRule="exact"/>
        <w:rPr>
          <w:szCs w:val="21"/>
          <w:highlight w:val="none"/>
        </w:rPr>
      </w:pPr>
      <w:r>
        <w:rPr>
          <w:rFonts w:hint="eastAsia"/>
          <w:szCs w:val="21"/>
          <w:highlight w:val="none"/>
          <w:lang w:val="en-US" w:eastAsia="zh-CN"/>
        </w:rPr>
        <w:t>四</w:t>
      </w:r>
      <w:r>
        <w:rPr>
          <w:rFonts w:hint="eastAsia"/>
          <w:szCs w:val="21"/>
          <w:highlight w:val="none"/>
        </w:rPr>
        <w:t>、已标价工程量清单</w:t>
      </w:r>
    </w:p>
    <w:p>
      <w:pPr>
        <w:spacing w:line="600" w:lineRule="exact"/>
        <w:rPr>
          <w:szCs w:val="21"/>
          <w:highlight w:val="none"/>
        </w:rPr>
      </w:pPr>
      <w:r>
        <w:rPr>
          <w:rFonts w:hint="eastAsia"/>
          <w:szCs w:val="21"/>
          <w:highlight w:val="none"/>
          <w:lang w:val="en-US" w:eastAsia="zh-CN"/>
        </w:rPr>
        <w:t>五</w:t>
      </w:r>
      <w:r>
        <w:rPr>
          <w:rFonts w:hint="eastAsia"/>
          <w:szCs w:val="21"/>
          <w:highlight w:val="none"/>
        </w:rPr>
        <w:t>、施工组织设计</w:t>
      </w:r>
    </w:p>
    <w:p>
      <w:pPr>
        <w:spacing w:line="600" w:lineRule="exact"/>
        <w:rPr>
          <w:szCs w:val="21"/>
          <w:highlight w:val="none"/>
        </w:rPr>
      </w:pPr>
      <w:r>
        <w:rPr>
          <w:rFonts w:hint="eastAsia"/>
          <w:szCs w:val="21"/>
          <w:highlight w:val="none"/>
          <w:lang w:val="en-US" w:eastAsia="zh-CN"/>
        </w:rPr>
        <w:t>六</w:t>
      </w:r>
      <w:r>
        <w:rPr>
          <w:rFonts w:hint="eastAsia"/>
          <w:szCs w:val="21"/>
          <w:highlight w:val="none"/>
        </w:rPr>
        <w:t>、项目管理机构</w:t>
      </w:r>
    </w:p>
    <w:p>
      <w:pPr>
        <w:spacing w:line="600" w:lineRule="exact"/>
        <w:rPr>
          <w:szCs w:val="21"/>
          <w:highlight w:val="none"/>
        </w:rPr>
      </w:pPr>
      <w:r>
        <w:rPr>
          <w:rFonts w:hint="eastAsia"/>
          <w:szCs w:val="21"/>
          <w:highlight w:val="none"/>
          <w:lang w:val="en-US" w:eastAsia="zh-CN"/>
        </w:rPr>
        <w:t>七</w:t>
      </w:r>
      <w:r>
        <w:rPr>
          <w:rFonts w:hint="eastAsia"/>
          <w:szCs w:val="21"/>
          <w:highlight w:val="none"/>
        </w:rPr>
        <w:t>、拟分包项目情况表</w:t>
      </w:r>
    </w:p>
    <w:p>
      <w:pPr>
        <w:spacing w:line="600" w:lineRule="exact"/>
        <w:rPr>
          <w:szCs w:val="21"/>
          <w:highlight w:val="none"/>
        </w:rPr>
      </w:pPr>
      <w:r>
        <w:rPr>
          <w:rFonts w:hint="eastAsia"/>
          <w:szCs w:val="21"/>
          <w:highlight w:val="none"/>
          <w:lang w:val="en-US" w:eastAsia="zh-CN"/>
        </w:rPr>
        <w:t>八</w:t>
      </w:r>
      <w:r>
        <w:rPr>
          <w:rFonts w:hint="eastAsia"/>
          <w:szCs w:val="21"/>
          <w:highlight w:val="none"/>
        </w:rPr>
        <w:t>、资格审查资料</w:t>
      </w:r>
    </w:p>
    <w:p>
      <w:pPr>
        <w:spacing w:line="600" w:lineRule="exact"/>
        <w:rPr>
          <w:szCs w:val="21"/>
          <w:highlight w:val="none"/>
        </w:rPr>
      </w:pPr>
      <w:r>
        <w:rPr>
          <w:rFonts w:hint="eastAsia"/>
          <w:szCs w:val="21"/>
          <w:highlight w:val="none"/>
          <w:lang w:val="en-US" w:eastAsia="zh-CN"/>
        </w:rPr>
        <w:t>九</w:t>
      </w:r>
      <w:r>
        <w:rPr>
          <w:rFonts w:hint="eastAsia"/>
          <w:szCs w:val="21"/>
          <w:highlight w:val="none"/>
        </w:rPr>
        <w:t>、其他材料</w:t>
      </w:r>
    </w:p>
    <w:p>
      <w:pPr>
        <w:spacing w:before="312" w:beforeLines="100" w:line="510" w:lineRule="exact"/>
        <w:jc w:val="center"/>
        <w:rPr>
          <w:rFonts w:ascii="黑体" w:eastAsia="黑体"/>
          <w:sz w:val="28"/>
          <w:szCs w:val="28"/>
          <w:highlight w:val="none"/>
        </w:rPr>
      </w:pPr>
      <w:r>
        <w:rPr>
          <w:szCs w:val="21"/>
          <w:highlight w:val="none"/>
        </w:rPr>
        <w:br w:type="page"/>
      </w:r>
      <w:r>
        <w:rPr>
          <w:rFonts w:hint="eastAsia" w:ascii="黑体" w:eastAsia="黑体"/>
          <w:sz w:val="28"/>
          <w:szCs w:val="28"/>
          <w:highlight w:val="none"/>
        </w:rPr>
        <w:t>一、投标函及投标函附录</w:t>
      </w:r>
    </w:p>
    <w:p>
      <w:pPr>
        <w:spacing w:before="312" w:beforeLines="100" w:after="156" w:afterLines="50" w:line="510" w:lineRule="exact"/>
        <w:jc w:val="center"/>
        <w:rPr>
          <w:rFonts w:ascii="黑体" w:eastAsia="黑体"/>
          <w:sz w:val="24"/>
          <w:highlight w:val="none"/>
        </w:rPr>
      </w:pPr>
      <w:r>
        <w:rPr>
          <w:rFonts w:hint="eastAsia" w:ascii="黑体" w:eastAsia="黑体"/>
          <w:sz w:val="24"/>
          <w:highlight w:val="none"/>
        </w:rPr>
        <w:t>（一）投标函</w:t>
      </w:r>
    </w:p>
    <w:p>
      <w:pPr>
        <w:spacing w:line="480" w:lineRule="exact"/>
        <w:rPr>
          <w:szCs w:val="21"/>
          <w:highlight w:val="none"/>
        </w:rPr>
      </w:pPr>
      <w:r>
        <w:rPr>
          <w:rFonts w:hint="eastAsia"/>
          <w:szCs w:val="21"/>
          <w:highlight w:val="none"/>
        </w:rPr>
        <w:t>致：</w:t>
      </w:r>
      <w:r>
        <w:rPr>
          <w:rFonts w:hint="eastAsia"/>
          <w:szCs w:val="21"/>
          <w:highlight w:val="none"/>
          <w:u w:val="single"/>
        </w:rPr>
        <w:t xml:space="preserve">                              </w:t>
      </w:r>
      <w:r>
        <w:rPr>
          <w:rFonts w:hint="eastAsia"/>
          <w:szCs w:val="21"/>
          <w:highlight w:val="none"/>
        </w:rPr>
        <w:t>（招标人名称）</w:t>
      </w:r>
    </w:p>
    <w:p>
      <w:pPr>
        <w:spacing w:line="480" w:lineRule="exact"/>
        <w:ind w:firstLine="420" w:firstLineChars="200"/>
        <w:rPr>
          <w:szCs w:val="21"/>
          <w:highlight w:val="none"/>
        </w:rPr>
      </w:pPr>
      <w:r>
        <w:rPr>
          <w:rFonts w:hint="eastAsia"/>
          <w:szCs w:val="21"/>
          <w:highlight w:val="none"/>
        </w:rPr>
        <w:t>在考察现场并充分研究</w:t>
      </w:r>
      <w:r>
        <w:rPr>
          <w:rFonts w:hint="eastAsia"/>
          <w:szCs w:val="21"/>
          <w:highlight w:val="none"/>
          <w:u w:val="single"/>
        </w:rPr>
        <w:t xml:space="preserve">                 </w:t>
      </w:r>
      <w:r>
        <w:rPr>
          <w:rFonts w:hint="eastAsia"/>
          <w:szCs w:val="21"/>
          <w:highlight w:val="none"/>
        </w:rPr>
        <w:t>（项目名称）（以下简称“本工程”）施工招标文件的全部内容后，我方兹以：</w:t>
      </w:r>
    </w:p>
    <w:p>
      <w:pPr>
        <w:spacing w:line="480" w:lineRule="exact"/>
        <w:ind w:firstLine="1050" w:firstLineChars="500"/>
        <w:rPr>
          <w:szCs w:val="21"/>
          <w:highlight w:val="none"/>
        </w:rPr>
      </w:pPr>
      <w:r>
        <w:rPr>
          <w:rFonts w:hint="eastAsia"/>
          <w:szCs w:val="21"/>
          <w:highlight w:val="none"/>
        </w:rPr>
        <w:t>人民币（大写）：</w:t>
      </w:r>
      <w:r>
        <w:rPr>
          <w:rFonts w:hint="eastAsia"/>
          <w:szCs w:val="21"/>
          <w:highlight w:val="none"/>
          <w:u w:val="single"/>
        </w:rPr>
        <w:t xml:space="preserve">                                          </w:t>
      </w:r>
      <w:r>
        <w:rPr>
          <w:rFonts w:hint="eastAsia"/>
          <w:szCs w:val="21"/>
          <w:highlight w:val="none"/>
        </w:rPr>
        <w:t>元</w:t>
      </w:r>
    </w:p>
    <w:p>
      <w:pPr>
        <w:spacing w:line="480" w:lineRule="exact"/>
        <w:ind w:firstLine="1050" w:firstLineChars="500"/>
        <w:rPr>
          <w:szCs w:val="21"/>
          <w:highlight w:val="none"/>
        </w:rPr>
      </w:pPr>
      <w:r>
        <w:rPr>
          <w:rFonts w:hint="eastAsia"/>
          <w:szCs w:val="21"/>
          <w:highlight w:val="none"/>
        </w:rPr>
        <w:t>RMB￥：</w:t>
      </w:r>
      <w:r>
        <w:rPr>
          <w:rFonts w:hint="eastAsia"/>
          <w:szCs w:val="21"/>
          <w:highlight w:val="none"/>
          <w:u w:val="single"/>
        </w:rPr>
        <w:t xml:space="preserve">                                                 </w:t>
      </w:r>
      <w:r>
        <w:rPr>
          <w:rFonts w:hint="eastAsia"/>
          <w:szCs w:val="21"/>
          <w:highlight w:val="none"/>
        </w:rPr>
        <w:t>元</w:t>
      </w:r>
    </w:p>
    <w:p>
      <w:pPr>
        <w:spacing w:line="480" w:lineRule="exact"/>
        <w:rPr>
          <w:szCs w:val="21"/>
          <w:highlight w:val="none"/>
        </w:rPr>
      </w:pPr>
      <w:r>
        <w:rPr>
          <w:rFonts w:hint="eastAsia"/>
          <w:szCs w:val="21"/>
          <w:highlight w:val="none"/>
        </w:rPr>
        <w:t>的投标价格和按合同约定有权得到的其它金额，并严格按照合同约定，施工、竣工和交付本</w:t>
      </w:r>
    </w:p>
    <w:p>
      <w:pPr>
        <w:spacing w:line="480" w:lineRule="exact"/>
        <w:rPr>
          <w:szCs w:val="21"/>
          <w:highlight w:val="none"/>
        </w:rPr>
      </w:pPr>
      <w:r>
        <w:rPr>
          <w:rFonts w:hint="eastAsia"/>
          <w:szCs w:val="21"/>
          <w:highlight w:val="none"/>
        </w:rPr>
        <w:t>工程并维修其中的任何缺陷。</w:t>
      </w:r>
    </w:p>
    <w:p>
      <w:pPr>
        <w:spacing w:line="480" w:lineRule="exact"/>
        <w:ind w:firstLine="420" w:firstLineChars="200"/>
        <w:rPr>
          <w:szCs w:val="21"/>
          <w:highlight w:val="none"/>
        </w:rPr>
      </w:pPr>
      <w:r>
        <w:rPr>
          <w:rFonts w:hint="eastAsia"/>
          <w:szCs w:val="21"/>
          <w:highlight w:val="none"/>
        </w:rPr>
        <w:t>在我方的上述投标报价中，包括：</w:t>
      </w:r>
    </w:p>
    <w:p>
      <w:pPr>
        <w:spacing w:line="480" w:lineRule="exact"/>
        <w:ind w:firstLine="1050" w:firstLineChars="500"/>
        <w:rPr>
          <w:szCs w:val="21"/>
          <w:highlight w:val="none"/>
        </w:rPr>
      </w:pPr>
      <w:r>
        <w:rPr>
          <w:rFonts w:hint="eastAsia"/>
          <w:szCs w:val="21"/>
          <w:highlight w:val="none"/>
        </w:rPr>
        <w:t>安全文明施工费RMB￥：</w:t>
      </w:r>
      <w:r>
        <w:rPr>
          <w:rFonts w:hint="eastAsia"/>
          <w:szCs w:val="21"/>
          <w:highlight w:val="none"/>
          <w:u w:val="single"/>
        </w:rPr>
        <w:t xml:space="preserve">                                  </w:t>
      </w:r>
      <w:r>
        <w:rPr>
          <w:rFonts w:hint="eastAsia"/>
          <w:szCs w:val="21"/>
          <w:highlight w:val="none"/>
        </w:rPr>
        <w:t>元</w:t>
      </w:r>
    </w:p>
    <w:p>
      <w:pPr>
        <w:spacing w:line="480" w:lineRule="exact"/>
        <w:ind w:firstLine="1050" w:firstLineChars="500"/>
        <w:rPr>
          <w:szCs w:val="21"/>
          <w:highlight w:val="none"/>
        </w:rPr>
      </w:pPr>
      <w:r>
        <w:rPr>
          <w:rFonts w:hint="eastAsia"/>
          <w:szCs w:val="21"/>
          <w:highlight w:val="none"/>
        </w:rPr>
        <w:t>暂列金额（不包括计日工部分）RMB￥：</w:t>
      </w:r>
      <w:r>
        <w:rPr>
          <w:rFonts w:hint="eastAsia"/>
          <w:szCs w:val="21"/>
          <w:highlight w:val="none"/>
          <w:u w:val="single"/>
        </w:rPr>
        <w:t xml:space="preserve">                    </w:t>
      </w:r>
      <w:r>
        <w:rPr>
          <w:rFonts w:hint="eastAsia"/>
          <w:szCs w:val="21"/>
          <w:highlight w:val="none"/>
        </w:rPr>
        <w:t>元</w:t>
      </w:r>
    </w:p>
    <w:p>
      <w:pPr>
        <w:spacing w:line="480" w:lineRule="exact"/>
        <w:ind w:firstLine="1050" w:firstLineChars="500"/>
        <w:rPr>
          <w:szCs w:val="21"/>
          <w:highlight w:val="none"/>
        </w:rPr>
      </w:pPr>
      <w:r>
        <w:rPr>
          <w:rFonts w:hint="eastAsia"/>
          <w:szCs w:val="21"/>
          <w:highlight w:val="none"/>
        </w:rPr>
        <w:t>专业工程暂估价RMB￥：</w:t>
      </w:r>
      <w:r>
        <w:rPr>
          <w:rFonts w:hint="eastAsia"/>
          <w:szCs w:val="21"/>
          <w:highlight w:val="none"/>
          <w:u w:val="single"/>
        </w:rPr>
        <w:t xml:space="preserve">                                  </w:t>
      </w:r>
      <w:r>
        <w:rPr>
          <w:rFonts w:hint="eastAsia"/>
          <w:szCs w:val="21"/>
          <w:highlight w:val="none"/>
        </w:rPr>
        <w:t>元</w:t>
      </w:r>
    </w:p>
    <w:p>
      <w:pPr>
        <w:spacing w:line="480" w:lineRule="exact"/>
        <w:ind w:firstLine="420" w:firstLineChars="200"/>
        <w:rPr>
          <w:szCs w:val="21"/>
          <w:highlight w:val="none"/>
        </w:rPr>
      </w:pPr>
      <w:r>
        <w:rPr>
          <w:rFonts w:hint="eastAsia"/>
          <w:szCs w:val="21"/>
          <w:highlight w:val="none"/>
        </w:rPr>
        <w:t>如果我方中标，我方保证在</w:t>
      </w: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日或按照合同约定的开工日期开始本工程的施工，</w:t>
      </w:r>
      <w:r>
        <w:rPr>
          <w:rFonts w:hint="eastAsia"/>
          <w:szCs w:val="21"/>
          <w:highlight w:val="none"/>
          <w:u w:val="single"/>
        </w:rPr>
        <w:t xml:space="preserve">      </w:t>
      </w:r>
      <w:r>
        <w:rPr>
          <w:rFonts w:hint="eastAsia"/>
          <w:szCs w:val="21"/>
          <w:highlight w:val="none"/>
        </w:rPr>
        <w:t>天（日历日）内竣工，并确保工程质量达到</w:t>
      </w:r>
      <w:r>
        <w:rPr>
          <w:rFonts w:hint="eastAsia"/>
          <w:szCs w:val="21"/>
          <w:highlight w:val="none"/>
          <w:u w:val="single"/>
        </w:rPr>
        <w:t xml:space="preserve">      </w:t>
      </w:r>
      <w:r>
        <w:rPr>
          <w:rFonts w:hint="eastAsia"/>
          <w:szCs w:val="21"/>
          <w:highlight w:val="none"/>
        </w:rPr>
        <w:t>标准。我方同意本投标函在招标文件规定的提交投标文件截止时间后，在招标文件规定的投标有效期期满前对我方具有约束力，且随时准备接受你方发出的中标通知书。</w:t>
      </w:r>
    </w:p>
    <w:p>
      <w:pPr>
        <w:spacing w:line="480" w:lineRule="exact"/>
        <w:ind w:firstLine="420" w:firstLineChars="200"/>
        <w:rPr>
          <w:szCs w:val="21"/>
          <w:highlight w:val="none"/>
        </w:rPr>
      </w:pPr>
      <w:r>
        <w:rPr>
          <w:rFonts w:hint="eastAsia"/>
          <w:szCs w:val="21"/>
          <w:highlight w:val="none"/>
        </w:rPr>
        <w:t>随本投标函道交的投标函附录是本投标函的组成部分，对我方构成约束力。</w:t>
      </w:r>
    </w:p>
    <w:p>
      <w:pPr>
        <w:spacing w:line="480" w:lineRule="exact"/>
        <w:ind w:firstLine="420" w:firstLineChars="200"/>
        <w:rPr>
          <w:szCs w:val="21"/>
          <w:highlight w:val="none"/>
        </w:rPr>
      </w:pPr>
      <w:r>
        <w:rPr>
          <w:rFonts w:hint="eastAsia"/>
          <w:szCs w:val="21"/>
          <w:highlight w:val="none"/>
        </w:rPr>
        <w:t>随同本投标函递交投标保证金一份，金额为人民币（大写）：</w:t>
      </w:r>
      <w:r>
        <w:rPr>
          <w:rFonts w:hint="eastAsia"/>
          <w:szCs w:val="21"/>
          <w:highlight w:val="none"/>
          <w:u w:val="single"/>
        </w:rPr>
        <w:t xml:space="preserve">               </w:t>
      </w:r>
      <w:r>
        <w:rPr>
          <w:rFonts w:hint="eastAsia"/>
          <w:szCs w:val="21"/>
          <w:highlight w:val="none"/>
        </w:rPr>
        <w:t>元（￥：元）。</w:t>
      </w:r>
    </w:p>
    <w:p>
      <w:pPr>
        <w:spacing w:line="480" w:lineRule="exact"/>
        <w:ind w:firstLine="420" w:firstLineChars="200"/>
        <w:rPr>
          <w:szCs w:val="21"/>
          <w:highlight w:val="none"/>
        </w:rPr>
      </w:pPr>
      <w:r>
        <w:rPr>
          <w:rFonts w:hint="eastAsia"/>
          <w:szCs w:val="21"/>
          <w:highlight w:val="none"/>
        </w:rPr>
        <w:t>在签署协议书之前，你方的中标通知书连同本投标函，包括投标函附录，对双方具有约束力。</w:t>
      </w:r>
    </w:p>
    <w:p>
      <w:pPr>
        <w:spacing w:line="480" w:lineRule="exact"/>
        <w:ind w:firstLine="420" w:firstLineChars="200"/>
        <w:rPr>
          <w:szCs w:val="21"/>
          <w:highlight w:val="none"/>
        </w:rPr>
      </w:pPr>
      <w:r>
        <w:rPr>
          <w:rFonts w:hint="eastAsia"/>
          <w:szCs w:val="21"/>
          <w:highlight w:val="none"/>
        </w:rPr>
        <w:t>投标人（盖章）：</w:t>
      </w:r>
    </w:p>
    <w:p>
      <w:pPr>
        <w:spacing w:line="480" w:lineRule="exact"/>
        <w:ind w:firstLine="420" w:firstLineChars="200"/>
        <w:rPr>
          <w:szCs w:val="21"/>
          <w:highlight w:val="none"/>
        </w:rPr>
      </w:pPr>
      <w:r>
        <w:rPr>
          <w:rFonts w:hint="eastAsia"/>
          <w:szCs w:val="21"/>
          <w:highlight w:val="none"/>
        </w:rPr>
        <w:t>法人代表或委托代理人（签字或盖章）：</w:t>
      </w:r>
    </w:p>
    <w:p>
      <w:pPr>
        <w:spacing w:line="480" w:lineRule="exact"/>
        <w:ind w:firstLine="420" w:firstLineChars="200"/>
        <w:rPr>
          <w:szCs w:val="21"/>
          <w:highlight w:val="none"/>
        </w:rPr>
      </w:pPr>
      <w:r>
        <w:rPr>
          <w:rFonts w:hint="eastAsia"/>
          <w:szCs w:val="21"/>
          <w:highlight w:val="none"/>
        </w:rPr>
        <w:t>日期：</w:t>
      </w: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日</w:t>
      </w:r>
    </w:p>
    <w:p>
      <w:pPr>
        <w:spacing w:line="480" w:lineRule="exact"/>
        <w:rPr>
          <w:szCs w:val="21"/>
          <w:highlight w:val="none"/>
        </w:rPr>
      </w:pPr>
      <w:r>
        <w:rPr>
          <w:rFonts w:hint="eastAsia" w:ascii="黑体" w:eastAsia="黑体"/>
          <w:szCs w:val="21"/>
          <w:highlight w:val="none"/>
        </w:rPr>
        <w:t>备注：</w:t>
      </w:r>
      <w:r>
        <w:rPr>
          <w:rFonts w:hint="eastAsia"/>
          <w:szCs w:val="21"/>
          <w:highlight w:val="none"/>
        </w:rPr>
        <w:t>采用综合评估法评标，且采用分项报价方法对投标报价进行评分的，应当在投标函中增加分项报价的填报。</w:t>
      </w:r>
    </w:p>
    <w:p>
      <w:pPr>
        <w:spacing w:before="312" w:beforeLines="100" w:after="156" w:afterLines="50" w:line="510" w:lineRule="exact"/>
        <w:jc w:val="center"/>
        <w:rPr>
          <w:rFonts w:ascii="黑体" w:eastAsia="黑体"/>
          <w:sz w:val="24"/>
          <w:highlight w:val="none"/>
        </w:rPr>
      </w:pPr>
      <w:r>
        <w:rPr>
          <w:rFonts w:hint="eastAsia" w:ascii="黑体" w:eastAsia="黑体"/>
          <w:sz w:val="24"/>
          <w:highlight w:val="none"/>
        </w:rPr>
        <w:t>（二）投标函附录</w:t>
      </w:r>
    </w:p>
    <w:p>
      <w:pPr>
        <w:rPr>
          <w:szCs w:val="21"/>
          <w:highlight w:val="none"/>
        </w:rPr>
      </w:pPr>
      <w:r>
        <w:rPr>
          <w:rFonts w:hint="eastAsia"/>
          <w:b/>
          <w:szCs w:val="21"/>
          <w:highlight w:val="none"/>
        </w:rPr>
        <w:t>工程名称：</w:t>
      </w:r>
      <w:r>
        <w:rPr>
          <w:rFonts w:hint="eastAsia"/>
          <w:szCs w:val="21"/>
          <w:highlight w:val="none"/>
          <w:u w:val="single"/>
        </w:rPr>
        <w:t xml:space="preserve">               </w:t>
      </w:r>
      <w:r>
        <w:rPr>
          <w:rFonts w:hint="eastAsia"/>
          <w:szCs w:val="21"/>
          <w:highlight w:val="none"/>
        </w:rPr>
        <w:t>（项目名称）</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657"/>
        <w:gridCol w:w="1411"/>
        <w:gridCol w:w="1884"/>
        <w:gridCol w:w="16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szCs w:val="21"/>
                <w:highlight w:val="none"/>
              </w:rPr>
            </w:pPr>
            <w:r>
              <w:rPr>
                <w:rFonts w:hint="eastAsia"/>
                <w:szCs w:val="21"/>
                <w:highlight w:val="none"/>
              </w:rPr>
              <w:t>序 号</w:t>
            </w:r>
          </w:p>
        </w:tc>
        <w:tc>
          <w:tcPr>
            <w:tcW w:w="2693" w:type="dxa"/>
            <w:shd w:val="clear" w:color="auto" w:fill="auto"/>
            <w:vAlign w:val="center"/>
          </w:tcPr>
          <w:p>
            <w:pPr>
              <w:jc w:val="center"/>
              <w:rPr>
                <w:szCs w:val="21"/>
                <w:highlight w:val="none"/>
              </w:rPr>
            </w:pPr>
            <w:r>
              <w:rPr>
                <w:rFonts w:hint="eastAsia"/>
                <w:szCs w:val="21"/>
                <w:highlight w:val="none"/>
              </w:rPr>
              <w:t>条款内容</w:t>
            </w:r>
          </w:p>
        </w:tc>
        <w:tc>
          <w:tcPr>
            <w:tcW w:w="1418" w:type="dxa"/>
            <w:shd w:val="clear" w:color="auto" w:fill="auto"/>
            <w:vAlign w:val="center"/>
          </w:tcPr>
          <w:p>
            <w:pPr>
              <w:jc w:val="center"/>
              <w:rPr>
                <w:szCs w:val="21"/>
                <w:highlight w:val="none"/>
              </w:rPr>
            </w:pPr>
            <w:r>
              <w:rPr>
                <w:rFonts w:hint="eastAsia"/>
                <w:szCs w:val="21"/>
                <w:highlight w:val="none"/>
              </w:rPr>
              <w:t>合同条款号</w:t>
            </w:r>
          </w:p>
        </w:tc>
        <w:tc>
          <w:tcPr>
            <w:tcW w:w="1906" w:type="dxa"/>
            <w:shd w:val="clear" w:color="auto" w:fill="auto"/>
            <w:vAlign w:val="center"/>
          </w:tcPr>
          <w:p>
            <w:pPr>
              <w:jc w:val="center"/>
              <w:rPr>
                <w:szCs w:val="21"/>
                <w:highlight w:val="none"/>
              </w:rPr>
            </w:pPr>
            <w:r>
              <w:rPr>
                <w:rFonts w:hint="eastAsia"/>
                <w:szCs w:val="21"/>
                <w:highlight w:val="none"/>
              </w:rPr>
              <w:t>约定内容</w:t>
            </w:r>
          </w:p>
        </w:tc>
        <w:tc>
          <w:tcPr>
            <w:tcW w:w="1637" w:type="dxa"/>
            <w:shd w:val="clear" w:color="auto" w:fill="auto"/>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1</w:t>
            </w:r>
          </w:p>
        </w:tc>
        <w:tc>
          <w:tcPr>
            <w:tcW w:w="2693" w:type="dxa"/>
            <w:shd w:val="clear" w:color="auto" w:fill="auto"/>
            <w:vAlign w:val="center"/>
          </w:tcPr>
          <w:p>
            <w:pPr>
              <w:rPr>
                <w:szCs w:val="21"/>
                <w:highlight w:val="none"/>
              </w:rPr>
            </w:pPr>
            <w:r>
              <w:rPr>
                <w:rFonts w:hint="eastAsia"/>
                <w:szCs w:val="21"/>
                <w:highlight w:val="none"/>
              </w:rPr>
              <w:t>项目经理</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1.1.2.4</w:t>
            </w:r>
          </w:p>
        </w:tc>
        <w:tc>
          <w:tcPr>
            <w:tcW w:w="1906" w:type="dxa"/>
            <w:shd w:val="clear" w:color="auto" w:fill="auto"/>
            <w:vAlign w:val="center"/>
          </w:tcPr>
          <w:p>
            <w:pPr>
              <w:rPr>
                <w:szCs w:val="21"/>
                <w:highlight w:val="none"/>
              </w:rPr>
            </w:pPr>
            <w:r>
              <w:rPr>
                <w:rFonts w:hint="eastAsia"/>
                <w:szCs w:val="21"/>
                <w:highlight w:val="none"/>
              </w:rPr>
              <w:t>姓名：</w:t>
            </w:r>
            <w:r>
              <w:rPr>
                <w:rFonts w:hint="eastAsia"/>
                <w:szCs w:val="21"/>
                <w:highlight w:val="none"/>
                <w:u w:val="single"/>
              </w:rPr>
              <w:t xml:space="preserve">          </w:t>
            </w: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2</w:t>
            </w:r>
          </w:p>
        </w:tc>
        <w:tc>
          <w:tcPr>
            <w:tcW w:w="2693" w:type="dxa"/>
            <w:shd w:val="clear" w:color="auto" w:fill="auto"/>
            <w:vAlign w:val="center"/>
          </w:tcPr>
          <w:p>
            <w:pPr>
              <w:rPr>
                <w:szCs w:val="21"/>
                <w:highlight w:val="none"/>
              </w:rPr>
            </w:pPr>
            <w:r>
              <w:rPr>
                <w:rFonts w:hint="eastAsia"/>
                <w:szCs w:val="21"/>
                <w:highlight w:val="none"/>
              </w:rPr>
              <w:t>工期</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1.1.4.3</w:t>
            </w:r>
          </w:p>
        </w:tc>
        <w:tc>
          <w:tcPr>
            <w:tcW w:w="1906" w:type="dxa"/>
            <w:shd w:val="clear" w:color="auto" w:fill="auto"/>
            <w:vAlign w:val="center"/>
          </w:tcPr>
          <w:p>
            <w:pPr>
              <w:jc w:val="center"/>
              <w:rPr>
                <w:szCs w:val="21"/>
                <w:highlight w:val="none"/>
              </w:rPr>
            </w:pPr>
            <w:r>
              <w:rPr>
                <w:rFonts w:hint="eastAsia"/>
                <w:szCs w:val="21"/>
                <w:highlight w:val="none"/>
                <w:u w:val="single"/>
              </w:rPr>
              <w:t xml:space="preserve">          </w:t>
            </w:r>
            <w:r>
              <w:rPr>
                <w:rFonts w:hint="eastAsia"/>
                <w:szCs w:val="21"/>
                <w:highlight w:val="none"/>
              </w:rPr>
              <w:t>日历天</w:t>
            </w: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3</w:t>
            </w:r>
          </w:p>
        </w:tc>
        <w:tc>
          <w:tcPr>
            <w:tcW w:w="2693" w:type="dxa"/>
            <w:shd w:val="clear" w:color="auto" w:fill="auto"/>
            <w:vAlign w:val="center"/>
          </w:tcPr>
          <w:p>
            <w:pPr>
              <w:rPr>
                <w:szCs w:val="21"/>
                <w:highlight w:val="none"/>
              </w:rPr>
            </w:pPr>
            <w:r>
              <w:rPr>
                <w:rFonts w:hint="eastAsia"/>
                <w:szCs w:val="21"/>
                <w:highlight w:val="none"/>
              </w:rPr>
              <w:t>缺陷责任期</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1.1.4.5</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4</w:t>
            </w:r>
          </w:p>
        </w:tc>
        <w:tc>
          <w:tcPr>
            <w:tcW w:w="2693" w:type="dxa"/>
            <w:shd w:val="clear" w:color="auto" w:fill="auto"/>
            <w:vAlign w:val="center"/>
          </w:tcPr>
          <w:p>
            <w:pPr>
              <w:rPr>
                <w:szCs w:val="21"/>
                <w:highlight w:val="none"/>
              </w:rPr>
            </w:pPr>
            <w:r>
              <w:rPr>
                <w:rFonts w:hint="eastAsia"/>
                <w:szCs w:val="21"/>
                <w:highlight w:val="none"/>
              </w:rPr>
              <w:t>承包人履约担保金额</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4.2</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5</w:t>
            </w:r>
          </w:p>
        </w:tc>
        <w:tc>
          <w:tcPr>
            <w:tcW w:w="2693" w:type="dxa"/>
            <w:shd w:val="clear" w:color="auto" w:fill="auto"/>
            <w:vAlign w:val="center"/>
          </w:tcPr>
          <w:p>
            <w:pPr>
              <w:rPr>
                <w:szCs w:val="21"/>
                <w:highlight w:val="none"/>
              </w:rPr>
            </w:pPr>
            <w:r>
              <w:rPr>
                <w:rFonts w:hint="eastAsia"/>
                <w:szCs w:val="21"/>
                <w:highlight w:val="none"/>
              </w:rPr>
              <w:t>分包</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4.3.4</w:t>
            </w:r>
          </w:p>
        </w:tc>
        <w:tc>
          <w:tcPr>
            <w:tcW w:w="1906" w:type="dxa"/>
            <w:shd w:val="clear" w:color="auto" w:fill="auto"/>
            <w:vAlign w:val="center"/>
          </w:tcPr>
          <w:p>
            <w:pPr>
              <w:jc w:val="center"/>
              <w:rPr>
                <w:szCs w:val="21"/>
                <w:highlight w:val="none"/>
              </w:rPr>
            </w:pPr>
            <w:r>
              <w:rPr>
                <w:rFonts w:hint="eastAsia"/>
                <w:szCs w:val="21"/>
                <w:highlight w:val="none"/>
              </w:rPr>
              <w:t>见分包项目情况表</w:t>
            </w: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6</w:t>
            </w:r>
          </w:p>
        </w:tc>
        <w:tc>
          <w:tcPr>
            <w:tcW w:w="2693" w:type="dxa"/>
            <w:shd w:val="clear" w:color="auto" w:fill="auto"/>
            <w:vAlign w:val="center"/>
          </w:tcPr>
          <w:p>
            <w:pPr>
              <w:rPr>
                <w:szCs w:val="21"/>
                <w:highlight w:val="none"/>
              </w:rPr>
            </w:pPr>
            <w:r>
              <w:rPr>
                <w:rFonts w:hint="eastAsia"/>
                <w:szCs w:val="21"/>
                <w:highlight w:val="none"/>
              </w:rPr>
              <w:t>逾期竣工违约金</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11.5</w:t>
            </w:r>
          </w:p>
        </w:tc>
        <w:tc>
          <w:tcPr>
            <w:tcW w:w="1906" w:type="dxa"/>
            <w:shd w:val="clear" w:color="auto" w:fill="auto"/>
            <w:vAlign w:val="center"/>
          </w:tcPr>
          <w:p>
            <w:pPr>
              <w:jc w:val="center"/>
              <w:rPr>
                <w:szCs w:val="21"/>
                <w:highlight w:val="none"/>
              </w:rPr>
            </w:pPr>
            <w:r>
              <w:rPr>
                <w:rFonts w:hint="eastAsia"/>
                <w:szCs w:val="21"/>
                <w:highlight w:val="none"/>
                <w:u w:val="single"/>
              </w:rPr>
              <w:t xml:space="preserve">           </w:t>
            </w:r>
            <w:r>
              <w:rPr>
                <w:rFonts w:hint="eastAsia"/>
                <w:szCs w:val="21"/>
                <w:highlight w:val="none"/>
              </w:rPr>
              <w:t>元/天</w:t>
            </w: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7</w:t>
            </w:r>
          </w:p>
        </w:tc>
        <w:tc>
          <w:tcPr>
            <w:tcW w:w="2693" w:type="dxa"/>
            <w:shd w:val="clear" w:color="auto" w:fill="auto"/>
            <w:vAlign w:val="center"/>
          </w:tcPr>
          <w:p>
            <w:pPr>
              <w:rPr>
                <w:szCs w:val="21"/>
                <w:highlight w:val="none"/>
              </w:rPr>
            </w:pPr>
            <w:r>
              <w:rPr>
                <w:rFonts w:hint="eastAsia"/>
                <w:szCs w:val="21"/>
                <w:highlight w:val="none"/>
              </w:rPr>
              <w:t>逾期竣工违约金最高限额</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11.5</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8</w:t>
            </w:r>
          </w:p>
        </w:tc>
        <w:tc>
          <w:tcPr>
            <w:tcW w:w="2693" w:type="dxa"/>
            <w:shd w:val="clear" w:color="auto" w:fill="auto"/>
            <w:vAlign w:val="center"/>
          </w:tcPr>
          <w:p>
            <w:pPr>
              <w:rPr>
                <w:szCs w:val="21"/>
                <w:highlight w:val="none"/>
              </w:rPr>
            </w:pPr>
            <w:r>
              <w:rPr>
                <w:rFonts w:hint="eastAsia"/>
                <w:szCs w:val="21"/>
                <w:highlight w:val="none"/>
              </w:rPr>
              <w:t>质量标准</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13.1</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9</w:t>
            </w:r>
          </w:p>
        </w:tc>
        <w:tc>
          <w:tcPr>
            <w:tcW w:w="2693" w:type="dxa"/>
            <w:shd w:val="clear" w:color="auto" w:fill="auto"/>
            <w:vAlign w:val="center"/>
          </w:tcPr>
          <w:p>
            <w:pPr>
              <w:rPr>
                <w:szCs w:val="21"/>
                <w:highlight w:val="none"/>
              </w:rPr>
            </w:pPr>
            <w:r>
              <w:rPr>
                <w:rFonts w:hint="eastAsia"/>
                <w:szCs w:val="21"/>
                <w:highlight w:val="none"/>
              </w:rPr>
              <w:t>价格调整的差额计算</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16.1.1</w:t>
            </w:r>
          </w:p>
        </w:tc>
        <w:tc>
          <w:tcPr>
            <w:tcW w:w="1906" w:type="dxa"/>
            <w:shd w:val="clear" w:color="auto" w:fill="auto"/>
            <w:vAlign w:val="center"/>
          </w:tcPr>
          <w:p>
            <w:pPr>
              <w:jc w:val="center"/>
              <w:rPr>
                <w:szCs w:val="21"/>
                <w:highlight w:val="none"/>
              </w:rPr>
            </w:pPr>
            <w:r>
              <w:rPr>
                <w:rFonts w:hint="eastAsia"/>
                <w:szCs w:val="21"/>
                <w:highlight w:val="none"/>
              </w:rPr>
              <w:t>见价格指数权重表</w:t>
            </w: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10</w:t>
            </w:r>
          </w:p>
        </w:tc>
        <w:tc>
          <w:tcPr>
            <w:tcW w:w="2693" w:type="dxa"/>
            <w:shd w:val="clear" w:color="auto" w:fill="auto"/>
            <w:vAlign w:val="center"/>
          </w:tcPr>
          <w:p>
            <w:pPr>
              <w:rPr>
                <w:szCs w:val="21"/>
                <w:highlight w:val="none"/>
              </w:rPr>
            </w:pPr>
            <w:r>
              <w:rPr>
                <w:rFonts w:hint="eastAsia"/>
                <w:szCs w:val="21"/>
                <w:highlight w:val="none"/>
              </w:rPr>
              <w:t>预付款额度</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17.2.1</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11</w:t>
            </w:r>
          </w:p>
        </w:tc>
        <w:tc>
          <w:tcPr>
            <w:tcW w:w="2693" w:type="dxa"/>
            <w:shd w:val="clear" w:color="auto" w:fill="auto"/>
            <w:vAlign w:val="center"/>
          </w:tcPr>
          <w:p>
            <w:pPr>
              <w:rPr>
                <w:szCs w:val="21"/>
                <w:highlight w:val="none"/>
              </w:rPr>
            </w:pPr>
            <w:r>
              <w:rPr>
                <w:rFonts w:hint="eastAsia"/>
                <w:szCs w:val="21"/>
                <w:highlight w:val="none"/>
              </w:rPr>
              <w:t>预付款保函金额</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17.2.2</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rFonts w:ascii="黑体" w:eastAsia="黑体"/>
                <w:szCs w:val="21"/>
                <w:highlight w:val="none"/>
              </w:rPr>
            </w:pPr>
            <w:r>
              <w:rPr>
                <w:rFonts w:hint="eastAsia" w:ascii="黑体" w:eastAsia="黑体"/>
                <w:szCs w:val="21"/>
                <w:highlight w:val="none"/>
              </w:rPr>
              <w:t>12</w:t>
            </w:r>
          </w:p>
        </w:tc>
        <w:tc>
          <w:tcPr>
            <w:tcW w:w="2693" w:type="dxa"/>
            <w:shd w:val="clear" w:color="auto" w:fill="auto"/>
            <w:vAlign w:val="center"/>
          </w:tcPr>
          <w:p>
            <w:pPr>
              <w:rPr>
                <w:szCs w:val="21"/>
                <w:highlight w:val="none"/>
              </w:rPr>
            </w:pPr>
            <w:r>
              <w:rPr>
                <w:rFonts w:hint="eastAsia"/>
                <w:szCs w:val="21"/>
                <w:highlight w:val="none"/>
              </w:rPr>
              <w:t>质量保证金扣留百分比</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17.4.1</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rPr>
                <w:highlight w:val="none"/>
              </w:rPr>
            </w:pPr>
          </w:p>
        </w:tc>
        <w:tc>
          <w:tcPr>
            <w:tcW w:w="2693" w:type="dxa"/>
            <w:shd w:val="clear" w:color="auto" w:fill="auto"/>
            <w:vAlign w:val="center"/>
          </w:tcPr>
          <w:p>
            <w:pPr>
              <w:rPr>
                <w:szCs w:val="21"/>
                <w:highlight w:val="none"/>
              </w:rPr>
            </w:pPr>
            <w:r>
              <w:rPr>
                <w:rFonts w:hint="eastAsia"/>
                <w:szCs w:val="21"/>
                <w:highlight w:val="none"/>
              </w:rPr>
              <w:t>质量保证金额度</w:t>
            </w:r>
          </w:p>
        </w:tc>
        <w:tc>
          <w:tcPr>
            <w:tcW w:w="1418" w:type="dxa"/>
            <w:shd w:val="clear" w:color="auto" w:fill="auto"/>
            <w:tcMar>
              <w:left w:w="170" w:type="dxa"/>
            </w:tcMar>
            <w:vAlign w:val="center"/>
          </w:tcPr>
          <w:p>
            <w:pPr>
              <w:rPr>
                <w:rFonts w:ascii="黑体" w:eastAsia="黑体"/>
                <w:szCs w:val="21"/>
                <w:highlight w:val="none"/>
              </w:rPr>
            </w:pPr>
            <w:r>
              <w:rPr>
                <w:rFonts w:hint="eastAsia" w:ascii="黑体" w:eastAsia="黑体"/>
                <w:szCs w:val="21"/>
                <w:highlight w:val="none"/>
              </w:rPr>
              <w:t>17.4.1</w:t>
            </w: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shd w:val="clear" w:color="auto" w:fill="auto"/>
            <w:vAlign w:val="center"/>
          </w:tcPr>
          <w:p>
            <w:pPr>
              <w:jc w:val="center"/>
              <w:rPr>
                <w:szCs w:val="21"/>
                <w:highlight w:val="none"/>
              </w:rPr>
            </w:pPr>
            <w:r>
              <w:rPr>
                <w:rFonts w:hint="eastAsia"/>
                <w:szCs w:val="21"/>
                <w:highlight w:val="none"/>
              </w:rPr>
              <w:t>……</w:t>
            </w:r>
          </w:p>
        </w:tc>
        <w:tc>
          <w:tcPr>
            <w:tcW w:w="2693" w:type="dxa"/>
            <w:shd w:val="clear" w:color="auto" w:fill="auto"/>
            <w:vAlign w:val="center"/>
          </w:tcPr>
          <w:p>
            <w:pPr>
              <w:jc w:val="center"/>
              <w:rPr>
                <w:szCs w:val="21"/>
                <w:highlight w:val="none"/>
              </w:rPr>
            </w:pPr>
            <w:r>
              <w:rPr>
                <w:rFonts w:hint="eastAsia"/>
                <w:szCs w:val="21"/>
                <w:highlight w:val="none"/>
              </w:rPr>
              <w:t>……</w:t>
            </w:r>
          </w:p>
        </w:tc>
        <w:tc>
          <w:tcPr>
            <w:tcW w:w="1418" w:type="dxa"/>
            <w:shd w:val="clear" w:color="auto" w:fill="auto"/>
            <w:vAlign w:val="center"/>
          </w:tcPr>
          <w:p>
            <w:pPr>
              <w:rPr>
                <w:highlight w:val="none"/>
              </w:rPr>
            </w:pPr>
          </w:p>
        </w:tc>
        <w:tc>
          <w:tcPr>
            <w:tcW w:w="1906" w:type="dxa"/>
            <w:shd w:val="clear" w:color="auto" w:fill="auto"/>
            <w:vAlign w:val="center"/>
          </w:tcPr>
          <w:p>
            <w:pPr>
              <w:rPr>
                <w:highlight w:val="none"/>
              </w:rPr>
            </w:pPr>
          </w:p>
        </w:tc>
        <w:tc>
          <w:tcPr>
            <w:tcW w:w="1637"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505" w:type="dxa"/>
            <w:gridSpan w:val="5"/>
            <w:shd w:val="clear" w:color="auto" w:fill="auto"/>
            <w:vAlign w:val="center"/>
          </w:tcPr>
          <w:p>
            <w:pPr>
              <w:rPr>
                <w:szCs w:val="21"/>
                <w:highlight w:val="none"/>
              </w:rPr>
            </w:pPr>
            <w:r>
              <w:rPr>
                <w:rFonts w:hint="eastAsia" w:ascii="黑体" w:eastAsia="黑体"/>
                <w:szCs w:val="21"/>
                <w:highlight w:val="none"/>
              </w:rPr>
              <w:t>备注：</w:t>
            </w:r>
            <w:r>
              <w:rPr>
                <w:rFonts w:hint="eastAsia"/>
                <w:szCs w:val="21"/>
                <w:highlight w:val="none"/>
              </w:rPr>
              <w:t>投标人在响应招标文件中规定的实质性要求和条件的基础上，可做出其他有利于招标人的承诺。此类承诺可在本表中予以补充填写。</w:t>
            </w:r>
          </w:p>
        </w:tc>
      </w:tr>
    </w:tbl>
    <w:p>
      <w:pPr>
        <w:spacing w:line="480" w:lineRule="exact"/>
        <w:ind w:firstLine="422" w:firstLineChars="200"/>
        <w:rPr>
          <w:szCs w:val="21"/>
          <w:highlight w:val="none"/>
        </w:rPr>
      </w:pPr>
      <w:r>
        <w:rPr>
          <w:rFonts w:hint="eastAsia"/>
          <w:b/>
          <w:szCs w:val="21"/>
          <w:highlight w:val="none"/>
        </w:rPr>
        <w:t>投标人</w:t>
      </w:r>
      <w:r>
        <w:rPr>
          <w:rFonts w:hint="eastAsia"/>
          <w:szCs w:val="21"/>
          <w:highlight w:val="none"/>
        </w:rPr>
        <w:t>（盖章）：</w:t>
      </w:r>
    </w:p>
    <w:p>
      <w:pPr>
        <w:spacing w:line="480" w:lineRule="exact"/>
        <w:ind w:firstLine="422" w:firstLineChars="200"/>
        <w:rPr>
          <w:szCs w:val="21"/>
          <w:highlight w:val="none"/>
        </w:rPr>
      </w:pPr>
      <w:r>
        <w:rPr>
          <w:rFonts w:hint="eastAsia"/>
          <w:b/>
          <w:szCs w:val="21"/>
          <w:highlight w:val="none"/>
        </w:rPr>
        <w:t>法人代表或委托代理人</w:t>
      </w:r>
      <w:r>
        <w:rPr>
          <w:rFonts w:hint="eastAsia"/>
          <w:szCs w:val="21"/>
          <w:highlight w:val="none"/>
        </w:rPr>
        <w:t>（签字或盖章）：</w:t>
      </w:r>
    </w:p>
    <w:p>
      <w:pPr>
        <w:spacing w:line="480" w:lineRule="exact"/>
        <w:ind w:firstLine="422" w:firstLineChars="200"/>
        <w:rPr>
          <w:b/>
          <w:szCs w:val="21"/>
          <w:highlight w:val="none"/>
        </w:rPr>
      </w:pPr>
      <w:r>
        <w:rPr>
          <w:rFonts w:hint="eastAsia"/>
          <w:b/>
          <w:szCs w:val="21"/>
          <w:highlight w:val="none"/>
        </w:rPr>
        <w:t>日期：</w:t>
      </w:r>
      <w:r>
        <w:rPr>
          <w:rFonts w:hint="eastAsia"/>
          <w:b/>
          <w:szCs w:val="21"/>
          <w:highlight w:val="none"/>
          <w:u w:val="single"/>
        </w:rPr>
        <w:t xml:space="preserve">    </w:t>
      </w:r>
      <w:r>
        <w:rPr>
          <w:rFonts w:hint="eastAsia"/>
          <w:b/>
          <w:szCs w:val="21"/>
          <w:highlight w:val="none"/>
        </w:rPr>
        <w:t>年</w:t>
      </w:r>
      <w:r>
        <w:rPr>
          <w:rFonts w:hint="eastAsia"/>
          <w:b/>
          <w:szCs w:val="21"/>
          <w:highlight w:val="none"/>
          <w:u w:val="single"/>
        </w:rPr>
        <w:t xml:space="preserve">      </w:t>
      </w:r>
      <w:r>
        <w:rPr>
          <w:rFonts w:hint="eastAsia"/>
          <w:b/>
          <w:szCs w:val="21"/>
          <w:highlight w:val="none"/>
        </w:rPr>
        <w:t>月</w:t>
      </w:r>
      <w:r>
        <w:rPr>
          <w:rFonts w:hint="eastAsia"/>
          <w:b/>
          <w:szCs w:val="21"/>
          <w:highlight w:val="none"/>
          <w:u w:val="single"/>
        </w:rPr>
        <w:t xml:space="preserve">      </w:t>
      </w:r>
      <w:r>
        <w:rPr>
          <w:rFonts w:hint="eastAsia"/>
          <w:b/>
          <w:szCs w:val="21"/>
          <w:highlight w:val="none"/>
        </w:rPr>
        <w:t>日</w:t>
      </w:r>
    </w:p>
    <w:p>
      <w:pPr>
        <w:spacing w:after="156" w:afterLines="50" w:line="480" w:lineRule="exact"/>
        <w:jc w:val="center"/>
        <w:rPr>
          <w:rFonts w:ascii="黑体" w:eastAsia="黑体"/>
          <w:sz w:val="24"/>
          <w:highlight w:val="none"/>
        </w:rPr>
      </w:pPr>
      <w:r>
        <w:rPr>
          <w:b/>
          <w:szCs w:val="21"/>
          <w:highlight w:val="none"/>
        </w:rPr>
        <w:br w:type="page"/>
      </w:r>
      <w:r>
        <w:rPr>
          <w:rFonts w:hint="eastAsia" w:ascii="黑体" w:eastAsia="黑体"/>
          <w:sz w:val="24"/>
          <w:highlight w:val="none"/>
        </w:rPr>
        <w:t>价格指数权重表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983"/>
        <w:gridCol w:w="706"/>
        <w:gridCol w:w="980"/>
        <w:gridCol w:w="706"/>
        <w:gridCol w:w="1261"/>
        <w:gridCol w:w="1678"/>
        <w:gridCol w:w="1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413" w:type="dxa"/>
            <w:gridSpan w:val="2"/>
            <w:vMerge w:val="restart"/>
            <w:shd w:val="clear" w:color="auto" w:fill="auto"/>
            <w:vAlign w:val="center"/>
          </w:tcPr>
          <w:p>
            <w:pPr>
              <w:jc w:val="center"/>
              <w:rPr>
                <w:szCs w:val="21"/>
                <w:highlight w:val="none"/>
              </w:rPr>
            </w:pPr>
            <w:r>
              <w:rPr>
                <w:rFonts w:hint="eastAsia"/>
                <w:szCs w:val="21"/>
                <w:highlight w:val="none"/>
              </w:rPr>
              <w:t>名 称</w:t>
            </w:r>
          </w:p>
        </w:tc>
        <w:tc>
          <w:tcPr>
            <w:tcW w:w="1695" w:type="dxa"/>
            <w:gridSpan w:val="2"/>
            <w:shd w:val="clear" w:color="auto" w:fill="auto"/>
            <w:vAlign w:val="center"/>
          </w:tcPr>
          <w:p>
            <w:pPr>
              <w:jc w:val="center"/>
              <w:rPr>
                <w:szCs w:val="21"/>
                <w:highlight w:val="none"/>
              </w:rPr>
            </w:pPr>
            <w:r>
              <w:rPr>
                <w:rFonts w:hint="eastAsia"/>
                <w:szCs w:val="21"/>
                <w:highlight w:val="none"/>
              </w:rPr>
              <w:t>基本价格指数</w:t>
            </w:r>
          </w:p>
        </w:tc>
        <w:tc>
          <w:tcPr>
            <w:tcW w:w="3673" w:type="dxa"/>
            <w:gridSpan w:val="3"/>
            <w:shd w:val="clear" w:color="auto" w:fill="auto"/>
            <w:vAlign w:val="center"/>
          </w:tcPr>
          <w:p>
            <w:pPr>
              <w:jc w:val="center"/>
              <w:rPr>
                <w:szCs w:val="21"/>
                <w:highlight w:val="none"/>
              </w:rPr>
            </w:pPr>
            <w:r>
              <w:rPr>
                <w:rFonts w:hint="eastAsia"/>
                <w:szCs w:val="21"/>
                <w:highlight w:val="none"/>
              </w:rPr>
              <w:t>权     重</w:t>
            </w:r>
          </w:p>
        </w:tc>
        <w:tc>
          <w:tcPr>
            <w:tcW w:w="1695" w:type="dxa"/>
            <w:vMerge w:val="restart"/>
            <w:shd w:val="clear" w:color="auto" w:fill="auto"/>
            <w:vAlign w:val="center"/>
          </w:tcPr>
          <w:p>
            <w:pPr>
              <w:jc w:val="center"/>
              <w:rPr>
                <w:szCs w:val="21"/>
                <w:highlight w:val="none"/>
              </w:rPr>
            </w:pPr>
            <w:r>
              <w:rPr>
                <w:rFonts w:hint="eastAsia"/>
                <w:szCs w:val="21"/>
                <w:highlight w:val="none"/>
              </w:rPr>
              <w:t>价格指数来源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413" w:type="dxa"/>
            <w:gridSpan w:val="2"/>
            <w:vMerge w:val="continue"/>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代号</w:t>
            </w:r>
          </w:p>
        </w:tc>
        <w:tc>
          <w:tcPr>
            <w:tcW w:w="989" w:type="dxa"/>
            <w:shd w:val="clear" w:color="auto" w:fill="auto"/>
            <w:vAlign w:val="center"/>
          </w:tcPr>
          <w:p>
            <w:pPr>
              <w:jc w:val="center"/>
              <w:rPr>
                <w:szCs w:val="21"/>
                <w:highlight w:val="none"/>
              </w:rPr>
            </w:pPr>
            <w:r>
              <w:rPr>
                <w:rFonts w:hint="eastAsia"/>
                <w:szCs w:val="21"/>
                <w:highlight w:val="none"/>
              </w:rPr>
              <w:t>指数值</w:t>
            </w:r>
          </w:p>
        </w:tc>
        <w:tc>
          <w:tcPr>
            <w:tcW w:w="707" w:type="dxa"/>
            <w:shd w:val="clear" w:color="auto" w:fill="auto"/>
            <w:vAlign w:val="center"/>
          </w:tcPr>
          <w:p>
            <w:pPr>
              <w:jc w:val="center"/>
              <w:rPr>
                <w:szCs w:val="21"/>
                <w:highlight w:val="none"/>
              </w:rPr>
            </w:pPr>
            <w:r>
              <w:rPr>
                <w:rFonts w:hint="eastAsia"/>
                <w:szCs w:val="21"/>
                <w:highlight w:val="none"/>
              </w:rPr>
              <w:t>代号</w:t>
            </w:r>
          </w:p>
        </w:tc>
        <w:tc>
          <w:tcPr>
            <w:tcW w:w="1271" w:type="dxa"/>
            <w:shd w:val="clear" w:color="auto" w:fill="auto"/>
            <w:vAlign w:val="center"/>
          </w:tcPr>
          <w:p>
            <w:pPr>
              <w:jc w:val="center"/>
              <w:rPr>
                <w:szCs w:val="21"/>
                <w:highlight w:val="none"/>
              </w:rPr>
            </w:pPr>
            <w:r>
              <w:rPr>
                <w:rFonts w:hint="eastAsia"/>
                <w:szCs w:val="21"/>
                <w:highlight w:val="none"/>
              </w:rPr>
              <w:t>允许范围</w:t>
            </w:r>
          </w:p>
        </w:tc>
        <w:tc>
          <w:tcPr>
            <w:tcW w:w="1695" w:type="dxa"/>
            <w:shd w:val="clear" w:color="auto" w:fill="auto"/>
            <w:vAlign w:val="center"/>
          </w:tcPr>
          <w:p>
            <w:pPr>
              <w:jc w:val="center"/>
              <w:rPr>
                <w:szCs w:val="21"/>
                <w:highlight w:val="none"/>
              </w:rPr>
            </w:pPr>
            <w:r>
              <w:rPr>
                <w:rFonts w:hint="eastAsia"/>
                <w:szCs w:val="21"/>
                <w:highlight w:val="none"/>
              </w:rPr>
              <w:t>投标人建议值</w:t>
            </w:r>
          </w:p>
        </w:tc>
        <w:tc>
          <w:tcPr>
            <w:tcW w:w="1695" w:type="dxa"/>
            <w:vMerge w:val="continue"/>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413" w:type="dxa"/>
            <w:gridSpan w:val="2"/>
            <w:shd w:val="clear" w:color="auto" w:fill="auto"/>
            <w:vAlign w:val="center"/>
          </w:tcPr>
          <w:p>
            <w:pPr>
              <w:jc w:val="center"/>
              <w:rPr>
                <w:szCs w:val="21"/>
                <w:highlight w:val="none"/>
              </w:rPr>
            </w:pPr>
            <w:r>
              <w:rPr>
                <w:rFonts w:hint="eastAsia"/>
                <w:szCs w:val="21"/>
                <w:highlight w:val="none"/>
              </w:rPr>
              <w:t>定值部分</w:t>
            </w:r>
          </w:p>
        </w:tc>
        <w:tc>
          <w:tcPr>
            <w:tcW w:w="707" w:type="dxa"/>
            <w:shd w:val="clear" w:color="auto" w:fill="auto"/>
            <w:vAlign w:val="center"/>
          </w:tcPr>
          <w:p>
            <w:pPr>
              <w:rPr>
                <w:highlight w:val="none"/>
              </w:rPr>
            </w:pPr>
          </w:p>
        </w:tc>
        <w:tc>
          <w:tcPr>
            <w:tcW w:w="989" w:type="dxa"/>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A</w:t>
            </w:r>
          </w:p>
        </w:tc>
        <w:tc>
          <w:tcPr>
            <w:tcW w:w="1271" w:type="dxa"/>
            <w:shd w:val="clear" w:color="auto" w:fill="auto"/>
            <w:vAlign w:val="center"/>
          </w:tcPr>
          <w:p>
            <w:pPr>
              <w:rPr>
                <w:highlight w:val="none"/>
              </w:rPr>
            </w:pP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425" w:type="dxa"/>
            <w:vMerge w:val="restart"/>
            <w:shd w:val="clear" w:color="auto" w:fill="auto"/>
            <w:vAlign w:val="center"/>
          </w:tcPr>
          <w:p>
            <w:pPr>
              <w:jc w:val="center"/>
              <w:rPr>
                <w:szCs w:val="21"/>
                <w:highlight w:val="none"/>
              </w:rPr>
            </w:pPr>
            <w:r>
              <w:rPr>
                <w:rFonts w:hint="eastAsia"/>
                <w:szCs w:val="21"/>
                <w:highlight w:val="none"/>
              </w:rPr>
              <w:t>变</w:t>
            </w:r>
          </w:p>
          <w:p>
            <w:pPr>
              <w:jc w:val="center"/>
              <w:rPr>
                <w:szCs w:val="21"/>
                <w:highlight w:val="none"/>
              </w:rPr>
            </w:pPr>
            <w:r>
              <w:rPr>
                <w:rFonts w:hint="eastAsia"/>
                <w:szCs w:val="21"/>
                <w:highlight w:val="none"/>
              </w:rPr>
              <w:t>值</w:t>
            </w:r>
          </w:p>
          <w:p>
            <w:pPr>
              <w:jc w:val="center"/>
              <w:rPr>
                <w:szCs w:val="21"/>
                <w:highlight w:val="none"/>
              </w:rPr>
            </w:pPr>
            <w:r>
              <w:rPr>
                <w:rFonts w:hint="eastAsia"/>
                <w:szCs w:val="21"/>
                <w:highlight w:val="none"/>
              </w:rPr>
              <w:t>部</w:t>
            </w:r>
          </w:p>
          <w:p>
            <w:pPr>
              <w:jc w:val="center"/>
              <w:rPr>
                <w:szCs w:val="21"/>
                <w:highlight w:val="none"/>
              </w:rPr>
            </w:pPr>
            <w:r>
              <w:rPr>
                <w:rFonts w:hint="eastAsia"/>
                <w:szCs w:val="21"/>
                <w:highlight w:val="none"/>
              </w:rPr>
              <w:t>分</w:t>
            </w:r>
          </w:p>
        </w:tc>
        <w:tc>
          <w:tcPr>
            <w:tcW w:w="989" w:type="dxa"/>
            <w:shd w:val="clear" w:color="auto" w:fill="auto"/>
            <w:vAlign w:val="center"/>
          </w:tcPr>
          <w:p>
            <w:pPr>
              <w:jc w:val="center"/>
              <w:rPr>
                <w:szCs w:val="21"/>
                <w:highlight w:val="none"/>
              </w:rPr>
            </w:pPr>
            <w:r>
              <w:rPr>
                <w:rFonts w:hint="eastAsia"/>
                <w:szCs w:val="21"/>
                <w:highlight w:val="none"/>
              </w:rPr>
              <w:t>人工费</w:t>
            </w:r>
          </w:p>
        </w:tc>
        <w:tc>
          <w:tcPr>
            <w:tcW w:w="707" w:type="dxa"/>
            <w:shd w:val="clear" w:color="auto" w:fill="auto"/>
            <w:vAlign w:val="center"/>
          </w:tcPr>
          <w:p>
            <w:pPr>
              <w:jc w:val="center"/>
              <w:rPr>
                <w:szCs w:val="21"/>
                <w:highlight w:val="none"/>
              </w:rPr>
            </w:pPr>
            <w:r>
              <w:rPr>
                <w:rFonts w:hint="eastAsia"/>
                <w:szCs w:val="21"/>
                <w:highlight w:val="none"/>
              </w:rPr>
              <w:t>F</w:t>
            </w:r>
            <w:r>
              <w:rPr>
                <w:rFonts w:hint="eastAsia"/>
                <w:szCs w:val="21"/>
                <w:highlight w:val="none"/>
                <w:vertAlign w:val="subscript"/>
              </w:rPr>
              <w:t>01</w:t>
            </w:r>
          </w:p>
        </w:tc>
        <w:tc>
          <w:tcPr>
            <w:tcW w:w="989" w:type="dxa"/>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B</w:t>
            </w:r>
            <w:r>
              <w:rPr>
                <w:rFonts w:hint="eastAsia"/>
                <w:szCs w:val="21"/>
                <w:highlight w:val="none"/>
                <w:vertAlign w:val="subscript"/>
              </w:rPr>
              <w:t>1</w:t>
            </w:r>
          </w:p>
        </w:tc>
        <w:tc>
          <w:tcPr>
            <w:tcW w:w="1271" w:type="dxa"/>
            <w:shd w:val="clear" w:color="auto" w:fill="auto"/>
            <w:vAlign w:val="center"/>
          </w:tcPr>
          <w:p>
            <w:pPr>
              <w:ind w:firstLine="105" w:firstLineChars="50"/>
              <w:rPr>
                <w:szCs w:val="21"/>
                <w:highlight w:val="none"/>
              </w:rPr>
            </w:pPr>
            <w:r>
              <w:rPr>
                <w:rFonts w:hint="eastAsia"/>
                <w:szCs w:val="21"/>
                <w:highlight w:val="none"/>
                <w:u w:val="single"/>
              </w:rPr>
              <w:t xml:space="preserve">   </w:t>
            </w:r>
            <w:r>
              <w:rPr>
                <w:rFonts w:hint="eastAsia"/>
                <w:szCs w:val="21"/>
                <w:highlight w:val="none"/>
              </w:rPr>
              <w:t>至</w:t>
            </w:r>
            <w:r>
              <w:rPr>
                <w:rFonts w:hint="eastAsia"/>
                <w:szCs w:val="21"/>
                <w:highlight w:val="none"/>
                <w:u w:val="single"/>
              </w:rPr>
              <w:t xml:space="preserve">   </w:t>
            </w: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25" w:type="dxa"/>
            <w:vMerge w:val="continue"/>
            <w:shd w:val="clear" w:color="auto" w:fill="auto"/>
            <w:vAlign w:val="center"/>
          </w:tcPr>
          <w:p>
            <w:pPr>
              <w:rPr>
                <w:highlight w:val="none"/>
              </w:rPr>
            </w:pPr>
          </w:p>
        </w:tc>
        <w:tc>
          <w:tcPr>
            <w:tcW w:w="989" w:type="dxa"/>
            <w:shd w:val="clear" w:color="auto" w:fill="auto"/>
            <w:vAlign w:val="center"/>
          </w:tcPr>
          <w:p>
            <w:pPr>
              <w:jc w:val="center"/>
              <w:rPr>
                <w:szCs w:val="21"/>
                <w:highlight w:val="none"/>
              </w:rPr>
            </w:pPr>
            <w:r>
              <w:rPr>
                <w:rFonts w:hint="eastAsia"/>
                <w:szCs w:val="21"/>
                <w:highlight w:val="none"/>
              </w:rPr>
              <w:t>钢材</w:t>
            </w:r>
          </w:p>
        </w:tc>
        <w:tc>
          <w:tcPr>
            <w:tcW w:w="707" w:type="dxa"/>
            <w:shd w:val="clear" w:color="auto" w:fill="auto"/>
            <w:vAlign w:val="center"/>
          </w:tcPr>
          <w:p>
            <w:pPr>
              <w:jc w:val="center"/>
              <w:rPr>
                <w:szCs w:val="21"/>
                <w:highlight w:val="none"/>
              </w:rPr>
            </w:pPr>
            <w:r>
              <w:rPr>
                <w:rFonts w:hint="eastAsia"/>
                <w:szCs w:val="21"/>
                <w:highlight w:val="none"/>
              </w:rPr>
              <w:t>F</w:t>
            </w:r>
            <w:r>
              <w:rPr>
                <w:rFonts w:hint="eastAsia"/>
                <w:szCs w:val="21"/>
                <w:highlight w:val="none"/>
                <w:vertAlign w:val="subscript"/>
              </w:rPr>
              <w:t>02</w:t>
            </w:r>
          </w:p>
        </w:tc>
        <w:tc>
          <w:tcPr>
            <w:tcW w:w="989" w:type="dxa"/>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B</w:t>
            </w:r>
            <w:r>
              <w:rPr>
                <w:rFonts w:hint="eastAsia"/>
                <w:szCs w:val="21"/>
                <w:highlight w:val="none"/>
                <w:vertAlign w:val="subscript"/>
              </w:rPr>
              <w:t>2</w:t>
            </w:r>
          </w:p>
        </w:tc>
        <w:tc>
          <w:tcPr>
            <w:tcW w:w="1271" w:type="dxa"/>
            <w:shd w:val="clear" w:color="auto" w:fill="auto"/>
            <w:vAlign w:val="center"/>
          </w:tcPr>
          <w:p>
            <w:pPr>
              <w:ind w:firstLine="105" w:firstLineChars="50"/>
              <w:rPr>
                <w:szCs w:val="21"/>
                <w:highlight w:val="none"/>
              </w:rPr>
            </w:pPr>
            <w:r>
              <w:rPr>
                <w:rFonts w:hint="eastAsia"/>
                <w:szCs w:val="21"/>
                <w:highlight w:val="none"/>
                <w:u w:val="single"/>
              </w:rPr>
              <w:t xml:space="preserve">   </w:t>
            </w:r>
            <w:r>
              <w:rPr>
                <w:rFonts w:hint="eastAsia"/>
                <w:szCs w:val="21"/>
                <w:highlight w:val="none"/>
              </w:rPr>
              <w:t>至</w:t>
            </w:r>
            <w:r>
              <w:rPr>
                <w:rFonts w:hint="eastAsia"/>
                <w:szCs w:val="21"/>
                <w:highlight w:val="none"/>
                <w:u w:val="single"/>
              </w:rPr>
              <w:t xml:space="preserve">   </w:t>
            </w: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25" w:type="dxa"/>
            <w:vMerge w:val="continue"/>
            <w:shd w:val="clear" w:color="auto" w:fill="auto"/>
            <w:vAlign w:val="center"/>
          </w:tcPr>
          <w:p>
            <w:pPr>
              <w:rPr>
                <w:highlight w:val="none"/>
              </w:rPr>
            </w:pPr>
          </w:p>
        </w:tc>
        <w:tc>
          <w:tcPr>
            <w:tcW w:w="989" w:type="dxa"/>
            <w:shd w:val="clear" w:color="auto" w:fill="auto"/>
            <w:vAlign w:val="center"/>
          </w:tcPr>
          <w:p>
            <w:pPr>
              <w:jc w:val="center"/>
              <w:rPr>
                <w:szCs w:val="21"/>
                <w:highlight w:val="none"/>
              </w:rPr>
            </w:pPr>
            <w:r>
              <w:rPr>
                <w:rFonts w:hint="eastAsia"/>
                <w:szCs w:val="21"/>
                <w:highlight w:val="none"/>
              </w:rPr>
              <w:t>水泥</w:t>
            </w:r>
          </w:p>
        </w:tc>
        <w:tc>
          <w:tcPr>
            <w:tcW w:w="707" w:type="dxa"/>
            <w:shd w:val="clear" w:color="auto" w:fill="auto"/>
            <w:vAlign w:val="center"/>
          </w:tcPr>
          <w:p>
            <w:pPr>
              <w:jc w:val="center"/>
              <w:rPr>
                <w:szCs w:val="21"/>
                <w:highlight w:val="none"/>
              </w:rPr>
            </w:pPr>
            <w:r>
              <w:rPr>
                <w:rFonts w:hint="eastAsia"/>
                <w:szCs w:val="21"/>
                <w:highlight w:val="none"/>
              </w:rPr>
              <w:t>F</w:t>
            </w:r>
            <w:r>
              <w:rPr>
                <w:rFonts w:hint="eastAsia"/>
                <w:szCs w:val="21"/>
                <w:highlight w:val="none"/>
                <w:vertAlign w:val="subscript"/>
              </w:rPr>
              <w:t>03</w:t>
            </w:r>
          </w:p>
        </w:tc>
        <w:tc>
          <w:tcPr>
            <w:tcW w:w="989" w:type="dxa"/>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B</w:t>
            </w:r>
            <w:r>
              <w:rPr>
                <w:rFonts w:hint="eastAsia"/>
                <w:szCs w:val="21"/>
                <w:highlight w:val="none"/>
                <w:vertAlign w:val="subscript"/>
              </w:rPr>
              <w:t>3</w:t>
            </w:r>
          </w:p>
        </w:tc>
        <w:tc>
          <w:tcPr>
            <w:tcW w:w="1271" w:type="dxa"/>
            <w:shd w:val="clear" w:color="auto" w:fill="auto"/>
            <w:vAlign w:val="center"/>
          </w:tcPr>
          <w:p>
            <w:pPr>
              <w:ind w:firstLine="105" w:firstLineChars="50"/>
              <w:rPr>
                <w:szCs w:val="21"/>
                <w:highlight w:val="none"/>
              </w:rPr>
            </w:pPr>
            <w:r>
              <w:rPr>
                <w:rFonts w:hint="eastAsia"/>
                <w:szCs w:val="21"/>
                <w:highlight w:val="none"/>
                <w:u w:val="single"/>
              </w:rPr>
              <w:t xml:space="preserve">   </w:t>
            </w:r>
            <w:r>
              <w:rPr>
                <w:rFonts w:hint="eastAsia"/>
                <w:szCs w:val="21"/>
                <w:highlight w:val="none"/>
              </w:rPr>
              <w:t>至</w:t>
            </w:r>
            <w:r>
              <w:rPr>
                <w:rFonts w:hint="eastAsia"/>
                <w:szCs w:val="21"/>
                <w:highlight w:val="none"/>
                <w:u w:val="single"/>
              </w:rPr>
              <w:t xml:space="preserve">   </w:t>
            </w: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25" w:type="dxa"/>
            <w:vMerge w:val="continue"/>
            <w:shd w:val="clear" w:color="auto" w:fill="auto"/>
            <w:vAlign w:val="center"/>
          </w:tcPr>
          <w:p>
            <w:pPr>
              <w:rPr>
                <w:highlight w:val="none"/>
              </w:rPr>
            </w:pPr>
          </w:p>
        </w:tc>
        <w:tc>
          <w:tcPr>
            <w:tcW w:w="989" w:type="dxa"/>
            <w:shd w:val="clear" w:color="auto" w:fill="auto"/>
            <w:vAlign w:val="center"/>
          </w:tcPr>
          <w:p>
            <w:pPr>
              <w:jc w:val="center"/>
              <w:rPr>
                <w:szCs w:val="21"/>
                <w:highlight w:val="none"/>
              </w:rPr>
            </w:pPr>
            <w:r>
              <w:rPr>
                <w:rFonts w:hint="eastAsia"/>
                <w:szCs w:val="21"/>
                <w:highlight w:val="none"/>
              </w:rPr>
              <w:t>……</w:t>
            </w:r>
          </w:p>
        </w:tc>
        <w:tc>
          <w:tcPr>
            <w:tcW w:w="707" w:type="dxa"/>
            <w:shd w:val="clear" w:color="auto" w:fill="auto"/>
            <w:vAlign w:val="center"/>
          </w:tcPr>
          <w:p>
            <w:pPr>
              <w:jc w:val="center"/>
              <w:rPr>
                <w:szCs w:val="21"/>
                <w:highlight w:val="none"/>
              </w:rPr>
            </w:pPr>
            <w:r>
              <w:rPr>
                <w:rFonts w:hint="eastAsia"/>
                <w:szCs w:val="21"/>
                <w:highlight w:val="none"/>
              </w:rPr>
              <w:t>……</w:t>
            </w:r>
          </w:p>
        </w:tc>
        <w:tc>
          <w:tcPr>
            <w:tcW w:w="989" w:type="dxa"/>
            <w:shd w:val="clear" w:color="auto" w:fill="auto"/>
            <w:vAlign w:val="center"/>
          </w:tcPr>
          <w:p>
            <w:pPr>
              <w:rPr>
                <w:highlight w:val="none"/>
              </w:rPr>
            </w:pPr>
          </w:p>
        </w:tc>
        <w:tc>
          <w:tcPr>
            <w:tcW w:w="707" w:type="dxa"/>
            <w:shd w:val="clear" w:color="auto" w:fill="auto"/>
            <w:vAlign w:val="center"/>
          </w:tcPr>
          <w:p>
            <w:pPr>
              <w:jc w:val="center"/>
              <w:rPr>
                <w:szCs w:val="21"/>
                <w:highlight w:val="none"/>
              </w:rPr>
            </w:pPr>
            <w:r>
              <w:rPr>
                <w:rFonts w:hint="eastAsia"/>
                <w:szCs w:val="21"/>
                <w:highlight w:val="none"/>
              </w:rPr>
              <w:t>……</w:t>
            </w:r>
          </w:p>
        </w:tc>
        <w:tc>
          <w:tcPr>
            <w:tcW w:w="1271" w:type="dxa"/>
            <w:shd w:val="clear" w:color="auto" w:fill="auto"/>
            <w:vAlign w:val="center"/>
          </w:tcPr>
          <w:p>
            <w:pPr>
              <w:jc w:val="center"/>
              <w:rPr>
                <w:szCs w:val="21"/>
                <w:highlight w:val="none"/>
              </w:rPr>
            </w:pPr>
            <w:r>
              <w:rPr>
                <w:rFonts w:hint="eastAsia"/>
                <w:szCs w:val="21"/>
                <w:highlight w:val="none"/>
              </w:rPr>
              <w:t>……</w:t>
            </w: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425" w:type="dxa"/>
            <w:vMerge w:val="continue"/>
            <w:shd w:val="clear" w:color="auto" w:fill="auto"/>
            <w:vAlign w:val="center"/>
          </w:tcPr>
          <w:p>
            <w:pPr>
              <w:rPr>
                <w:highlight w:val="none"/>
              </w:rPr>
            </w:pPr>
          </w:p>
        </w:tc>
        <w:tc>
          <w:tcPr>
            <w:tcW w:w="989" w:type="dxa"/>
            <w:shd w:val="clear" w:color="auto" w:fill="auto"/>
            <w:vAlign w:val="center"/>
          </w:tcPr>
          <w:p>
            <w:pPr>
              <w:rPr>
                <w:highlight w:val="none"/>
              </w:rPr>
            </w:pPr>
          </w:p>
        </w:tc>
        <w:tc>
          <w:tcPr>
            <w:tcW w:w="707" w:type="dxa"/>
            <w:shd w:val="clear" w:color="auto" w:fill="auto"/>
            <w:vAlign w:val="center"/>
          </w:tcPr>
          <w:p>
            <w:pPr>
              <w:rPr>
                <w:highlight w:val="none"/>
              </w:rPr>
            </w:pPr>
          </w:p>
        </w:tc>
        <w:tc>
          <w:tcPr>
            <w:tcW w:w="989" w:type="dxa"/>
            <w:shd w:val="clear" w:color="auto" w:fill="auto"/>
            <w:vAlign w:val="center"/>
          </w:tcPr>
          <w:p>
            <w:pPr>
              <w:rPr>
                <w:highlight w:val="none"/>
              </w:rPr>
            </w:pPr>
          </w:p>
        </w:tc>
        <w:tc>
          <w:tcPr>
            <w:tcW w:w="707" w:type="dxa"/>
            <w:shd w:val="clear" w:color="auto" w:fill="auto"/>
            <w:vAlign w:val="center"/>
          </w:tcPr>
          <w:p>
            <w:pPr>
              <w:rPr>
                <w:highlight w:val="none"/>
              </w:rPr>
            </w:pPr>
          </w:p>
        </w:tc>
        <w:tc>
          <w:tcPr>
            <w:tcW w:w="1271" w:type="dxa"/>
            <w:shd w:val="clear" w:color="auto" w:fill="auto"/>
            <w:vAlign w:val="center"/>
          </w:tcPr>
          <w:p>
            <w:pPr>
              <w:rPr>
                <w:highlight w:val="none"/>
              </w:rPr>
            </w:pP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425" w:type="dxa"/>
            <w:vMerge w:val="continue"/>
            <w:shd w:val="clear" w:color="auto" w:fill="auto"/>
            <w:vAlign w:val="center"/>
          </w:tcPr>
          <w:p>
            <w:pPr>
              <w:rPr>
                <w:highlight w:val="none"/>
              </w:rPr>
            </w:pPr>
          </w:p>
        </w:tc>
        <w:tc>
          <w:tcPr>
            <w:tcW w:w="989" w:type="dxa"/>
            <w:shd w:val="clear" w:color="auto" w:fill="auto"/>
            <w:vAlign w:val="center"/>
          </w:tcPr>
          <w:p>
            <w:pPr>
              <w:rPr>
                <w:highlight w:val="none"/>
              </w:rPr>
            </w:pPr>
          </w:p>
        </w:tc>
        <w:tc>
          <w:tcPr>
            <w:tcW w:w="707" w:type="dxa"/>
            <w:shd w:val="clear" w:color="auto" w:fill="auto"/>
            <w:vAlign w:val="center"/>
          </w:tcPr>
          <w:p>
            <w:pPr>
              <w:rPr>
                <w:highlight w:val="none"/>
              </w:rPr>
            </w:pPr>
          </w:p>
        </w:tc>
        <w:tc>
          <w:tcPr>
            <w:tcW w:w="989" w:type="dxa"/>
            <w:shd w:val="clear" w:color="auto" w:fill="auto"/>
            <w:vAlign w:val="center"/>
          </w:tcPr>
          <w:p>
            <w:pPr>
              <w:rPr>
                <w:highlight w:val="none"/>
              </w:rPr>
            </w:pPr>
          </w:p>
        </w:tc>
        <w:tc>
          <w:tcPr>
            <w:tcW w:w="707" w:type="dxa"/>
            <w:shd w:val="clear" w:color="auto" w:fill="auto"/>
            <w:vAlign w:val="center"/>
          </w:tcPr>
          <w:p>
            <w:pPr>
              <w:rPr>
                <w:highlight w:val="none"/>
              </w:rPr>
            </w:pPr>
          </w:p>
        </w:tc>
        <w:tc>
          <w:tcPr>
            <w:tcW w:w="1271" w:type="dxa"/>
            <w:shd w:val="clear" w:color="auto" w:fill="auto"/>
            <w:vAlign w:val="center"/>
          </w:tcPr>
          <w:p>
            <w:pPr>
              <w:rPr>
                <w:highlight w:val="none"/>
              </w:rPr>
            </w:pPr>
          </w:p>
        </w:tc>
        <w:tc>
          <w:tcPr>
            <w:tcW w:w="1695" w:type="dxa"/>
            <w:shd w:val="clear" w:color="auto" w:fill="auto"/>
            <w:vAlign w:val="center"/>
          </w:tcPr>
          <w:p>
            <w:pPr>
              <w:rPr>
                <w:highlight w:val="none"/>
              </w:rPr>
            </w:pPr>
          </w:p>
        </w:tc>
        <w:tc>
          <w:tcPr>
            <w:tcW w:w="16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5086" w:type="dxa"/>
            <w:gridSpan w:val="6"/>
            <w:shd w:val="clear" w:color="auto" w:fill="auto"/>
            <w:vAlign w:val="center"/>
          </w:tcPr>
          <w:p>
            <w:pPr>
              <w:jc w:val="center"/>
              <w:rPr>
                <w:szCs w:val="21"/>
                <w:highlight w:val="none"/>
              </w:rPr>
            </w:pPr>
            <w:r>
              <w:rPr>
                <w:rFonts w:hint="eastAsia"/>
                <w:szCs w:val="21"/>
                <w:highlight w:val="none"/>
              </w:rPr>
              <w:t>合             计</w:t>
            </w:r>
          </w:p>
        </w:tc>
        <w:tc>
          <w:tcPr>
            <w:tcW w:w="1695" w:type="dxa"/>
            <w:shd w:val="clear" w:color="auto" w:fill="auto"/>
            <w:vAlign w:val="center"/>
          </w:tcPr>
          <w:p>
            <w:pPr>
              <w:jc w:val="center"/>
              <w:rPr>
                <w:szCs w:val="21"/>
                <w:highlight w:val="none"/>
              </w:rPr>
            </w:pPr>
            <w:r>
              <w:rPr>
                <w:rFonts w:hint="eastAsia"/>
                <w:szCs w:val="21"/>
                <w:highlight w:val="none"/>
              </w:rPr>
              <w:t>1.00</w:t>
            </w:r>
          </w:p>
        </w:tc>
        <w:tc>
          <w:tcPr>
            <w:tcW w:w="1695" w:type="dxa"/>
            <w:shd w:val="clear" w:color="auto" w:fill="auto"/>
            <w:vAlign w:val="center"/>
          </w:tcPr>
          <w:p>
            <w:pPr>
              <w:rPr>
                <w:highlight w:val="none"/>
              </w:rPr>
            </w:pPr>
          </w:p>
        </w:tc>
      </w:tr>
    </w:tbl>
    <w:p>
      <w:pPr>
        <w:spacing w:before="156" w:beforeLines="50"/>
        <w:rPr>
          <w:szCs w:val="21"/>
          <w:highlight w:val="none"/>
        </w:rPr>
      </w:pPr>
      <w:r>
        <w:rPr>
          <w:rFonts w:hint="eastAsia" w:ascii="黑体" w:eastAsia="黑体"/>
          <w:szCs w:val="21"/>
          <w:highlight w:val="none"/>
        </w:rPr>
        <w:t>备注：</w:t>
      </w:r>
      <w:r>
        <w:rPr>
          <w:rFonts w:hint="eastAsia"/>
          <w:szCs w:val="21"/>
          <w:highlight w:val="none"/>
        </w:rPr>
        <w:t>在专用合同条款</w:t>
      </w:r>
      <w:r>
        <w:rPr>
          <w:rFonts w:hint="eastAsia" w:ascii="黑体" w:eastAsia="黑体"/>
          <w:szCs w:val="21"/>
          <w:highlight w:val="none"/>
        </w:rPr>
        <w:t>16.1</w:t>
      </w:r>
      <w:r>
        <w:rPr>
          <w:rFonts w:hint="eastAsia"/>
          <w:szCs w:val="21"/>
          <w:highlight w:val="none"/>
        </w:rPr>
        <w:t>款约定采用价格指数法进行价格调整时适用本表。表中除“投标人建议值”由投标人结合其投标报价情况选择填写外，其余均由招标人在招标文件发出前填写。</w:t>
      </w:r>
    </w:p>
    <w:p>
      <w:pPr>
        <w:spacing w:before="312" w:beforeLines="100" w:after="156" w:afterLines="50"/>
        <w:jc w:val="center"/>
        <w:rPr>
          <w:rFonts w:ascii="黑体" w:eastAsia="黑体"/>
          <w:sz w:val="28"/>
          <w:szCs w:val="28"/>
          <w:highlight w:val="none"/>
        </w:rPr>
      </w:pPr>
      <w:r>
        <w:rPr>
          <w:szCs w:val="21"/>
          <w:highlight w:val="none"/>
        </w:rPr>
        <w:br w:type="page"/>
      </w:r>
      <w:r>
        <w:rPr>
          <w:rFonts w:hint="eastAsia" w:ascii="黑体" w:eastAsia="黑体"/>
          <w:sz w:val="28"/>
          <w:szCs w:val="28"/>
          <w:highlight w:val="none"/>
        </w:rPr>
        <w:t>二、法定代表人身份证明</w:t>
      </w:r>
    </w:p>
    <w:p>
      <w:pPr>
        <w:spacing w:line="500" w:lineRule="exact"/>
        <w:rPr>
          <w:rFonts w:ascii="黑体" w:eastAsia="黑体"/>
          <w:szCs w:val="21"/>
          <w:highlight w:val="none"/>
        </w:rPr>
      </w:pPr>
      <w:r>
        <w:rPr>
          <w:rFonts w:hint="eastAsia" w:ascii="黑体" w:eastAsia="黑体"/>
          <w:szCs w:val="21"/>
          <w:highlight w:val="none"/>
        </w:rPr>
        <w:t>投 标 人：</w:t>
      </w:r>
      <w:r>
        <w:rPr>
          <w:rFonts w:hint="eastAsia"/>
          <w:szCs w:val="21"/>
          <w:highlight w:val="none"/>
          <w:u w:val="single"/>
        </w:rPr>
        <w:t xml:space="preserve">                                                        </w:t>
      </w:r>
    </w:p>
    <w:p>
      <w:pPr>
        <w:spacing w:line="500" w:lineRule="exact"/>
        <w:rPr>
          <w:rFonts w:ascii="黑体" w:eastAsia="黑体"/>
          <w:szCs w:val="21"/>
          <w:highlight w:val="none"/>
        </w:rPr>
      </w:pPr>
      <w:r>
        <w:rPr>
          <w:rFonts w:hint="eastAsia" w:ascii="黑体" w:eastAsia="黑体"/>
          <w:szCs w:val="21"/>
          <w:highlight w:val="none"/>
        </w:rPr>
        <w:t>单位性质：</w:t>
      </w:r>
      <w:r>
        <w:rPr>
          <w:rFonts w:hint="eastAsia"/>
          <w:szCs w:val="21"/>
          <w:highlight w:val="none"/>
          <w:u w:val="single"/>
        </w:rPr>
        <w:t xml:space="preserve">                                                        </w:t>
      </w:r>
    </w:p>
    <w:p>
      <w:pPr>
        <w:spacing w:line="500" w:lineRule="exact"/>
        <w:rPr>
          <w:rFonts w:ascii="黑体" w:eastAsia="黑体"/>
          <w:szCs w:val="21"/>
          <w:highlight w:val="none"/>
        </w:rPr>
      </w:pPr>
      <w:r>
        <w:rPr>
          <w:rFonts w:hint="eastAsia" w:ascii="黑体" w:eastAsia="黑体"/>
          <w:szCs w:val="21"/>
          <w:highlight w:val="none"/>
        </w:rPr>
        <w:t>地    址：</w:t>
      </w:r>
      <w:r>
        <w:rPr>
          <w:rFonts w:hint="eastAsia"/>
          <w:szCs w:val="21"/>
          <w:highlight w:val="none"/>
          <w:u w:val="single"/>
        </w:rPr>
        <w:t xml:space="preserve">                                                        </w:t>
      </w:r>
    </w:p>
    <w:p>
      <w:pPr>
        <w:spacing w:line="500" w:lineRule="exact"/>
        <w:rPr>
          <w:szCs w:val="21"/>
          <w:highlight w:val="none"/>
        </w:rPr>
      </w:pPr>
      <w:r>
        <w:rPr>
          <w:rFonts w:hint="eastAsia" w:ascii="黑体" w:eastAsia="黑体"/>
          <w:szCs w:val="21"/>
          <w:highlight w:val="none"/>
        </w:rPr>
        <w:t>成立时间：</w:t>
      </w: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日</w:t>
      </w:r>
    </w:p>
    <w:p>
      <w:pPr>
        <w:spacing w:line="500" w:lineRule="exact"/>
        <w:rPr>
          <w:rFonts w:ascii="黑体" w:eastAsia="黑体"/>
          <w:szCs w:val="21"/>
          <w:highlight w:val="none"/>
        </w:rPr>
      </w:pPr>
      <w:r>
        <w:rPr>
          <w:rFonts w:hint="eastAsia" w:ascii="黑体" w:eastAsia="黑体"/>
          <w:szCs w:val="21"/>
          <w:highlight w:val="none"/>
        </w:rPr>
        <w:t>经营期限：</w:t>
      </w:r>
      <w:r>
        <w:rPr>
          <w:rFonts w:hint="eastAsia"/>
          <w:szCs w:val="21"/>
          <w:highlight w:val="none"/>
          <w:u w:val="single"/>
        </w:rPr>
        <w:t xml:space="preserve">                                                        </w:t>
      </w:r>
    </w:p>
    <w:p>
      <w:pPr>
        <w:spacing w:line="500" w:lineRule="exact"/>
        <w:rPr>
          <w:rFonts w:ascii="黑体" w:eastAsia="黑体"/>
          <w:szCs w:val="21"/>
          <w:highlight w:val="none"/>
        </w:rPr>
      </w:pPr>
      <w:r>
        <w:rPr>
          <w:rFonts w:hint="eastAsia" w:ascii="黑体" w:eastAsia="黑体"/>
          <w:szCs w:val="21"/>
          <w:highlight w:val="none"/>
        </w:rPr>
        <w:t>姓    名：</w:t>
      </w:r>
      <w:r>
        <w:rPr>
          <w:rFonts w:hint="eastAsia"/>
          <w:szCs w:val="21"/>
          <w:highlight w:val="none"/>
          <w:u w:val="single"/>
        </w:rPr>
        <w:t xml:space="preserve">                          </w:t>
      </w:r>
      <w:r>
        <w:rPr>
          <w:rFonts w:hint="eastAsia" w:ascii="黑体" w:eastAsia="黑体"/>
          <w:szCs w:val="21"/>
          <w:highlight w:val="none"/>
        </w:rPr>
        <w:t>性        别：</w:t>
      </w:r>
      <w:r>
        <w:rPr>
          <w:rFonts w:hint="eastAsia"/>
          <w:szCs w:val="21"/>
          <w:highlight w:val="none"/>
          <w:u w:val="single"/>
        </w:rPr>
        <w:t xml:space="preserve">                </w:t>
      </w:r>
    </w:p>
    <w:p>
      <w:pPr>
        <w:spacing w:line="500" w:lineRule="exact"/>
        <w:rPr>
          <w:rFonts w:ascii="黑体" w:eastAsia="黑体"/>
          <w:szCs w:val="21"/>
          <w:highlight w:val="none"/>
        </w:rPr>
      </w:pPr>
      <w:r>
        <w:rPr>
          <w:rFonts w:hint="eastAsia" w:ascii="黑体" w:eastAsia="黑体"/>
          <w:szCs w:val="21"/>
          <w:highlight w:val="none"/>
        </w:rPr>
        <w:t>年    龄：</w:t>
      </w:r>
      <w:r>
        <w:rPr>
          <w:rFonts w:hint="eastAsia"/>
          <w:szCs w:val="21"/>
          <w:highlight w:val="none"/>
          <w:u w:val="single"/>
        </w:rPr>
        <w:t xml:space="preserve">                          </w:t>
      </w:r>
      <w:r>
        <w:rPr>
          <w:rFonts w:hint="eastAsia" w:ascii="黑体" w:eastAsia="黑体"/>
          <w:szCs w:val="21"/>
          <w:highlight w:val="none"/>
        </w:rPr>
        <w:t>职        务：</w:t>
      </w:r>
      <w:r>
        <w:rPr>
          <w:rFonts w:hint="eastAsia"/>
          <w:szCs w:val="21"/>
          <w:highlight w:val="none"/>
          <w:u w:val="single"/>
        </w:rPr>
        <w:t xml:space="preserve">                </w:t>
      </w:r>
    </w:p>
    <w:p>
      <w:pPr>
        <w:spacing w:line="500" w:lineRule="exact"/>
        <w:rPr>
          <w:szCs w:val="21"/>
          <w:highlight w:val="none"/>
        </w:rPr>
      </w:pPr>
      <w:r>
        <w:rPr>
          <w:rFonts w:hint="eastAsia"/>
          <w:szCs w:val="21"/>
          <w:highlight w:val="none"/>
        </w:rPr>
        <w:t>系</w:t>
      </w:r>
      <w:r>
        <w:rPr>
          <w:rFonts w:hint="eastAsia"/>
          <w:szCs w:val="21"/>
          <w:highlight w:val="none"/>
          <w:u w:val="single"/>
        </w:rPr>
        <w:t xml:space="preserve">                                                 </w:t>
      </w:r>
      <w:r>
        <w:rPr>
          <w:rFonts w:hint="eastAsia"/>
          <w:szCs w:val="21"/>
          <w:highlight w:val="none"/>
        </w:rPr>
        <w:t>（投标人名称）的法定代表人。</w:t>
      </w:r>
    </w:p>
    <w:p>
      <w:pPr>
        <w:spacing w:line="500" w:lineRule="exact"/>
        <w:rPr>
          <w:szCs w:val="21"/>
          <w:highlight w:val="none"/>
        </w:rPr>
      </w:pPr>
      <w:r>
        <w:rPr>
          <w:rFonts w:hint="eastAsia"/>
          <w:szCs w:val="21"/>
          <w:highlight w:val="none"/>
        </w:rPr>
        <w:t>特此证明。</w:t>
      </w:r>
    </w:p>
    <w:p>
      <w:pPr>
        <w:wordWrap w:val="0"/>
        <w:spacing w:line="500" w:lineRule="exact"/>
        <w:jc w:val="right"/>
        <w:rPr>
          <w:szCs w:val="21"/>
          <w:highlight w:val="none"/>
        </w:rPr>
      </w:pPr>
      <w:r>
        <w:rPr>
          <w:rFonts w:hint="eastAsia" w:ascii="黑体" w:eastAsia="黑体"/>
          <w:szCs w:val="21"/>
          <w:highlight w:val="none"/>
        </w:rPr>
        <w:t>投标人：</w:t>
      </w:r>
      <w:r>
        <w:rPr>
          <w:rFonts w:hint="eastAsia"/>
          <w:szCs w:val="21"/>
          <w:highlight w:val="none"/>
          <w:u w:val="single"/>
        </w:rPr>
        <w:t xml:space="preserve">                          </w:t>
      </w:r>
      <w:r>
        <w:rPr>
          <w:rFonts w:hint="eastAsia"/>
          <w:szCs w:val="21"/>
          <w:highlight w:val="none"/>
        </w:rPr>
        <w:t>（盖单位章）</w:t>
      </w:r>
    </w:p>
    <w:p>
      <w:pPr>
        <w:wordWrap w:val="0"/>
        <w:spacing w:line="500" w:lineRule="exact"/>
        <w:jc w:val="right"/>
        <w:rPr>
          <w:szCs w:val="21"/>
          <w:highlight w:val="none"/>
        </w:rPr>
      </w:pP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 xml:space="preserve">日          </w:t>
      </w:r>
    </w:p>
    <w:p>
      <w:pPr>
        <w:spacing w:before="312" w:beforeLines="100" w:after="156" w:afterLines="50"/>
        <w:jc w:val="center"/>
        <w:rPr>
          <w:rFonts w:ascii="黑体" w:eastAsia="黑体"/>
          <w:sz w:val="28"/>
          <w:szCs w:val="28"/>
          <w:highlight w:val="none"/>
        </w:rPr>
      </w:pPr>
      <w:r>
        <w:rPr>
          <w:szCs w:val="21"/>
          <w:highlight w:val="none"/>
        </w:rPr>
        <w:br w:type="page"/>
      </w:r>
      <w:r>
        <w:rPr>
          <w:rFonts w:hint="eastAsia" w:ascii="黑体" w:eastAsia="黑体"/>
          <w:sz w:val="28"/>
          <w:szCs w:val="28"/>
          <w:highlight w:val="none"/>
        </w:rPr>
        <w:t>二、授权委托书</w:t>
      </w:r>
    </w:p>
    <w:p>
      <w:pPr>
        <w:spacing w:line="500" w:lineRule="exact"/>
        <w:ind w:firstLine="420" w:firstLineChars="200"/>
        <w:rPr>
          <w:szCs w:val="21"/>
          <w:highlight w:val="none"/>
        </w:rPr>
      </w:pPr>
      <w:r>
        <w:rPr>
          <w:rFonts w:hint="eastAsia"/>
          <w:szCs w:val="21"/>
          <w:highlight w:val="none"/>
        </w:rPr>
        <w:t>本人</w:t>
      </w:r>
      <w:r>
        <w:rPr>
          <w:rFonts w:hint="eastAsia"/>
          <w:szCs w:val="21"/>
          <w:highlight w:val="none"/>
          <w:u w:val="single"/>
        </w:rPr>
        <w:t xml:space="preserve">         </w:t>
      </w:r>
      <w:r>
        <w:rPr>
          <w:rFonts w:hint="eastAsia"/>
          <w:szCs w:val="21"/>
          <w:highlight w:val="none"/>
        </w:rPr>
        <w:t>（姓名）系</w:t>
      </w:r>
      <w:r>
        <w:rPr>
          <w:rFonts w:hint="eastAsia"/>
          <w:szCs w:val="21"/>
          <w:highlight w:val="none"/>
          <w:u w:val="single"/>
        </w:rPr>
        <w:t xml:space="preserve">         </w:t>
      </w:r>
      <w:r>
        <w:rPr>
          <w:rFonts w:hint="eastAsia"/>
          <w:szCs w:val="21"/>
          <w:highlight w:val="none"/>
        </w:rPr>
        <w:t>（投标人名称）的法定代表人，现委托</w:t>
      </w:r>
      <w:r>
        <w:rPr>
          <w:rFonts w:hint="eastAsia"/>
          <w:szCs w:val="21"/>
          <w:highlight w:val="none"/>
          <w:u w:val="single"/>
        </w:rPr>
        <w:t xml:space="preserve">      </w:t>
      </w:r>
      <w:r>
        <w:rPr>
          <w:rFonts w:hint="eastAsia"/>
          <w:szCs w:val="21"/>
          <w:highlight w:val="none"/>
        </w:rPr>
        <w:t>（姓名）为我方代理人。代理人根据授权，以我方名义签署、澄清、说明、补正、递交、撤回、修改</w:t>
      </w:r>
      <w:r>
        <w:rPr>
          <w:rFonts w:hint="eastAsia"/>
          <w:szCs w:val="21"/>
          <w:highlight w:val="none"/>
          <w:u w:val="single"/>
        </w:rPr>
        <w:t xml:space="preserve">             </w:t>
      </w:r>
      <w:r>
        <w:rPr>
          <w:rFonts w:hint="eastAsia"/>
          <w:szCs w:val="21"/>
          <w:highlight w:val="none"/>
        </w:rPr>
        <w:t>（项目名称）投标文件、签订合同和处理有关事宜，其法律后果由我方承担。</w:t>
      </w:r>
    </w:p>
    <w:p>
      <w:pPr>
        <w:spacing w:before="156" w:beforeLines="50" w:line="500" w:lineRule="exact"/>
        <w:ind w:firstLine="420" w:firstLineChars="200"/>
        <w:rPr>
          <w:szCs w:val="21"/>
          <w:highlight w:val="none"/>
        </w:rPr>
      </w:pPr>
      <w:r>
        <w:rPr>
          <w:rFonts w:hint="eastAsia"/>
          <w:szCs w:val="21"/>
          <w:highlight w:val="none"/>
        </w:rPr>
        <w:t>委托期限：</w:t>
      </w:r>
      <w:r>
        <w:rPr>
          <w:rFonts w:hint="eastAsia"/>
          <w:szCs w:val="21"/>
          <w:highlight w:val="none"/>
          <w:u w:val="single"/>
        </w:rPr>
        <w:t xml:space="preserve">                                                          </w:t>
      </w:r>
    </w:p>
    <w:p>
      <w:pPr>
        <w:spacing w:line="500" w:lineRule="exact"/>
        <w:ind w:firstLine="1260" w:firstLineChars="600"/>
        <w:rPr>
          <w:szCs w:val="21"/>
          <w:highlight w:val="none"/>
        </w:rPr>
      </w:pPr>
      <w:r>
        <w:rPr>
          <w:rFonts w:hint="eastAsia"/>
          <w:szCs w:val="21"/>
          <w:highlight w:val="none"/>
        </w:rPr>
        <w:t xml:space="preserve">  </w:t>
      </w:r>
      <w:r>
        <w:rPr>
          <w:rFonts w:hint="eastAsia"/>
          <w:szCs w:val="21"/>
          <w:highlight w:val="none"/>
          <w:u w:val="single"/>
        </w:rPr>
        <w:t xml:space="preserve">                                                         </w:t>
      </w:r>
      <w:r>
        <w:rPr>
          <w:rFonts w:hint="eastAsia"/>
          <w:szCs w:val="21"/>
          <w:highlight w:val="none"/>
        </w:rPr>
        <w:t>。</w:t>
      </w:r>
    </w:p>
    <w:p>
      <w:pPr>
        <w:spacing w:before="312" w:beforeLines="100" w:after="312" w:afterLines="100" w:line="500" w:lineRule="exact"/>
        <w:ind w:firstLine="420" w:firstLineChars="200"/>
        <w:rPr>
          <w:szCs w:val="21"/>
          <w:highlight w:val="none"/>
        </w:rPr>
      </w:pPr>
      <w:r>
        <w:rPr>
          <w:rFonts w:hint="eastAsia"/>
          <w:szCs w:val="21"/>
          <w:highlight w:val="none"/>
        </w:rPr>
        <w:t>代理人无转委托权。</w:t>
      </w:r>
    </w:p>
    <w:p>
      <w:pPr>
        <w:spacing w:after="312" w:afterLines="100" w:line="500" w:lineRule="exact"/>
        <w:ind w:firstLine="420" w:firstLineChars="200"/>
        <w:rPr>
          <w:szCs w:val="21"/>
          <w:highlight w:val="none"/>
        </w:rPr>
      </w:pPr>
      <w:r>
        <w:rPr>
          <w:rFonts w:hint="eastAsia"/>
          <w:szCs w:val="21"/>
          <w:highlight w:val="none"/>
        </w:rPr>
        <w:t>附：法定代表人身份证明</w:t>
      </w:r>
    </w:p>
    <w:p>
      <w:pPr>
        <w:spacing w:line="400" w:lineRule="exact"/>
        <w:ind w:firstLine="3570" w:firstLineChars="1700"/>
        <w:rPr>
          <w:szCs w:val="21"/>
          <w:highlight w:val="none"/>
        </w:rPr>
      </w:pPr>
      <w:r>
        <w:rPr>
          <w:rFonts w:hint="eastAsia" w:ascii="黑体" w:eastAsia="黑体"/>
          <w:szCs w:val="21"/>
          <w:highlight w:val="none"/>
        </w:rPr>
        <w:t>投  标  人：</w:t>
      </w:r>
      <w:r>
        <w:rPr>
          <w:rFonts w:hint="eastAsia"/>
          <w:szCs w:val="21"/>
          <w:highlight w:val="none"/>
          <w:u w:val="single"/>
        </w:rPr>
        <w:t xml:space="preserve">                        </w:t>
      </w:r>
      <w:r>
        <w:rPr>
          <w:rFonts w:hint="eastAsia"/>
          <w:szCs w:val="21"/>
          <w:highlight w:val="none"/>
        </w:rPr>
        <w:t>（盖单位章）</w:t>
      </w:r>
    </w:p>
    <w:p>
      <w:pPr>
        <w:spacing w:line="400" w:lineRule="exact"/>
        <w:ind w:firstLine="3570" w:firstLineChars="1700"/>
        <w:rPr>
          <w:szCs w:val="21"/>
          <w:highlight w:val="none"/>
        </w:rPr>
      </w:pPr>
      <w:r>
        <w:rPr>
          <w:rFonts w:hint="eastAsia" w:ascii="黑体" w:eastAsia="黑体"/>
          <w:szCs w:val="21"/>
          <w:highlight w:val="none"/>
        </w:rPr>
        <w:t>法定代表人：</w:t>
      </w:r>
      <w:r>
        <w:rPr>
          <w:rFonts w:hint="eastAsia"/>
          <w:szCs w:val="21"/>
          <w:highlight w:val="none"/>
          <w:u w:val="single"/>
        </w:rPr>
        <w:t xml:space="preserve">                            </w:t>
      </w:r>
      <w:r>
        <w:rPr>
          <w:rFonts w:hint="eastAsia"/>
          <w:szCs w:val="21"/>
          <w:highlight w:val="none"/>
        </w:rPr>
        <w:t>（签字）</w:t>
      </w:r>
    </w:p>
    <w:p>
      <w:pPr>
        <w:spacing w:line="400" w:lineRule="exact"/>
        <w:ind w:firstLine="3570" w:firstLineChars="1700"/>
        <w:rPr>
          <w:rFonts w:ascii="黑体" w:eastAsia="黑体"/>
          <w:szCs w:val="21"/>
          <w:highlight w:val="none"/>
          <w:u w:val="single"/>
        </w:rPr>
      </w:pPr>
      <w:r>
        <w:rPr>
          <w:rFonts w:hint="eastAsia" w:ascii="黑体" w:eastAsia="黑体"/>
          <w:szCs w:val="21"/>
          <w:highlight w:val="none"/>
        </w:rPr>
        <w:t>身份证号码：</w:t>
      </w:r>
      <w:r>
        <w:rPr>
          <w:rFonts w:hint="eastAsia" w:ascii="黑体" w:eastAsia="黑体"/>
          <w:szCs w:val="21"/>
          <w:highlight w:val="none"/>
          <w:u w:val="single"/>
        </w:rPr>
        <w:t xml:space="preserve">                                   </w:t>
      </w:r>
    </w:p>
    <w:p>
      <w:pPr>
        <w:spacing w:line="400" w:lineRule="exact"/>
        <w:ind w:firstLine="3570" w:firstLineChars="1700"/>
        <w:rPr>
          <w:szCs w:val="21"/>
          <w:highlight w:val="none"/>
        </w:rPr>
      </w:pPr>
      <w:r>
        <w:rPr>
          <w:rFonts w:hint="eastAsia" w:ascii="黑体" w:eastAsia="黑体"/>
          <w:szCs w:val="21"/>
          <w:highlight w:val="none"/>
        </w:rPr>
        <w:t>委托代理人：</w:t>
      </w:r>
      <w:r>
        <w:rPr>
          <w:rFonts w:hint="eastAsia"/>
          <w:szCs w:val="21"/>
          <w:highlight w:val="none"/>
          <w:u w:val="single"/>
        </w:rPr>
        <w:t xml:space="preserve">                            </w:t>
      </w:r>
      <w:r>
        <w:rPr>
          <w:rFonts w:hint="eastAsia"/>
          <w:szCs w:val="21"/>
          <w:highlight w:val="none"/>
        </w:rPr>
        <w:t>（签字）</w:t>
      </w:r>
    </w:p>
    <w:p>
      <w:pPr>
        <w:spacing w:line="400" w:lineRule="exact"/>
        <w:ind w:firstLine="3570" w:firstLineChars="1700"/>
        <w:rPr>
          <w:rFonts w:ascii="黑体" w:eastAsia="黑体"/>
          <w:szCs w:val="21"/>
          <w:highlight w:val="none"/>
          <w:u w:val="single"/>
        </w:rPr>
      </w:pPr>
      <w:r>
        <w:rPr>
          <w:rFonts w:hint="eastAsia" w:ascii="黑体" w:eastAsia="黑体"/>
          <w:szCs w:val="21"/>
          <w:highlight w:val="none"/>
        </w:rPr>
        <w:t>身份证号码：</w:t>
      </w:r>
      <w:r>
        <w:rPr>
          <w:rFonts w:hint="eastAsia" w:ascii="黑体" w:eastAsia="黑体"/>
          <w:szCs w:val="21"/>
          <w:highlight w:val="none"/>
          <w:u w:val="single"/>
        </w:rPr>
        <w:t xml:space="preserve">                                   </w:t>
      </w:r>
    </w:p>
    <w:p>
      <w:pPr>
        <w:spacing w:line="400" w:lineRule="exact"/>
        <w:ind w:firstLine="4830" w:firstLineChars="2300"/>
        <w:rPr>
          <w:szCs w:val="21"/>
          <w:highlight w:val="none"/>
        </w:rPr>
      </w:pP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日</w:t>
      </w:r>
    </w:p>
    <w:p>
      <w:pPr>
        <w:spacing w:line="394" w:lineRule="exact"/>
        <w:jc w:val="center"/>
        <w:rPr>
          <w:rFonts w:ascii="黑体" w:eastAsia="黑体"/>
          <w:sz w:val="28"/>
          <w:szCs w:val="28"/>
          <w:highlight w:val="none"/>
        </w:rPr>
      </w:pPr>
      <w:r>
        <w:rPr>
          <w:rFonts w:ascii="黑体" w:eastAsia="黑体"/>
          <w:sz w:val="28"/>
          <w:szCs w:val="28"/>
          <w:highlight w:val="none"/>
        </w:rPr>
        <w:br w:type="page"/>
      </w:r>
      <w:r>
        <w:rPr>
          <w:rFonts w:hint="eastAsia" w:ascii="黑体" w:eastAsia="黑体"/>
          <w:sz w:val="28"/>
          <w:szCs w:val="28"/>
          <w:highlight w:val="none"/>
          <w:lang w:val="en-US" w:eastAsia="zh-CN"/>
        </w:rPr>
        <w:t>三</w:t>
      </w:r>
      <w:r>
        <w:rPr>
          <w:rFonts w:hint="eastAsia" w:ascii="黑体" w:eastAsia="黑体"/>
          <w:sz w:val="28"/>
          <w:szCs w:val="28"/>
          <w:highlight w:val="none"/>
        </w:rPr>
        <w:t>、投标保证金</w:t>
      </w:r>
    </w:p>
    <w:p>
      <w:pPr>
        <w:spacing w:line="460" w:lineRule="exact"/>
        <w:ind w:firstLine="6300" w:firstLineChars="3000"/>
        <w:rPr>
          <w:szCs w:val="21"/>
          <w:highlight w:val="none"/>
        </w:rPr>
      </w:pPr>
      <w:r>
        <w:rPr>
          <w:rFonts w:hint="eastAsia"/>
          <w:szCs w:val="21"/>
          <w:highlight w:val="none"/>
        </w:rPr>
        <w:t>保函编号：</w:t>
      </w:r>
      <w:r>
        <w:rPr>
          <w:rFonts w:hint="eastAsia"/>
          <w:szCs w:val="21"/>
          <w:highlight w:val="none"/>
          <w:u w:val="single"/>
        </w:rPr>
        <w:t xml:space="preserve">          </w:t>
      </w:r>
    </w:p>
    <w:p>
      <w:pPr>
        <w:spacing w:line="460" w:lineRule="exact"/>
        <w:rPr>
          <w:szCs w:val="21"/>
          <w:highlight w:val="none"/>
        </w:rPr>
      </w:pPr>
      <w:r>
        <w:rPr>
          <w:rFonts w:hint="eastAsia"/>
          <w:szCs w:val="21"/>
          <w:highlight w:val="none"/>
          <w:u w:val="single"/>
        </w:rPr>
        <w:t xml:space="preserve">                     </w:t>
      </w:r>
      <w:r>
        <w:rPr>
          <w:rFonts w:hint="eastAsia"/>
          <w:szCs w:val="21"/>
          <w:highlight w:val="none"/>
        </w:rPr>
        <w:t>（招标人名称）：</w:t>
      </w:r>
    </w:p>
    <w:p>
      <w:pPr>
        <w:spacing w:line="460" w:lineRule="exact"/>
        <w:ind w:firstLine="420" w:firstLineChars="200"/>
        <w:rPr>
          <w:szCs w:val="21"/>
          <w:highlight w:val="none"/>
        </w:rPr>
      </w:pPr>
      <w:r>
        <w:rPr>
          <w:rFonts w:hint="eastAsia"/>
          <w:szCs w:val="21"/>
          <w:highlight w:val="none"/>
        </w:rPr>
        <w:t>鉴于</w:t>
      </w:r>
      <w:r>
        <w:rPr>
          <w:rFonts w:hint="eastAsia"/>
          <w:szCs w:val="21"/>
          <w:highlight w:val="none"/>
          <w:u w:val="single"/>
        </w:rPr>
        <w:t xml:space="preserve">                   </w:t>
      </w:r>
      <w:r>
        <w:rPr>
          <w:rFonts w:hint="eastAsia"/>
          <w:szCs w:val="21"/>
          <w:highlight w:val="none"/>
        </w:rPr>
        <w:t>（投标人名称）（以下简称“投标人”）参加你方</w:t>
      </w:r>
      <w:r>
        <w:rPr>
          <w:rFonts w:hint="eastAsia"/>
          <w:szCs w:val="21"/>
          <w:highlight w:val="none"/>
          <w:u w:val="single"/>
        </w:rPr>
        <w:t xml:space="preserve">       </w:t>
      </w:r>
      <w:r>
        <w:rPr>
          <w:rFonts w:hint="eastAsia"/>
          <w:szCs w:val="21"/>
          <w:highlight w:val="none"/>
        </w:rPr>
        <w:t>（项目名称）投标，</w:t>
      </w:r>
      <w:r>
        <w:rPr>
          <w:rFonts w:hint="eastAsia"/>
          <w:szCs w:val="21"/>
          <w:highlight w:val="none"/>
          <w:u w:val="single"/>
        </w:rPr>
        <w:t xml:space="preserve">                            </w:t>
      </w:r>
      <w:r>
        <w:rPr>
          <w:rFonts w:hint="eastAsia"/>
          <w:szCs w:val="21"/>
          <w:highlight w:val="none"/>
        </w:rPr>
        <w:t>（担保人名称）（以下简称“我方”）受该投标人委托，在此无条件地、不可撤销地保证：一旦收到你方提出的下述任何一种事实的书面通知，在7日内无条件地向你方支付总额不超过</w:t>
      </w:r>
      <w:r>
        <w:rPr>
          <w:rFonts w:hint="eastAsia"/>
          <w:szCs w:val="21"/>
          <w:highlight w:val="none"/>
          <w:u w:val="single"/>
        </w:rPr>
        <w:t>50万元</w:t>
      </w:r>
      <w:r>
        <w:rPr>
          <w:rFonts w:hint="eastAsia"/>
          <w:szCs w:val="21"/>
          <w:highlight w:val="none"/>
        </w:rPr>
        <w:t>的任何你方要求的金额：</w:t>
      </w:r>
    </w:p>
    <w:p>
      <w:pPr>
        <w:spacing w:line="460" w:lineRule="exact"/>
        <w:ind w:firstLine="420" w:firstLineChars="200"/>
        <w:rPr>
          <w:szCs w:val="21"/>
          <w:highlight w:val="none"/>
        </w:rPr>
      </w:pPr>
      <w:r>
        <w:rPr>
          <w:rFonts w:hint="eastAsia"/>
          <w:szCs w:val="21"/>
          <w:highlight w:val="none"/>
        </w:rPr>
        <w:t>1．投标人在规定的投标有效期内撤销或者修改其投标文件。</w:t>
      </w:r>
    </w:p>
    <w:p>
      <w:pPr>
        <w:spacing w:line="460" w:lineRule="exact"/>
        <w:ind w:firstLine="420" w:firstLineChars="200"/>
        <w:rPr>
          <w:szCs w:val="21"/>
          <w:highlight w:val="none"/>
        </w:rPr>
      </w:pPr>
      <w:r>
        <w:rPr>
          <w:rFonts w:hint="eastAsia"/>
          <w:szCs w:val="21"/>
          <w:highlight w:val="none"/>
        </w:rPr>
        <w:t>2．投标人在收到中标通知书后无正当理由而未在规定期限内与贵方签署合同。</w:t>
      </w:r>
    </w:p>
    <w:p>
      <w:pPr>
        <w:spacing w:line="460" w:lineRule="exact"/>
        <w:ind w:firstLine="420" w:firstLineChars="200"/>
        <w:rPr>
          <w:szCs w:val="21"/>
          <w:highlight w:val="none"/>
        </w:rPr>
      </w:pPr>
      <w:r>
        <w:rPr>
          <w:rFonts w:hint="eastAsia"/>
          <w:szCs w:val="21"/>
          <w:highlight w:val="none"/>
        </w:rPr>
        <w:t>3．投标人在收到中标通知书后未能在招标文件规定期限内向贵方提交招标文件所要求的履约担保。</w:t>
      </w:r>
    </w:p>
    <w:p>
      <w:pPr>
        <w:spacing w:line="460" w:lineRule="exact"/>
        <w:ind w:firstLine="420" w:firstLineChars="200"/>
        <w:rPr>
          <w:szCs w:val="21"/>
          <w:highlight w:val="none"/>
        </w:rPr>
      </w:pPr>
      <w:r>
        <w:rPr>
          <w:rFonts w:hint="eastAsia"/>
          <w:szCs w:val="21"/>
          <w:highlight w:val="none"/>
        </w:rPr>
        <w:t>本保函在投标有效期内保持有效，除非你方提前终止或解除本保函。要求我方承担保证责任的通知应在投标有效期内送达我方。保函失效后请将本保函交投标人退回我方注销。</w:t>
      </w:r>
    </w:p>
    <w:p>
      <w:pPr>
        <w:spacing w:line="460" w:lineRule="exact"/>
        <w:ind w:firstLine="420" w:firstLineChars="200"/>
        <w:rPr>
          <w:szCs w:val="21"/>
          <w:highlight w:val="none"/>
        </w:rPr>
      </w:pPr>
      <w:r>
        <w:rPr>
          <w:rFonts w:hint="eastAsia"/>
          <w:szCs w:val="21"/>
          <w:highlight w:val="none"/>
        </w:rPr>
        <w:t>本保函项下所有权利和义务均受中华人民共和国法律管辖和制约。</w:t>
      </w:r>
    </w:p>
    <w:p>
      <w:pPr>
        <w:spacing w:line="460" w:lineRule="exact"/>
        <w:ind w:firstLine="2100" w:firstLineChars="1000"/>
        <w:rPr>
          <w:szCs w:val="21"/>
          <w:highlight w:val="none"/>
        </w:rPr>
      </w:pPr>
      <w:r>
        <w:rPr>
          <w:rFonts w:hint="eastAsia"/>
          <w:szCs w:val="21"/>
          <w:highlight w:val="none"/>
        </w:rPr>
        <w:t>担保人名称：</w:t>
      </w:r>
      <w:r>
        <w:rPr>
          <w:rFonts w:hint="eastAsia"/>
          <w:szCs w:val="21"/>
          <w:highlight w:val="none"/>
          <w:u w:val="single"/>
        </w:rPr>
        <w:t xml:space="preserve">                                </w:t>
      </w:r>
      <w:r>
        <w:rPr>
          <w:rFonts w:hint="eastAsia"/>
          <w:szCs w:val="21"/>
          <w:highlight w:val="none"/>
        </w:rPr>
        <w:t>（盖单位章）</w:t>
      </w:r>
    </w:p>
    <w:p>
      <w:pPr>
        <w:spacing w:line="460" w:lineRule="exact"/>
        <w:ind w:firstLine="2100" w:firstLineChars="1000"/>
        <w:rPr>
          <w:szCs w:val="21"/>
          <w:highlight w:val="none"/>
        </w:rPr>
      </w:pPr>
      <w:r>
        <w:rPr>
          <w:rFonts w:hint="eastAsia"/>
          <w:szCs w:val="21"/>
          <w:highlight w:val="none"/>
        </w:rPr>
        <w:t>法定代表人或其委托代理人：</w:t>
      </w:r>
      <w:r>
        <w:rPr>
          <w:rFonts w:hint="eastAsia"/>
          <w:szCs w:val="21"/>
          <w:highlight w:val="none"/>
          <w:u w:val="single"/>
        </w:rPr>
        <w:t xml:space="preserve">                      </w:t>
      </w:r>
      <w:r>
        <w:rPr>
          <w:rFonts w:hint="eastAsia"/>
          <w:szCs w:val="21"/>
          <w:highlight w:val="none"/>
        </w:rPr>
        <w:t>（签字）</w:t>
      </w:r>
    </w:p>
    <w:p>
      <w:pPr>
        <w:spacing w:line="460" w:lineRule="exact"/>
        <w:ind w:firstLine="2100" w:firstLineChars="1000"/>
        <w:rPr>
          <w:szCs w:val="21"/>
          <w:highlight w:val="none"/>
        </w:rPr>
      </w:pPr>
      <w:r>
        <w:rPr>
          <w:rFonts w:hint="eastAsia"/>
          <w:szCs w:val="21"/>
          <w:highlight w:val="none"/>
        </w:rPr>
        <w:t>地    址：</w:t>
      </w:r>
      <w:r>
        <w:rPr>
          <w:rFonts w:hint="eastAsia"/>
          <w:szCs w:val="21"/>
          <w:highlight w:val="none"/>
          <w:u w:val="single"/>
        </w:rPr>
        <w:t xml:space="preserve">                                             </w:t>
      </w:r>
    </w:p>
    <w:p>
      <w:pPr>
        <w:spacing w:line="460" w:lineRule="exact"/>
        <w:ind w:firstLine="2100" w:firstLineChars="1000"/>
        <w:rPr>
          <w:szCs w:val="21"/>
          <w:highlight w:val="none"/>
        </w:rPr>
      </w:pPr>
      <w:r>
        <w:rPr>
          <w:rFonts w:hint="eastAsia"/>
          <w:szCs w:val="21"/>
          <w:highlight w:val="none"/>
        </w:rPr>
        <w:t>邮政编码：</w:t>
      </w:r>
      <w:r>
        <w:rPr>
          <w:rFonts w:hint="eastAsia"/>
          <w:szCs w:val="21"/>
          <w:highlight w:val="none"/>
          <w:u w:val="single"/>
        </w:rPr>
        <w:t xml:space="preserve">                                             </w:t>
      </w:r>
    </w:p>
    <w:p>
      <w:pPr>
        <w:spacing w:line="460" w:lineRule="exact"/>
        <w:ind w:firstLine="2100" w:firstLineChars="1000"/>
        <w:rPr>
          <w:szCs w:val="21"/>
          <w:highlight w:val="none"/>
        </w:rPr>
      </w:pPr>
      <w:r>
        <w:rPr>
          <w:rFonts w:hint="eastAsia"/>
          <w:szCs w:val="21"/>
          <w:highlight w:val="none"/>
        </w:rPr>
        <w:t>电    话：</w:t>
      </w:r>
      <w:r>
        <w:rPr>
          <w:rFonts w:hint="eastAsia"/>
          <w:szCs w:val="21"/>
          <w:highlight w:val="none"/>
          <w:u w:val="single"/>
        </w:rPr>
        <w:t xml:space="preserve">                                             </w:t>
      </w:r>
    </w:p>
    <w:p>
      <w:pPr>
        <w:spacing w:line="460" w:lineRule="exact"/>
        <w:ind w:firstLine="2100" w:firstLineChars="1000"/>
        <w:rPr>
          <w:szCs w:val="21"/>
          <w:highlight w:val="none"/>
          <w:u w:val="single"/>
        </w:rPr>
      </w:pPr>
      <w:r>
        <w:rPr>
          <w:rFonts w:hint="eastAsia"/>
          <w:szCs w:val="21"/>
          <w:highlight w:val="none"/>
        </w:rPr>
        <w:t>传    真：</w:t>
      </w:r>
      <w:r>
        <w:rPr>
          <w:rFonts w:hint="eastAsia"/>
          <w:szCs w:val="21"/>
          <w:highlight w:val="none"/>
          <w:u w:val="single"/>
        </w:rPr>
        <w:t xml:space="preserve">                                             </w:t>
      </w:r>
    </w:p>
    <w:p>
      <w:pPr>
        <w:spacing w:line="460" w:lineRule="exact"/>
        <w:jc w:val="right"/>
        <w:rPr>
          <w:szCs w:val="21"/>
          <w:highlight w:val="none"/>
        </w:rPr>
      </w:pPr>
      <w:r>
        <w:rPr>
          <w:rFonts w:hint="eastAsia"/>
          <w:szCs w:val="21"/>
          <w:highlight w:val="none"/>
          <w:u w:val="single"/>
        </w:rPr>
        <w:t xml:space="preserve">          </w:t>
      </w:r>
      <w:r>
        <w:rPr>
          <w:rFonts w:hint="eastAsia"/>
          <w:szCs w:val="21"/>
          <w:highlight w:val="none"/>
        </w:rPr>
        <w:t>年</w:t>
      </w:r>
      <w:r>
        <w:rPr>
          <w:rFonts w:hint="eastAsia"/>
          <w:szCs w:val="21"/>
          <w:highlight w:val="none"/>
          <w:u w:val="single"/>
        </w:rPr>
        <w:t xml:space="preserve">       </w:t>
      </w:r>
      <w:r>
        <w:rPr>
          <w:rFonts w:hint="eastAsia"/>
          <w:szCs w:val="21"/>
          <w:highlight w:val="none"/>
        </w:rPr>
        <w:t>月</w:t>
      </w:r>
      <w:r>
        <w:rPr>
          <w:rFonts w:hint="eastAsia"/>
          <w:szCs w:val="21"/>
          <w:highlight w:val="none"/>
          <w:u w:val="single"/>
        </w:rPr>
        <w:t xml:space="preserve">       </w:t>
      </w:r>
      <w:r>
        <w:rPr>
          <w:rFonts w:hint="eastAsia"/>
          <w:szCs w:val="21"/>
          <w:highlight w:val="none"/>
        </w:rPr>
        <w:t xml:space="preserve">日      </w:t>
      </w:r>
    </w:p>
    <w:p>
      <w:pPr>
        <w:spacing w:line="460" w:lineRule="exact"/>
        <w:rPr>
          <w:szCs w:val="21"/>
          <w:highlight w:val="none"/>
        </w:rPr>
      </w:pPr>
      <w:r>
        <w:rPr>
          <w:rFonts w:hint="eastAsia" w:ascii="黑体" w:eastAsia="黑体"/>
          <w:szCs w:val="21"/>
          <w:highlight w:val="none"/>
        </w:rPr>
        <w:t>备注：</w:t>
      </w:r>
      <w:r>
        <w:rPr>
          <w:rFonts w:hint="eastAsia"/>
          <w:szCs w:val="21"/>
          <w:highlight w:val="none"/>
        </w:rPr>
        <w:t>经过招标人事先的书面同意，投标人可采用招标人认可的投标保函格式，但相关内容</w:t>
      </w:r>
    </w:p>
    <w:p>
      <w:pPr>
        <w:spacing w:line="460" w:lineRule="exact"/>
        <w:rPr>
          <w:szCs w:val="21"/>
          <w:highlight w:val="none"/>
        </w:rPr>
      </w:pPr>
      <w:r>
        <w:rPr>
          <w:rFonts w:hint="eastAsia"/>
          <w:szCs w:val="21"/>
          <w:highlight w:val="none"/>
        </w:rPr>
        <w:t>不得背离招标文件约定的实质性内容。</w:t>
      </w:r>
    </w:p>
    <w:p>
      <w:pPr>
        <w:spacing w:before="312" w:beforeLines="100" w:after="156" w:afterLines="50"/>
        <w:jc w:val="center"/>
        <w:rPr>
          <w:rFonts w:ascii="黑体" w:eastAsia="黑体"/>
          <w:sz w:val="28"/>
          <w:szCs w:val="28"/>
          <w:highlight w:val="none"/>
        </w:rPr>
      </w:pPr>
      <w:r>
        <w:rPr>
          <w:szCs w:val="21"/>
          <w:highlight w:val="none"/>
        </w:rPr>
        <w:br w:type="page"/>
      </w:r>
      <w:r>
        <w:rPr>
          <w:rFonts w:hint="eastAsia" w:ascii="黑体" w:eastAsia="黑体"/>
          <w:sz w:val="28"/>
          <w:szCs w:val="28"/>
          <w:highlight w:val="none"/>
          <w:lang w:val="en-US" w:eastAsia="zh-CN"/>
        </w:rPr>
        <w:t>四</w:t>
      </w:r>
      <w:r>
        <w:rPr>
          <w:rFonts w:hint="eastAsia" w:ascii="黑体" w:eastAsia="黑体"/>
          <w:sz w:val="28"/>
          <w:szCs w:val="28"/>
          <w:highlight w:val="none"/>
        </w:rPr>
        <w:t>、已标价工程量清单</w:t>
      </w:r>
    </w:p>
    <w:p>
      <w:pPr>
        <w:spacing w:line="460" w:lineRule="exact"/>
        <w:rPr>
          <w:szCs w:val="21"/>
          <w:highlight w:val="none"/>
        </w:rPr>
      </w:pPr>
      <w:r>
        <w:rPr>
          <w:rFonts w:hint="eastAsia" w:ascii="黑体" w:eastAsia="黑体"/>
          <w:szCs w:val="21"/>
          <w:highlight w:val="none"/>
        </w:rPr>
        <w:t>说明：</w:t>
      </w:r>
      <w:r>
        <w:rPr>
          <w:rFonts w:hint="eastAsia"/>
          <w:szCs w:val="21"/>
          <w:highlight w:val="none"/>
        </w:rPr>
        <w:t>已标价工程量清单按第五章“工程量清单”中的相关清单表格式填写。构成合同文件</w:t>
      </w:r>
    </w:p>
    <w:p>
      <w:pPr>
        <w:spacing w:line="460" w:lineRule="exact"/>
        <w:rPr>
          <w:szCs w:val="21"/>
          <w:highlight w:val="none"/>
        </w:rPr>
      </w:pPr>
      <w:r>
        <w:rPr>
          <w:rFonts w:hint="eastAsia"/>
          <w:szCs w:val="21"/>
          <w:highlight w:val="none"/>
        </w:rPr>
        <w:t>的已标价工程量清单包括第五章“工程量清单”有关工程量清单、投标报价以及其他说明的</w:t>
      </w:r>
    </w:p>
    <w:p>
      <w:pPr>
        <w:spacing w:line="460" w:lineRule="exact"/>
        <w:rPr>
          <w:szCs w:val="21"/>
          <w:highlight w:val="none"/>
        </w:rPr>
      </w:pPr>
      <w:r>
        <w:rPr>
          <w:rFonts w:hint="eastAsia"/>
          <w:szCs w:val="21"/>
          <w:highlight w:val="none"/>
        </w:rPr>
        <w:t>内容。</w:t>
      </w:r>
    </w:p>
    <w:p>
      <w:pPr>
        <w:spacing w:before="312" w:beforeLines="100" w:after="156" w:afterLines="50"/>
        <w:jc w:val="center"/>
        <w:rPr>
          <w:rFonts w:ascii="黑体" w:eastAsia="黑体"/>
          <w:sz w:val="28"/>
          <w:szCs w:val="28"/>
          <w:highlight w:val="none"/>
        </w:rPr>
      </w:pPr>
      <w:r>
        <w:rPr>
          <w:szCs w:val="21"/>
          <w:highlight w:val="none"/>
        </w:rPr>
        <w:br w:type="page"/>
      </w:r>
      <w:r>
        <w:rPr>
          <w:rFonts w:hint="eastAsia" w:ascii="黑体" w:eastAsia="黑体"/>
          <w:sz w:val="28"/>
          <w:szCs w:val="28"/>
          <w:highlight w:val="none"/>
          <w:lang w:val="en-US" w:eastAsia="zh-CN"/>
        </w:rPr>
        <w:t>五</w:t>
      </w:r>
      <w:r>
        <w:rPr>
          <w:rFonts w:hint="eastAsia" w:ascii="黑体" w:eastAsia="黑体"/>
          <w:sz w:val="28"/>
          <w:szCs w:val="28"/>
          <w:highlight w:val="none"/>
        </w:rPr>
        <w:t>、施工组织设计</w:t>
      </w:r>
    </w:p>
    <w:p>
      <w:pPr>
        <w:spacing w:line="420" w:lineRule="exact"/>
        <w:ind w:firstLine="420" w:firstLineChars="200"/>
        <w:rPr>
          <w:szCs w:val="21"/>
          <w:highlight w:val="none"/>
        </w:rPr>
      </w:pPr>
      <w:r>
        <w:rPr>
          <w:rFonts w:hint="eastAsia"/>
          <w:szCs w:val="21"/>
          <w:highlight w:val="none"/>
        </w:rPr>
        <w:t>1．投标人应根据招标文件和对现场的勘察情况，采用文字并结合图表形式，参考以下要点编制本工程的施工组织设计：</w:t>
      </w:r>
    </w:p>
    <w:p>
      <w:pPr>
        <w:spacing w:line="420" w:lineRule="exact"/>
        <w:ind w:firstLine="420" w:firstLineChars="200"/>
        <w:rPr>
          <w:szCs w:val="21"/>
          <w:highlight w:val="none"/>
        </w:rPr>
      </w:pPr>
      <w:r>
        <w:rPr>
          <w:rFonts w:hint="eastAsia"/>
          <w:szCs w:val="21"/>
          <w:highlight w:val="none"/>
        </w:rPr>
        <w:t>（1）施工方案及技术措施；</w:t>
      </w:r>
    </w:p>
    <w:p>
      <w:pPr>
        <w:spacing w:line="420" w:lineRule="exact"/>
        <w:ind w:firstLine="420" w:firstLineChars="200"/>
        <w:rPr>
          <w:szCs w:val="21"/>
          <w:highlight w:val="none"/>
        </w:rPr>
      </w:pPr>
      <w:r>
        <w:rPr>
          <w:rFonts w:hint="eastAsia"/>
          <w:szCs w:val="21"/>
          <w:highlight w:val="none"/>
        </w:rPr>
        <w:t>（2）质量保证措施和创优计划；</w:t>
      </w:r>
    </w:p>
    <w:p>
      <w:pPr>
        <w:spacing w:line="420" w:lineRule="exact"/>
        <w:ind w:left="945" w:leftChars="200" w:hanging="525" w:hangingChars="250"/>
        <w:rPr>
          <w:szCs w:val="21"/>
          <w:highlight w:val="none"/>
        </w:rPr>
      </w:pPr>
      <w:r>
        <w:rPr>
          <w:rFonts w:hint="eastAsia"/>
          <w:szCs w:val="21"/>
          <w:highlight w:val="none"/>
        </w:rPr>
        <w:t>（3）施工总进度计划及保证措施（包括以横道图或标明关键线路的网络进度计划、保障进度计划需要的主要施工机械设备、劳动力需求计划及保证措施、材料设备进场计划及其他保证措施等）；</w:t>
      </w:r>
    </w:p>
    <w:p>
      <w:pPr>
        <w:spacing w:line="420" w:lineRule="exact"/>
        <w:ind w:firstLine="420" w:firstLineChars="200"/>
        <w:rPr>
          <w:szCs w:val="21"/>
          <w:highlight w:val="none"/>
        </w:rPr>
      </w:pPr>
      <w:r>
        <w:rPr>
          <w:rFonts w:hint="eastAsia"/>
          <w:szCs w:val="21"/>
          <w:highlight w:val="none"/>
        </w:rPr>
        <w:t>（4）施工安全措施计划；</w:t>
      </w:r>
    </w:p>
    <w:p>
      <w:pPr>
        <w:spacing w:line="420" w:lineRule="exact"/>
        <w:ind w:firstLine="420" w:firstLineChars="200"/>
        <w:rPr>
          <w:szCs w:val="21"/>
          <w:highlight w:val="none"/>
        </w:rPr>
      </w:pPr>
      <w:r>
        <w:rPr>
          <w:rFonts w:hint="eastAsia"/>
          <w:szCs w:val="21"/>
          <w:highlight w:val="none"/>
        </w:rPr>
        <w:t>（5）文明施工措施计划；</w:t>
      </w:r>
    </w:p>
    <w:p>
      <w:pPr>
        <w:spacing w:line="420" w:lineRule="exact"/>
        <w:ind w:firstLine="420" w:firstLineChars="200"/>
        <w:rPr>
          <w:szCs w:val="21"/>
          <w:highlight w:val="none"/>
        </w:rPr>
      </w:pPr>
      <w:r>
        <w:rPr>
          <w:rFonts w:hint="eastAsia"/>
          <w:szCs w:val="21"/>
          <w:highlight w:val="none"/>
        </w:rPr>
        <w:t>（6）施工场地治安保卫管理计划；</w:t>
      </w:r>
    </w:p>
    <w:p>
      <w:pPr>
        <w:spacing w:line="420" w:lineRule="exact"/>
        <w:ind w:firstLine="420" w:firstLineChars="200"/>
        <w:rPr>
          <w:szCs w:val="21"/>
          <w:highlight w:val="none"/>
        </w:rPr>
      </w:pPr>
      <w:r>
        <w:rPr>
          <w:rFonts w:hint="eastAsia"/>
          <w:szCs w:val="21"/>
          <w:highlight w:val="none"/>
        </w:rPr>
        <w:t>（7）施工环保措施计划；</w:t>
      </w:r>
    </w:p>
    <w:p>
      <w:pPr>
        <w:spacing w:line="420" w:lineRule="exact"/>
        <w:ind w:firstLine="420" w:firstLineChars="200"/>
        <w:rPr>
          <w:szCs w:val="21"/>
          <w:highlight w:val="none"/>
        </w:rPr>
      </w:pPr>
      <w:r>
        <w:rPr>
          <w:rFonts w:hint="eastAsia"/>
          <w:szCs w:val="21"/>
          <w:highlight w:val="none"/>
        </w:rPr>
        <w:t>（8）冬季和雨季施工方案；</w:t>
      </w:r>
    </w:p>
    <w:p>
      <w:pPr>
        <w:spacing w:line="420" w:lineRule="exact"/>
        <w:ind w:left="945" w:leftChars="200" w:hanging="525" w:hangingChars="250"/>
        <w:rPr>
          <w:szCs w:val="21"/>
          <w:highlight w:val="none"/>
        </w:rPr>
      </w:pPr>
      <w:r>
        <w:rPr>
          <w:rFonts w:hint="eastAsia"/>
          <w:szCs w:val="21"/>
          <w:highlight w:val="none"/>
        </w:rPr>
        <w:t>（9）施工现场总平面布置（投标人应递交一份施工总平面图，绘出现场临时设施布置图表并附文字说明，说明临时设施、加工车间、现场办公、设备及仓储、供电、供水、卫生、生活、道路、消防等设施的情况和布置）；</w:t>
      </w:r>
    </w:p>
    <w:p>
      <w:pPr>
        <w:spacing w:line="420" w:lineRule="exact"/>
        <w:ind w:left="987" w:leftChars="200" w:hanging="567" w:hangingChars="270"/>
        <w:rPr>
          <w:szCs w:val="21"/>
          <w:highlight w:val="none"/>
        </w:rPr>
      </w:pPr>
      <w:r>
        <w:rPr>
          <w:rFonts w:hint="eastAsia"/>
          <w:szCs w:val="21"/>
          <w:highlight w:val="none"/>
        </w:rPr>
        <w:t>（10）项目组织管理机构（若施工组织设计采用“暗标”方式评审，则在任何情况下， “项目管理机构”不得涉及人员姓名、简历、公司名称等暴露投标人身份的内容）；</w:t>
      </w:r>
    </w:p>
    <w:p>
      <w:pPr>
        <w:spacing w:line="420" w:lineRule="exact"/>
        <w:ind w:left="987" w:leftChars="200" w:hanging="567" w:hangingChars="270"/>
        <w:rPr>
          <w:szCs w:val="21"/>
          <w:highlight w:val="none"/>
        </w:rPr>
      </w:pPr>
      <w:r>
        <w:rPr>
          <w:rFonts w:hint="eastAsia"/>
          <w:szCs w:val="21"/>
          <w:highlight w:val="none"/>
        </w:rPr>
        <w:t>（11）承包人自行施工范围内拟分包的非主体和非关键性工作（按第二章“投标人须知”第1.11款的规定）、材料计划和劳动力计划；</w:t>
      </w:r>
    </w:p>
    <w:p>
      <w:pPr>
        <w:spacing w:line="420" w:lineRule="exact"/>
        <w:ind w:firstLine="420" w:firstLineChars="200"/>
        <w:rPr>
          <w:szCs w:val="21"/>
          <w:highlight w:val="none"/>
        </w:rPr>
      </w:pPr>
      <w:r>
        <w:rPr>
          <w:rFonts w:hint="eastAsia"/>
          <w:szCs w:val="21"/>
          <w:highlight w:val="none"/>
        </w:rPr>
        <w:t>（12）成品保护和工程保修工作的管理措施和承诺；</w:t>
      </w:r>
    </w:p>
    <w:p>
      <w:pPr>
        <w:spacing w:line="420" w:lineRule="exact"/>
        <w:ind w:left="987" w:leftChars="200" w:hanging="567" w:hangingChars="270"/>
        <w:rPr>
          <w:szCs w:val="21"/>
          <w:highlight w:val="none"/>
        </w:rPr>
      </w:pPr>
      <w:r>
        <w:rPr>
          <w:rFonts w:hint="eastAsia"/>
          <w:szCs w:val="21"/>
          <w:highlight w:val="none"/>
        </w:rPr>
        <w:t>（13）任何可能的紧急情况的处理措施、预案以及抵抗风险（包括工程施工过程中可能遇到的各种风险）的措施；</w:t>
      </w:r>
    </w:p>
    <w:p>
      <w:pPr>
        <w:spacing w:line="420" w:lineRule="exact"/>
        <w:ind w:firstLine="420" w:firstLineChars="200"/>
        <w:rPr>
          <w:szCs w:val="21"/>
          <w:highlight w:val="none"/>
        </w:rPr>
      </w:pPr>
      <w:r>
        <w:rPr>
          <w:rFonts w:hint="eastAsia"/>
          <w:szCs w:val="21"/>
          <w:highlight w:val="none"/>
        </w:rPr>
        <w:t>（14）对总包管理的认识以及对专业分包工程的配合、协调、管理、服务方案；</w:t>
      </w:r>
    </w:p>
    <w:p>
      <w:pPr>
        <w:spacing w:line="420" w:lineRule="exact"/>
        <w:ind w:firstLine="420" w:firstLineChars="200"/>
        <w:rPr>
          <w:szCs w:val="21"/>
          <w:highlight w:val="none"/>
        </w:rPr>
      </w:pPr>
      <w:r>
        <w:rPr>
          <w:rFonts w:hint="eastAsia"/>
          <w:szCs w:val="21"/>
          <w:highlight w:val="none"/>
        </w:rPr>
        <w:t>（15）与发包人、监理及设计人的配合；</w:t>
      </w:r>
    </w:p>
    <w:p>
      <w:pPr>
        <w:spacing w:line="420" w:lineRule="exact"/>
        <w:ind w:firstLine="420" w:firstLineChars="200"/>
        <w:rPr>
          <w:szCs w:val="21"/>
          <w:highlight w:val="none"/>
        </w:rPr>
      </w:pPr>
      <w:r>
        <w:rPr>
          <w:rFonts w:hint="eastAsia"/>
          <w:szCs w:val="21"/>
          <w:highlight w:val="none"/>
        </w:rPr>
        <w:t>（16）招标文件规定的其他内容。</w:t>
      </w:r>
    </w:p>
    <w:p>
      <w:pPr>
        <w:spacing w:line="420" w:lineRule="exact"/>
        <w:ind w:firstLine="420" w:firstLineChars="200"/>
        <w:rPr>
          <w:szCs w:val="21"/>
          <w:highlight w:val="none"/>
        </w:rPr>
      </w:pPr>
      <w:r>
        <w:rPr>
          <w:rFonts w:hint="eastAsia"/>
          <w:szCs w:val="21"/>
          <w:highlight w:val="none"/>
        </w:rPr>
        <w:t>2．若投标人须知规定施工组织设计采用技术“暗标”方式评审，则施工组织设计的编制和装订应按附表七“施工组织设计（技术暗标部分）编制及装订要求”编制和装订施工组织设计。</w:t>
      </w:r>
    </w:p>
    <w:p>
      <w:pPr>
        <w:spacing w:line="420" w:lineRule="exact"/>
        <w:ind w:firstLine="420" w:firstLineChars="200"/>
        <w:rPr>
          <w:szCs w:val="21"/>
          <w:highlight w:val="none"/>
        </w:rPr>
      </w:pPr>
      <w:r>
        <w:rPr>
          <w:rFonts w:hint="eastAsia"/>
          <w:szCs w:val="21"/>
          <w:highlight w:val="none"/>
        </w:rPr>
        <w:t>3．施工组织设计除采用文字表述外可附下列图表，图表及格式要求附后。若采用技术暗标评审，则下述表格应按照章节内容，严格按给定的格式附在相应的章节中。</w:t>
      </w:r>
    </w:p>
    <w:p>
      <w:pPr>
        <w:spacing w:line="420" w:lineRule="exact"/>
        <w:ind w:firstLine="420" w:firstLineChars="200"/>
        <w:rPr>
          <w:szCs w:val="21"/>
          <w:highlight w:val="none"/>
        </w:rPr>
      </w:pPr>
      <w:r>
        <w:rPr>
          <w:szCs w:val="21"/>
          <w:highlight w:val="none"/>
        </w:rPr>
        <w:br w:type="page"/>
      </w:r>
      <w:r>
        <w:rPr>
          <w:rFonts w:hint="eastAsia"/>
          <w:szCs w:val="21"/>
          <w:highlight w:val="none"/>
        </w:rPr>
        <w:t>附表一  拟投入本工程的主要施工设备表</w:t>
      </w:r>
    </w:p>
    <w:p>
      <w:pPr>
        <w:spacing w:line="420" w:lineRule="exact"/>
        <w:ind w:firstLine="420" w:firstLineChars="200"/>
        <w:rPr>
          <w:szCs w:val="21"/>
          <w:highlight w:val="none"/>
        </w:rPr>
      </w:pPr>
      <w:r>
        <w:rPr>
          <w:rFonts w:hint="eastAsia"/>
          <w:szCs w:val="21"/>
          <w:highlight w:val="none"/>
        </w:rPr>
        <w:t>附表二  拟配备本工程的试验和检测仪器设备表</w:t>
      </w:r>
    </w:p>
    <w:p>
      <w:pPr>
        <w:spacing w:line="420" w:lineRule="exact"/>
        <w:ind w:firstLine="420" w:firstLineChars="200"/>
        <w:rPr>
          <w:szCs w:val="21"/>
          <w:highlight w:val="none"/>
        </w:rPr>
      </w:pPr>
      <w:r>
        <w:rPr>
          <w:rFonts w:hint="eastAsia"/>
          <w:szCs w:val="21"/>
          <w:highlight w:val="none"/>
        </w:rPr>
        <w:t>附表三  劳动力计划表</w:t>
      </w:r>
    </w:p>
    <w:p>
      <w:pPr>
        <w:spacing w:line="420" w:lineRule="exact"/>
        <w:ind w:firstLine="420" w:firstLineChars="200"/>
        <w:rPr>
          <w:szCs w:val="21"/>
          <w:highlight w:val="none"/>
        </w:rPr>
      </w:pPr>
      <w:r>
        <w:rPr>
          <w:rFonts w:hint="eastAsia"/>
          <w:szCs w:val="21"/>
          <w:highlight w:val="none"/>
        </w:rPr>
        <w:t>附表四  计划开、竣工日期和施工进度网络图</w:t>
      </w:r>
    </w:p>
    <w:p>
      <w:pPr>
        <w:spacing w:line="420" w:lineRule="exact"/>
        <w:ind w:firstLine="420" w:firstLineChars="200"/>
        <w:rPr>
          <w:szCs w:val="21"/>
          <w:highlight w:val="none"/>
        </w:rPr>
      </w:pPr>
      <w:r>
        <w:rPr>
          <w:rFonts w:hint="eastAsia"/>
          <w:szCs w:val="21"/>
          <w:highlight w:val="none"/>
        </w:rPr>
        <w:t>附表五  施工总平面图</w:t>
      </w:r>
    </w:p>
    <w:p>
      <w:pPr>
        <w:spacing w:line="420" w:lineRule="exact"/>
        <w:ind w:firstLine="420" w:firstLineChars="200"/>
        <w:rPr>
          <w:szCs w:val="21"/>
          <w:highlight w:val="none"/>
        </w:rPr>
      </w:pPr>
      <w:r>
        <w:rPr>
          <w:rFonts w:hint="eastAsia"/>
          <w:szCs w:val="21"/>
          <w:highlight w:val="none"/>
        </w:rPr>
        <w:t>附表六  临时用地表</w:t>
      </w:r>
    </w:p>
    <w:p>
      <w:pPr>
        <w:spacing w:line="420" w:lineRule="exact"/>
        <w:ind w:firstLine="420" w:firstLineChars="200"/>
        <w:rPr>
          <w:szCs w:val="21"/>
          <w:highlight w:val="none"/>
        </w:rPr>
      </w:pPr>
      <w:r>
        <w:rPr>
          <w:rFonts w:hint="eastAsia"/>
          <w:szCs w:val="21"/>
          <w:highlight w:val="none"/>
        </w:rPr>
        <w:t>附表七  施工组织设计编制及装订要求</w:t>
      </w:r>
    </w:p>
    <w:p>
      <w:pPr>
        <w:spacing w:before="156" w:beforeLines="50" w:after="312" w:afterLines="100" w:line="420" w:lineRule="exact"/>
        <w:rPr>
          <w:rFonts w:ascii="黑体" w:eastAsia="黑体"/>
          <w:sz w:val="24"/>
          <w:highlight w:val="none"/>
        </w:rPr>
      </w:pPr>
      <w:r>
        <w:rPr>
          <w:szCs w:val="21"/>
          <w:highlight w:val="none"/>
        </w:rPr>
        <w:br w:type="page"/>
      </w:r>
      <w:r>
        <w:rPr>
          <w:rFonts w:hint="eastAsia" w:ascii="黑体" w:eastAsia="黑体"/>
          <w:sz w:val="24"/>
          <w:highlight w:val="none"/>
        </w:rPr>
        <w:t>附表一：拟投入本工程的主要施工设备表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1049"/>
        <w:gridCol w:w="666"/>
        <w:gridCol w:w="1008"/>
        <w:gridCol w:w="702"/>
        <w:gridCol w:w="702"/>
        <w:gridCol w:w="1168"/>
        <w:gridCol w:w="861"/>
        <w:gridCol w:w="861"/>
        <w:gridCol w:w="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shd w:val="clear" w:color="auto" w:fill="auto"/>
            <w:vAlign w:val="center"/>
          </w:tcPr>
          <w:p>
            <w:pPr>
              <w:jc w:val="center"/>
              <w:rPr>
                <w:szCs w:val="21"/>
                <w:highlight w:val="none"/>
              </w:rPr>
            </w:pPr>
            <w:r>
              <w:rPr>
                <w:rFonts w:hint="eastAsia"/>
                <w:szCs w:val="21"/>
                <w:highlight w:val="none"/>
              </w:rPr>
              <w:t>序号</w:t>
            </w:r>
          </w:p>
        </w:tc>
        <w:tc>
          <w:tcPr>
            <w:tcW w:w="1064" w:type="dxa"/>
            <w:shd w:val="clear" w:color="auto" w:fill="auto"/>
            <w:vAlign w:val="center"/>
          </w:tcPr>
          <w:p>
            <w:pPr>
              <w:jc w:val="center"/>
              <w:rPr>
                <w:szCs w:val="21"/>
                <w:highlight w:val="none"/>
              </w:rPr>
            </w:pPr>
            <w:r>
              <w:rPr>
                <w:rFonts w:hint="eastAsia"/>
                <w:szCs w:val="21"/>
                <w:highlight w:val="none"/>
              </w:rPr>
              <w:t>设备名称</w:t>
            </w:r>
          </w:p>
        </w:tc>
        <w:tc>
          <w:tcPr>
            <w:tcW w:w="672" w:type="dxa"/>
            <w:shd w:val="clear" w:color="auto" w:fill="auto"/>
            <w:vAlign w:val="center"/>
          </w:tcPr>
          <w:p>
            <w:pPr>
              <w:jc w:val="center"/>
              <w:rPr>
                <w:szCs w:val="21"/>
                <w:highlight w:val="none"/>
              </w:rPr>
            </w:pPr>
            <w:r>
              <w:rPr>
                <w:rFonts w:hint="eastAsia"/>
                <w:szCs w:val="21"/>
                <w:highlight w:val="none"/>
              </w:rPr>
              <w:t>型号</w:t>
            </w:r>
          </w:p>
          <w:p>
            <w:pPr>
              <w:jc w:val="center"/>
              <w:rPr>
                <w:szCs w:val="21"/>
                <w:highlight w:val="none"/>
              </w:rPr>
            </w:pPr>
            <w:r>
              <w:rPr>
                <w:rFonts w:hint="eastAsia"/>
                <w:szCs w:val="21"/>
                <w:highlight w:val="none"/>
              </w:rPr>
              <w:t>规格</w:t>
            </w:r>
          </w:p>
        </w:tc>
        <w:tc>
          <w:tcPr>
            <w:tcW w:w="1022" w:type="dxa"/>
            <w:shd w:val="clear" w:color="auto" w:fill="auto"/>
            <w:vAlign w:val="center"/>
          </w:tcPr>
          <w:p>
            <w:pPr>
              <w:jc w:val="center"/>
              <w:rPr>
                <w:szCs w:val="21"/>
                <w:highlight w:val="none"/>
              </w:rPr>
            </w:pPr>
            <w:r>
              <w:rPr>
                <w:rFonts w:hint="eastAsia"/>
                <w:szCs w:val="21"/>
                <w:highlight w:val="none"/>
              </w:rPr>
              <w:t>数  量</w:t>
            </w:r>
          </w:p>
        </w:tc>
        <w:tc>
          <w:tcPr>
            <w:tcW w:w="709" w:type="dxa"/>
            <w:shd w:val="clear" w:color="auto" w:fill="auto"/>
            <w:vAlign w:val="center"/>
          </w:tcPr>
          <w:p>
            <w:pPr>
              <w:jc w:val="center"/>
              <w:rPr>
                <w:szCs w:val="21"/>
                <w:highlight w:val="none"/>
              </w:rPr>
            </w:pPr>
            <w:r>
              <w:rPr>
                <w:rFonts w:hint="eastAsia"/>
                <w:szCs w:val="21"/>
                <w:highlight w:val="none"/>
              </w:rPr>
              <w:t>国别</w:t>
            </w:r>
          </w:p>
          <w:p>
            <w:pPr>
              <w:jc w:val="center"/>
              <w:rPr>
                <w:szCs w:val="21"/>
                <w:highlight w:val="none"/>
              </w:rPr>
            </w:pPr>
            <w:r>
              <w:rPr>
                <w:rFonts w:hint="eastAsia"/>
                <w:szCs w:val="21"/>
                <w:highlight w:val="none"/>
              </w:rPr>
              <w:t>产地</w:t>
            </w:r>
          </w:p>
        </w:tc>
        <w:tc>
          <w:tcPr>
            <w:tcW w:w="709" w:type="dxa"/>
            <w:shd w:val="clear" w:color="auto" w:fill="auto"/>
            <w:vAlign w:val="center"/>
          </w:tcPr>
          <w:p>
            <w:pPr>
              <w:jc w:val="center"/>
              <w:rPr>
                <w:szCs w:val="21"/>
                <w:highlight w:val="none"/>
              </w:rPr>
            </w:pPr>
            <w:r>
              <w:rPr>
                <w:rFonts w:hint="eastAsia"/>
                <w:szCs w:val="21"/>
                <w:highlight w:val="none"/>
              </w:rPr>
              <w:t>制造</w:t>
            </w:r>
          </w:p>
          <w:p>
            <w:pPr>
              <w:jc w:val="center"/>
              <w:rPr>
                <w:szCs w:val="21"/>
                <w:highlight w:val="none"/>
              </w:rPr>
            </w:pPr>
            <w:r>
              <w:rPr>
                <w:rFonts w:hint="eastAsia"/>
                <w:szCs w:val="21"/>
                <w:highlight w:val="none"/>
              </w:rPr>
              <w:t>年份</w:t>
            </w:r>
          </w:p>
        </w:tc>
        <w:tc>
          <w:tcPr>
            <w:tcW w:w="1176" w:type="dxa"/>
            <w:shd w:val="clear" w:color="auto" w:fill="auto"/>
            <w:vAlign w:val="center"/>
          </w:tcPr>
          <w:p>
            <w:pPr>
              <w:jc w:val="center"/>
              <w:rPr>
                <w:szCs w:val="21"/>
                <w:highlight w:val="none"/>
              </w:rPr>
            </w:pPr>
            <w:r>
              <w:rPr>
                <w:rFonts w:hint="eastAsia"/>
                <w:szCs w:val="21"/>
                <w:highlight w:val="none"/>
              </w:rPr>
              <w:t>额定功率</w:t>
            </w:r>
          </w:p>
          <w:p>
            <w:pPr>
              <w:jc w:val="center"/>
              <w:rPr>
                <w:szCs w:val="21"/>
                <w:highlight w:val="none"/>
              </w:rPr>
            </w:pPr>
            <w:r>
              <w:rPr>
                <w:rFonts w:hint="eastAsia"/>
                <w:szCs w:val="21"/>
                <w:highlight w:val="none"/>
              </w:rPr>
              <w:t>（KW）</w:t>
            </w:r>
          </w:p>
        </w:tc>
        <w:tc>
          <w:tcPr>
            <w:tcW w:w="872" w:type="dxa"/>
            <w:shd w:val="clear" w:color="auto" w:fill="auto"/>
            <w:vAlign w:val="center"/>
          </w:tcPr>
          <w:p>
            <w:pPr>
              <w:jc w:val="center"/>
              <w:rPr>
                <w:szCs w:val="21"/>
                <w:highlight w:val="none"/>
              </w:rPr>
            </w:pPr>
            <w:r>
              <w:rPr>
                <w:rFonts w:hint="eastAsia"/>
                <w:szCs w:val="21"/>
                <w:highlight w:val="none"/>
              </w:rPr>
              <w:t>生产</w:t>
            </w:r>
          </w:p>
          <w:p>
            <w:pPr>
              <w:jc w:val="center"/>
              <w:rPr>
                <w:szCs w:val="21"/>
                <w:highlight w:val="none"/>
              </w:rPr>
            </w:pPr>
            <w:r>
              <w:rPr>
                <w:rFonts w:hint="eastAsia"/>
                <w:szCs w:val="21"/>
                <w:highlight w:val="none"/>
              </w:rPr>
              <w:t>能力</w:t>
            </w:r>
          </w:p>
        </w:tc>
        <w:tc>
          <w:tcPr>
            <w:tcW w:w="872" w:type="dxa"/>
            <w:shd w:val="clear" w:color="auto" w:fill="auto"/>
            <w:vAlign w:val="center"/>
          </w:tcPr>
          <w:p>
            <w:pPr>
              <w:jc w:val="center"/>
              <w:rPr>
                <w:szCs w:val="21"/>
                <w:highlight w:val="none"/>
              </w:rPr>
            </w:pPr>
            <w:r>
              <w:rPr>
                <w:rFonts w:hint="eastAsia"/>
                <w:szCs w:val="21"/>
                <w:highlight w:val="none"/>
              </w:rPr>
              <w:t>用于施</w:t>
            </w:r>
          </w:p>
          <w:p>
            <w:pPr>
              <w:jc w:val="center"/>
              <w:rPr>
                <w:szCs w:val="21"/>
                <w:highlight w:val="none"/>
              </w:rPr>
            </w:pPr>
            <w:r>
              <w:rPr>
                <w:rFonts w:hint="eastAsia"/>
                <w:szCs w:val="21"/>
                <w:highlight w:val="none"/>
              </w:rPr>
              <w:t>工部位</w:t>
            </w:r>
          </w:p>
        </w:tc>
        <w:tc>
          <w:tcPr>
            <w:tcW w:w="765" w:type="dxa"/>
            <w:shd w:val="clear" w:color="auto" w:fill="auto"/>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872" w:type="dxa"/>
            <w:shd w:val="clear" w:color="auto" w:fill="auto"/>
            <w:vAlign w:val="center"/>
          </w:tcPr>
          <w:p>
            <w:pPr>
              <w:rPr>
                <w:highlight w:val="none"/>
              </w:rPr>
            </w:pPr>
          </w:p>
        </w:tc>
        <w:tc>
          <w:tcPr>
            <w:tcW w:w="872" w:type="dxa"/>
            <w:shd w:val="clear" w:color="auto" w:fill="auto"/>
            <w:vAlign w:val="center"/>
          </w:tcPr>
          <w:p>
            <w:pPr>
              <w:rPr>
                <w:highlight w:val="none"/>
              </w:rPr>
            </w:pPr>
          </w:p>
        </w:tc>
        <w:tc>
          <w:tcPr>
            <w:tcW w:w="765" w:type="dxa"/>
            <w:shd w:val="clear" w:color="auto" w:fill="auto"/>
            <w:vAlign w:val="center"/>
          </w:tcPr>
          <w:p>
            <w:pPr>
              <w:rPr>
                <w:highlight w:val="none"/>
              </w:rPr>
            </w:pPr>
          </w:p>
        </w:tc>
      </w:tr>
    </w:tbl>
    <w:p>
      <w:pPr>
        <w:spacing w:before="156" w:beforeLines="50" w:after="312" w:afterLines="100" w:line="420" w:lineRule="exact"/>
        <w:rPr>
          <w:rFonts w:ascii="黑体" w:eastAsia="黑体"/>
          <w:sz w:val="24"/>
          <w:highlight w:val="none"/>
        </w:rPr>
      </w:pPr>
      <w:r>
        <w:rPr>
          <w:szCs w:val="21"/>
          <w:highlight w:val="none"/>
        </w:rPr>
        <w:br w:type="page"/>
      </w:r>
      <w:r>
        <w:rPr>
          <w:rFonts w:hint="eastAsia" w:ascii="黑体" w:eastAsia="黑体"/>
          <w:sz w:val="24"/>
          <w:highlight w:val="none"/>
        </w:rPr>
        <w:t>附表二：拟配备本工程的试验和检测仪器设备表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0"/>
        <w:gridCol w:w="1052"/>
        <w:gridCol w:w="667"/>
        <w:gridCol w:w="1010"/>
        <w:gridCol w:w="703"/>
        <w:gridCol w:w="703"/>
        <w:gridCol w:w="1161"/>
        <w:gridCol w:w="1635"/>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shd w:val="clear" w:color="auto" w:fill="auto"/>
            <w:vAlign w:val="center"/>
          </w:tcPr>
          <w:p>
            <w:pPr>
              <w:jc w:val="center"/>
              <w:rPr>
                <w:szCs w:val="21"/>
                <w:highlight w:val="none"/>
              </w:rPr>
            </w:pPr>
            <w:r>
              <w:rPr>
                <w:rFonts w:hint="eastAsia"/>
                <w:szCs w:val="21"/>
                <w:highlight w:val="none"/>
              </w:rPr>
              <w:t>序号</w:t>
            </w:r>
          </w:p>
        </w:tc>
        <w:tc>
          <w:tcPr>
            <w:tcW w:w="1064" w:type="dxa"/>
            <w:shd w:val="clear" w:color="auto" w:fill="auto"/>
            <w:vAlign w:val="center"/>
          </w:tcPr>
          <w:p>
            <w:pPr>
              <w:jc w:val="center"/>
              <w:rPr>
                <w:szCs w:val="21"/>
                <w:highlight w:val="none"/>
              </w:rPr>
            </w:pPr>
            <w:r>
              <w:rPr>
                <w:rFonts w:hint="eastAsia"/>
                <w:szCs w:val="21"/>
                <w:highlight w:val="none"/>
              </w:rPr>
              <w:t>仪器设备</w:t>
            </w:r>
          </w:p>
          <w:p>
            <w:pPr>
              <w:jc w:val="center"/>
              <w:rPr>
                <w:szCs w:val="21"/>
                <w:highlight w:val="none"/>
              </w:rPr>
            </w:pPr>
            <w:r>
              <w:rPr>
                <w:rFonts w:hint="eastAsia"/>
                <w:szCs w:val="21"/>
                <w:highlight w:val="none"/>
              </w:rPr>
              <w:t>名    称</w:t>
            </w:r>
          </w:p>
        </w:tc>
        <w:tc>
          <w:tcPr>
            <w:tcW w:w="672" w:type="dxa"/>
            <w:shd w:val="clear" w:color="auto" w:fill="auto"/>
            <w:vAlign w:val="center"/>
          </w:tcPr>
          <w:p>
            <w:pPr>
              <w:jc w:val="center"/>
              <w:rPr>
                <w:szCs w:val="21"/>
                <w:highlight w:val="none"/>
              </w:rPr>
            </w:pPr>
            <w:r>
              <w:rPr>
                <w:rFonts w:hint="eastAsia"/>
                <w:szCs w:val="21"/>
                <w:highlight w:val="none"/>
              </w:rPr>
              <w:t>型号</w:t>
            </w:r>
          </w:p>
          <w:p>
            <w:pPr>
              <w:jc w:val="center"/>
              <w:rPr>
                <w:szCs w:val="21"/>
                <w:highlight w:val="none"/>
              </w:rPr>
            </w:pPr>
            <w:r>
              <w:rPr>
                <w:rFonts w:hint="eastAsia"/>
                <w:szCs w:val="21"/>
                <w:highlight w:val="none"/>
              </w:rPr>
              <w:t>规格</w:t>
            </w:r>
          </w:p>
        </w:tc>
        <w:tc>
          <w:tcPr>
            <w:tcW w:w="1022" w:type="dxa"/>
            <w:shd w:val="clear" w:color="auto" w:fill="auto"/>
            <w:vAlign w:val="center"/>
          </w:tcPr>
          <w:p>
            <w:pPr>
              <w:jc w:val="center"/>
              <w:rPr>
                <w:szCs w:val="21"/>
                <w:highlight w:val="none"/>
              </w:rPr>
            </w:pPr>
            <w:r>
              <w:rPr>
                <w:rFonts w:hint="eastAsia"/>
                <w:szCs w:val="21"/>
                <w:highlight w:val="none"/>
              </w:rPr>
              <w:t>数  量</w:t>
            </w:r>
          </w:p>
        </w:tc>
        <w:tc>
          <w:tcPr>
            <w:tcW w:w="709" w:type="dxa"/>
            <w:shd w:val="clear" w:color="auto" w:fill="auto"/>
            <w:vAlign w:val="center"/>
          </w:tcPr>
          <w:p>
            <w:pPr>
              <w:jc w:val="center"/>
              <w:rPr>
                <w:szCs w:val="21"/>
                <w:highlight w:val="none"/>
              </w:rPr>
            </w:pPr>
            <w:r>
              <w:rPr>
                <w:rFonts w:hint="eastAsia"/>
                <w:szCs w:val="21"/>
                <w:highlight w:val="none"/>
              </w:rPr>
              <w:t>国别</w:t>
            </w:r>
          </w:p>
          <w:p>
            <w:pPr>
              <w:jc w:val="center"/>
              <w:rPr>
                <w:szCs w:val="21"/>
                <w:highlight w:val="none"/>
              </w:rPr>
            </w:pPr>
            <w:r>
              <w:rPr>
                <w:rFonts w:hint="eastAsia"/>
                <w:szCs w:val="21"/>
                <w:highlight w:val="none"/>
              </w:rPr>
              <w:t>产地</w:t>
            </w:r>
          </w:p>
        </w:tc>
        <w:tc>
          <w:tcPr>
            <w:tcW w:w="709" w:type="dxa"/>
            <w:shd w:val="clear" w:color="auto" w:fill="auto"/>
            <w:vAlign w:val="center"/>
          </w:tcPr>
          <w:p>
            <w:pPr>
              <w:jc w:val="center"/>
              <w:rPr>
                <w:szCs w:val="21"/>
                <w:highlight w:val="none"/>
              </w:rPr>
            </w:pPr>
            <w:r>
              <w:rPr>
                <w:rFonts w:hint="eastAsia"/>
                <w:szCs w:val="21"/>
                <w:highlight w:val="none"/>
              </w:rPr>
              <w:t>制造</w:t>
            </w:r>
          </w:p>
          <w:p>
            <w:pPr>
              <w:jc w:val="center"/>
              <w:rPr>
                <w:szCs w:val="21"/>
                <w:highlight w:val="none"/>
              </w:rPr>
            </w:pPr>
            <w:r>
              <w:rPr>
                <w:rFonts w:hint="eastAsia"/>
                <w:szCs w:val="21"/>
                <w:highlight w:val="none"/>
              </w:rPr>
              <w:t>年份</w:t>
            </w:r>
          </w:p>
        </w:tc>
        <w:tc>
          <w:tcPr>
            <w:tcW w:w="1176" w:type="dxa"/>
            <w:shd w:val="clear" w:color="auto" w:fill="auto"/>
            <w:vAlign w:val="center"/>
          </w:tcPr>
          <w:p>
            <w:pPr>
              <w:jc w:val="center"/>
              <w:rPr>
                <w:szCs w:val="21"/>
                <w:highlight w:val="none"/>
              </w:rPr>
            </w:pPr>
            <w:r>
              <w:rPr>
                <w:rFonts w:hint="eastAsia"/>
                <w:szCs w:val="21"/>
                <w:highlight w:val="none"/>
              </w:rPr>
              <w:t>已使用台</w:t>
            </w:r>
          </w:p>
          <w:p>
            <w:pPr>
              <w:jc w:val="center"/>
              <w:rPr>
                <w:szCs w:val="21"/>
                <w:highlight w:val="none"/>
              </w:rPr>
            </w:pPr>
            <w:r>
              <w:rPr>
                <w:rFonts w:hint="eastAsia"/>
                <w:szCs w:val="21"/>
                <w:highlight w:val="none"/>
              </w:rPr>
              <w:t>时    数</w:t>
            </w:r>
          </w:p>
        </w:tc>
        <w:tc>
          <w:tcPr>
            <w:tcW w:w="1659" w:type="dxa"/>
            <w:shd w:val="clear" w:color="auto" w:fill="auto"/>
            <w:vAlign w:val="center"/>
          </w:tcPr>
          <w:p>
            <w:pPr>
              <w:jc w:val="center"/>
              <w:rPr>
                <w:szCs w:val="21"/>
                <w:highlight w:val="none"/>
              </w:rPr>
            </w:pPr>
            <w:r>
              <w:rPr>
                <w:rFonts w:hint="eastAsia"/>
                <w:szCs w:val="21"/>
                <w:highlight w:val="none"/>
              </w:rPr>
              <w:t>用  途</w:t>
            </w:r>
          </w:p>
        </w:tc>
        <w:tc>
          <w:tcPr>
            <w:tcW w:w="850" w:type="dxa"/>
            <w:shd w:val="clear" w:color="auto" w:fill="auto"/>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shd w:val="clear" w:color="auto" w:fill="auto"/>
            <w:vAlign w:val="center"/>
          </w:tcPr>
          <w:p>
            <w:pPr>
              <w:rPr>
                <w:highlight w:val="none"/>
              </w:rPr>
            </w:pPr>
          </w:p>
        </w:tc>
        <w:tc>
          <w:tcPr>
            <w:tcW w:w="1064" w:type="dxa"/>
            <w:shd w:val="clear" w:color="auto" w:fill="auto"/>
            <w:vAlign w:val="center"/>
          </w:tcPr>
          <w:p>
            <w:pPr>
              <w:rPr>
                <w:highlight w:val="none"/>
              </w:rPr>
            </w:pPr>
          </w:p>
        </w:tc>
        <w:tc>
          <w:tcPr>
            <w:tcW w:w="672" w:type="dxa"/>
            <w:shd w:val="clear" w:color="auto" w:fill="auto"/>
            <w:vAlign w:val="center"/>
          </w:tcPr>
          <w:p>
            <w:pPr>
              <w:rPr>
                <w:highlight w:val="none"/>
              </w:rPr>
            </w:pPr>
          </w:p>
        </w:tc>
        <w:tc>
          <w:tcPr>
            <w:tcW w:w="1022"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76" w:type="dxa"/>
            <w:shd w:val="clear" w:color="auto" w:fill="auto"/>
            <w:vAlign w:val="center"/>
          </w:tcPr>
          <w:p>
            <w:pPr>
              <w:rPr>
                <w:highlight w:val="none"/>
              </w:rPr>
            </w:pPr>
          </w:p>
        </w:tc>
        <w:tc>
          <w:tcPr>
            <w:tcW w:w="1659" w:type="dxa"/>
            <w:shd w:val="clear" w:color="auto" w:fill="auto"/>
            <w:vAlign w:val="center"/>
          </w:tcPr>
          <w:p>
            <w:pPr>
              <w:rPr>
                <w:highlight w:val="none"/>
              </w:rPr>
            </w:pPr>
          </w:p>
        </w:tc>
        <w:tc>
          <w:tcPr>
            <w:tcW w:w="850" w:type="dxa"/>
            <w:shd w:val="clear" w:color="auto" w:fill="auto"/>
            <w:vAlign w:val="center"/>
          </w:tcPr>
          <w:p>
            <w:pPr>
              <w:rPr>
                <w:highlight w:val="none"/>
              </w:rPr>
            </w:pPr>
          </w:p>
        </w:tc>
      </w:tr>
    </w:tbl>
    <w:p>
      <w:pPr>
        <w:spacing w:before="156" w:beforeLines="50" w:after="156" w:afterLines="50" w:line="420" w:lineRule="exact"/>
        <w:rPr>
          <w:rFonts w:ascii="黑体" w:eastAsia="黑体"/>
          <w:sz w:val="24"/>
          <w:highlight w:val="none"/>
        </w:rPr>
      </w:pPr>
      <w:r>
        <w:rPr>
          <w:szCs w:val="21"/>
          <w:highlight w:val="none"/>
        </w:rPr>
        <w:br w:type="page"/>
      </w:r>
      <w:r>
        <w:rPr>
          <w:rFonts w:hint="eastAsia" w:ascii="黑体" w:eastAsia="黑体"/>
          <w:sz w:val="24"/>
          <w:highlight w:val="none"/>
        </w:rPr>
        <w:t>附表三：劳动力计划表</w:t>
      </w:r>
    </w:p>
    <w:p>
      <w:pPr>
        <w:wordWrap w:val="0"/>
        <w:spacing w:line="420" w:lineRule="exact"/>
        <w:jc w:val="right"/>
        <w:rPr>
          <w:rFonts w:ascii="黑体" w:eastAsia="黑体"/>
          <w:szCs w:val="21"/>
          <w:highlight w:val="none"/>
        </w:rPr>
      </w:pPr>
      <w:r>
        <w:rPr>
          <w:rFonts w:hint="eastAsia" w:ascii="黑体" w:eastAsia="黑体"/>
          <w:szCs w:val="21"/>
          <w:highlight w:val="none"/>
        </w:rPr>
        <w:t xml:space="preserve">单位：人   </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1401"/>
        <w:gridCol w:w="1051"/>
        <w:gridCol w:w="1051"/>
        <w:gridCol w:w="1051"/>
        <w:gridCol w:w="1051"/>
        <w:gridCol w:w="1052"/>
        <w:gridCol w:w="1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2" w:hRule="atLeast"/>
        </w:trPr>
        <w:tc>
          <w:tcPr>
            <w:tcW w:w="709" w:type="dxa"/>
            <w:shd w:val="clear" w:color="auto" w:fill="auto"/>
            <w:vAlign w:val="center"/>
          </w:tcPr>
          <w:p>
            <w:pPr>
              <w:jc w:val="center"/>
              <w:rPr>
                <w:szCs w:val="21"/>
                <w:highlight w:val="none"/>
              </w:rPr>
            </w:pPr>
            <w:r>
              <w:rPr>
                <w:rFonts w:hint="eastAsia"/>
                <w:szCs w:val="21"/>
                <w:highlight w:val="none"/>
              </w:rPr>
              <w:t>工种</w:t>
            </w:r>
          </w:p>
        </w:tc>
        <w:tc>
          <w:tcPr>
            <w:tcW w:w="7796" w:type="dxa"/>
            <w:gridSpan w:val="7"/>
            <w:shd w:val="clear" w:color="auto" w:fill="auto"/>
            <w:vAlign w:val="center"/>
          </w:tcPr>
          <w:p>
            <w:pPr>
              <w:jc w:val="center"/>
              <w:rPr>
                <w:szCs w:val="21"/>
                <w:highlight w:val="none"/>
              </w:rPr>
            </w:pPr>
            <w:r>
              <w:rPr>
                <w:rFonts w:hint="eastAsia"/>
                <w:szCs w:val="21"/>
                <w:highlight w:val="none"/>
              </w:rPr>
              <w:t>按工程施工阶段投入劳动力情况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shd w:val="clear" w:color="auto" w:fill="auto"/>
            <w:vAlign w:val="center"/>
          </w:tcPr>
          <w:p>
            <w:pPr>
              <w:rPr>
                <w:highlight w:val="none"/>
              </w:rPr>
            </w:pPr>
          </w:p>
        </w:tc>
        <w:tc>
          <w:tcPr>
            <w:tcW w:w="1418"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c>
          <w:tcPr>
            <w:tcW w:w="1063" w:type="dxa"/>
            <w:shd w:val="clear" w:color="auto" w:fill="auto"/>
            <w:vAlign w:val="center"/>
          </w:tcPr>
          <w:p>
            <w:pPr>
              <w:rPr>
                <w:highlight w:val="none"/>
              </w:rPr>
            </w:pPr>
          </w:p>
        </w:tc>
      </w:tr>
    </w:tbl>
    <w:p>
      <w:pPr>
        <w:spacing w:before="156" w:beforeLines="50" w:after="312" w:afterLines="100" w:line="420" w:lineRule="exact"/>
        <w:rPr>
          <w:rFonts w:ascii="黑体" w:eastAsia="黑体"/>
          <w:sz w:val="24"/>
          <w:highlight w:val="none"/>
        </w:rPr>
      </w:pPr>
      <w:r>
        <w:rPr>
          <w:szCs w:val="21"/>
          <w:highlight w:val="none"/>
        </w:rPr>
        <w:br w:type="page"/>
      </w:r>
      <w:r>
        <w:rPr>
          <w:rFonts w:hint="eastAsia" w:ascii="黑体" w:eastAsia="黑体"/>
          <w:sz w:val="24"/>
          <w:highlight w:val="none"/>
        </w:rPr>
        <w:t>附表四：计划开、竣工日期和施工进度网络图</w:t>
      </w:r>
    </w:p>
    <w:p>
      <w:pPr>
        <w:spacing w:line="420" w:lineRule="exact"/>
        <w:ind w:firstLine="420" w:firstLineChars="200"/>
        <w:rPr>
          <w:szCs w:val="21"/>
          <w:highlight w:val="none"/>
        </w:rPr>
      </w:pPr>
      <w:r>
        <w:rPr>
          <w:rFonts w:hint="eastAsia"/>
          <w:szCs w:val="21"/>
          <w:highlight w:val="none"/>
        </w:rPr>
        <w:t>1．投标人应递交施工进度网络图或施工进度表，说明按招标文件要求的计划工期进行施工的各个关键日期。</w:t>
      </w:r>
    </w:p>
    <w:p>
      <w:pPr>
        <w:spacing w:line="420" w:lineRule="exact"/>
        <w:ind w:firstLine="420" w:firstLineChars="200"/>
        <w:rPr>
          <w:szCs w:val="21"/>
          <w:highlight w:val="none"/>
        </w:rPr>
      </w:pPr>
      <w:r>
        <w:rPr>
          <w:rFonts w:hint="eastAsia"/>
          <w:szCs w:val="21"/>
          <w:highlight w:val="none"/>
        </w:rPr>
        <w:t>2．施工进度表可采用网络图和（或）横道图表示。</w:t>
      </w:r>
    </w:p>
    <w:p>
      <w:pPr>
        <w:spacing w:before="156" w:beforeLines="50" w:after="312" w:afterLines="100" w:line="420" w:lineRule="exact"/>
        <w:rPr>
          <w:szCs w:val="21"/>
          <w:highlight w:val="none"/>
        </w:rPr>
      </w:pPr>
      <w:r>
        <w:rPr>
          <w:szCs w:val="21"/>
          <w:highlight w:val="none"/>
        </w:rPr>
        <w:br w:type="page"/>
      </w:r>
      <w:r>
        <w:rPr>
          <w:rFonts w:hint="eastAsia" w:ascii="黑体" w:eastAsia="黑体"/>
          <w:sz w:val="24"/>
          <w:highlight w:val="none"/>
        </w:rPr>
        <w:t>附表五：施工总平面图</w:t>
      </w:r>
    </w:p>
    <w:p>
      <w:pPr>
        <w:spacing w:line="420" w:lineRule="exact"/>
        <w:ind w:firstLine="420" w:firstLineChars="200"/>
        <w:rPr>
          <w:szCs w:val="21"/>
          <w:highlight w:val="none"/>
        </w:rPr>
      </w:pPr>
      <w:r>
        <w:rPr>
          <w:rFonts w:hint="eastAsia"/>
          <w:szCs w:val="21"/>
          <w:highlight w:val="none"/>
        </w:rPr>
        <w:t>投标人应递交一份施工总平面图，绘出现场临时设施布置图表并附文字说明，说明临时设施、加工车间、现场办公、设备及仓储、供电、供水、卫生、生活、道路、消防等设施的情况和布置。</w:t>
      </w:r>
    </w:p>
    <w:p>
      <w:pPr>
        <w:spacing w:before="156" w:beforeLines="50" w:after="312" w:afterLines="100" w:line="420" w:lineRule="exact"/>
        <w:rPr>
          <w:rFonts w:ascii="黑体" w:eastAsia="黑体"/>
          <w:sz w:val="24"/>
          <w:highlight w:val="none"/>
        </w:rPr>
      </w:pPr>
      <w:r>
        <w:rPr>
          <w:szCs w:val="21"/>
          <w:highlight w:val="none"/>
        </w:rPr>
        <w:br w:type="page"/>
      </w:r>
      <w:r>
        <w:rPr>
          <w:rFonts w:hint="eastAsia" w:ascii="黑体" w:eastAsia="黑体"/>
          <w:sz w:val="24"/>
          <w:highlight w:val="none"/>
        </w:rPr>
        <w:t>附表六：临时用地表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3"/>
        <w:gridCol w:w="2059"/>
        <w:gridCol w:w="2056"/>
        <w:gridCol w:w="2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vAlign w:val="center"/>
          </w:tcPr>
          <w:p>
            <w:pPr>
              <w:jc w:val="center"/>
              <w:rPr>
                <w:szCs w:val="21"/>
                <w:highlight w:val="none"/>
              </w:rPr>
            </w:pPr>
            <w:r>
              <w:rPr>
                <w:rFonts w:hint="eastAsia"/>
                <w:szCs w:val="21"/>
                <w:highlight w:val="none"/>
              </w:rPr>
              <w:t>用  途</w:t>
            </w:r>
          </w:p>
        </w:tc>
        <w:tc>
          <w:tcPr>
            <w:tcW w:w="2079" w:type="dxa"/>
            <w:shd w:val="clear" w:color="auto" w:fill="auto"/>
            <w:vAlign w:val="center"/>
          </w:tcPr>
          <w:p>
            <w:pPr>
              <w:jc w:val="center"/>
              <w:rPr>
                <w:szCs w:val="21"/>
                <w:highlight w:val="none"/>
              </w:rPr>
            </w:pPr>
            <w:r>
              <w:rPr>
                <w:rFonts w:hint="eastAsia"/>
                <w:szCs w:val="21"/>
                <w:highlight w:val="none"/>
              </w:rPr>
              <w:t>面 积（平方米）</w:t>
            </w:r>
          </w:p>
        </w:tc>
        <w:tc>
          <w:tcPr>
            <w:tcW w:w="2079" w:type="dxa"/>
            <w:shd w:val="clear" w:color="auto" w:fill="auto"/>
            <w:vAlign w:val="center"/>
          </w:tcPr>
          <w:p>
            <w:pPr>
              <w:jc w:val="center"/>
              <w:rPr>
                <w:szCs w:val="21"/>
                <w:highlight w:val="none"/>
              </w:rPr>
            </w:pPr>
            <w:r>
              <w:rPr>
                <w:rFonts w:hint="eastAsia"/>
                <w:szCs w:val="21"/>
                <w:highlight w:val="none"/>
              </w:rPr>
              <w:t>位  置</w:t>
            </w:r>
          </w:p>
        </w:tc>
        <w:tc>
          <w:tcPr>
            <w:tcW w:w="2079" w:type="dxa"/>
            <w:shd w:val="clear" w:color="auto" w:fill="auto"/>
            <w:vAlign w:val="center"/>
          </w:tcPr>
          <w:p>
            <w:pPr>
              <w:jc w:val="center"/>
              <w:rPr>
                <w:szCs w:val="21"/>
                <w:highlight w:val="none"/>
              </w:rPr>
            </w:pPr>
            <w:r>
              <w:rPr>
                <w:rFonts w:hint="eastAsia"/>
                <w:szCs w:val="21"/>
                <w:highlight w:val="none"/>
              </w:rPr>
              <w:t>需用时间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268"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c>
          <w:tcPr>
            <w:tcW w:w="2079" w:type="dxa"/>
            <w:shd w:val="clear" w:color="auto" w:fill="auto"/>
          </w:tcPr>
          <w:p>
            <w:pPr>
              <w:rPr>
                <w:highlight w:val="none"/>
              </w:rPr>
            </w:pPr>
          </w:p>
        </w:tc>
      </w:tr>
    </w:tbl>
    <w:p>
      <w:pPr>
        <w:spacing w:before="156" w:beforeLines="50" w:after="156" w:afterLines="50" w:line="420" w:lineRule="exact"/>
        <w:rPr>
          <w:rFonts w:ascii="黑体" w:eastAsia="黑体"/>
          <w:sz w:val="24"/>
          <w:highlight w:val="none"/>
        </w:rPr>
      </w:pPr>
      <w:r>
        <w:rPr>
          <w:szCs w:val="21"/>
          <w:highlight w:val="none"/>
        </w:rPr>
        <w:br w:type="page"/>
      </w:r>
      <w:r>
        <w:rPr>
          <w:rFonts w:hint="eastAsia" w:ascii="黑体" w:eastAsia="黑体"/>
          <w:sz w:val="24"/>
          <w:highlight w:val="none"/>
        </w:rPr>
        <w:t>附表七：施工组织设计编制及装订要求</w:t>
      </w:r>
    </w:p>
    <w:p>
      <w:pPr>
        <w:spacing w:line="420" w:lineRule="exact"/>
        <w:rPr>
          <w:szCs w:val="21"/>
          <w:highlight w:val="none"/>
        </w:rPr>
      </w:pPr>
      <w:r>
        <w:rPr>
          <w:rFonts w:hint="eastAsia"/>
          <w:szCs w:val="21"/>
          <w:highlight w:val="none"/>
        </w:rPr>
        <w:t>（一）施工组织设计中的内容：</w:t>
      </w:r>
    </w:p>
    <w:p>
      <w:pPr>
        <w:spacing w:line="420" w:lineRule="exact"/>
        <w:rPr>
          <w:szCs w:val="21"/>
          <w:highlight w:val="none"/>
        </w:rPr>
      </w:pP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（二）编制和装订要求</w:t>
      </w:r>
    </w:p>
    <w:p>
      <w:pPr>
        <w:spacing w:line="420" w:lineRule="exact"/>
        <w:rPr>
          <w:szCs w:val="21"/>
          <w:highlight w:val="none"/>
        </w:rPr>
      </w:pPr>
      <w:r>
        <w:rPr>
          <w:rFonts w:hint="eastAsia"/>
          <w:szCs w:val="21"/>
          <w:highlight w:val="none"/>
        </w:rPr>
        <w:t>1．打印纸张要求：</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2．打印颜色要求：</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3．正本封皮(包括封面、侧面及封底)设置及盖章要求：</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4．副本封皮(包括封面、侧面及封底)设置要求：</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5．排版要求：</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6．图表大小、字体、装订位置要求：</w:t>
      </w:r>
      <w:r>
        <w:rPr>
          <w:rFonts w:hint="eastAsia"/>
          <w:szCs w:val="21"/>
          <w:highlight w:val="none"/>
          <w:u w:val="single"/>
        </w:rPr>
        <w:t xml:space="preserve">                                               </w:t>
      </w:r>
      <w:r>
        <w:rPr>
          <w:rFonts w:hint="eastAsia"/>
          <w:szCs w:val="21"/>
          <w:highlight w:val="none"/>
        </w:rPr>
        <w:t>。</w:t>
      </w:r>
    </w:p>
    <w:p>
      <w:pPr>
        <w:spacing w:line="420" w:lineRule="exact"/>
        <w:ind w:left="315" w:hanging="315" w:hangingChars="150"/>
        <w:rPr>
          <w:szCs w:val="21"/>
          <w:highlight w:val="none"/>
        </w:rPr>
      </w:pPr>
      <w:r>
        <w:rPr>
          <w:rFonts w:hint="eastAsia"/>
          <w:szCs w:val="21"/>
          <w:highlight w:val="none"/>
        </w:rPr>
        <w:t>7．所有“技术标”必须合并装订成一册，所有文件左侧装订，装订方式应牢固、美观，不得采用活页方式装订，均应采用</w:t>
      </w:r>
      <w:r>
        <w:rPr>
          <w:rFonts w:hint="eastAsia"/>
          <w:szCs w:val="21"/>
          <w:highlight w:val="none"/>
          <w:u w:val="single"/>
        </w:rPr>
        <w:t xml:space="preserve">                </w:t>
      </w:r>
      <w:r>
        <w:rPr>
          <w:rFonts w:hint="eastAsia"/>
          <w:szCs w:val="21"/>
          <w:highlight w:val="none"/>
        </w:rPr>
        <w:t>方式装订；</w:t>
      </w:r>
    </w:p>
    <w:p>
      <w:pPr>
        <w:spacing w:line="420" w:lineRule="exact"/>
        <w:rPr>
          <w:szCs w:val="21"/>
          <w:highlight w:val="none"/>
        </w:rPr>
      </w:pPr>
      <w:r>
        <w:rPr>
          <w:rFonts w:hint="eastAsia"/>
          <w:szCs w:val="21"/>
          <w:highlight w:val="none"/>
        </w:rPr>
        <w:t>8．编写软件及版本要求：Microsoft Word</w:t>
      </w:r>
      <w:r>
        <w:rPr>
          <w:rFonts w:hint="eastAsia"/>
          <w:szCs w:val="21"/>
          <w:highlight w:val="none"/>
          <w:u w:val="single"/>
        </w:rPr>
        <w:t xml:space="preserve">                     </w:t>
      </w:r>
      <w:r>
        <w:rPr>
          <w:rFonts w:hint="eastAsia"/>
          <w:szCs w:val="21"/>
          <w:highlight w:val="none"/>
        </w:rPr>
        <w:t>；</w:t>
      </w:r>
    </w:p>
    <w:p>
      <w:pPr>
        <w:spacing w:line="420" w:lineRule="exact"/>
        <w:rPr>
          <w:szCs w:val="21"/>
          <w:highlight w:val="none"/>
        </w:rPr>
      </w:pPr>
      <w:r>
        <w:rPr>
          <w:rFonts w:hint="eastAsia"/>
          <w:szCs w:val="21"/>
          <w:highlight w:val="none"/>
        </w:rPr>
        <w:t>9．任何情况下，技术标中不得出现任何涂改、行间插字或删除痕迹；</w:t>
      </w:r>
    </w:p>
    <w:p>
      <w:pPr>
        <w:spacing w:before="156" w:beforeLines="50" w:after="156" w:afterLines="50" w:line="420" w:lineRule="exact"/>
        <w:jc w:val="center"/>
        <w:rPr>
          <w:rFonts w:ascii="黑体" w:eastAsia="黑体"/>
          <w:sz w:val="28"/>
          <w:szCs w:val="28"/>
          <w:highlight w:val="none"/>
        </w:rPr>
      </w:pPr>
      <w:r>
        <w:rPr>
          <w:szCs w:val="21"/>
          <w:highlight w:val="none"/>
        </w:rPr>
        <w:br w:type="page"/>
      </w:r>
      <w:r>
        <w:rPr>
          <w:rFonts w:hint="eastAsia" w:ascii="黑体" w:eastAsia="黑体"/>
          <w:sz w:val="28"/>
          <w:szCs w:val="28"/>
          <w:highlight w:val="none"/>
          <w:lang w:val="en-US" w:eastAsia="zh-CN"/>
        </w:rPr>
        <w:t>六</w:t>
      </w:r>
      <w:r>
        <w:rPr>
          <w:rFonts w:hint="eastAsia" w:ascii="黑体" w:eastAsia="黑体"/>
          <w:sz w:val="28"/>
          <w:szCs w:val="28"/>
          <w:highlight w:val="none"/>
        </w:rPr>
        <w:t>、项目管理机构</w:t>
      </w:r>
    </w:p>
    <w:p>
      <w:pPr>
        <w:spacing w:after="312" w:afterLines="100" w:line="420" w:lineRule="exact"/>
        <w:rPr>
          <w:rFonts w:ascii="黑体" w:eastAsia="黑体"/>
          <w:sz w:val="24"/>
          <w:highlight w:val="none"/>
        </w:rPr>
      </w:pPr>
      <w:r>
        <w:rPr>
          <w:rFonts w:hint="eastAsia" w:ascii="黑体" w:eastAsia="黑体"/>
          <w:sz w:val="24"/>
          <w:highlight w:val="none"/>
        </w:rPr>
        <w:t>（一）项目管理机构组成表</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3"/>
        <w:gridCol w:w="703"/>
        <w:gridCol w:w="703"/>
        <w:gridCol w:w="1120"/>
        <w:gridCol w:w="764"/>
        <w:gridCol w:w="781"/>
        <w:gridCol w:w="842"/>
        <w:gridCol w:w="2094"/>
        <w:gridCol w:w="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restart"/>
            <w:shd w:val="clear" w:color="auto" w:fill="auto"/>
            <w:vAlign w:val="center"/>
          </w:tcPr>
          <w:p>
            <w:pPr>
              <w:jc w:val="center"/>
              <w:rPr>
                <w:szCs w:val="21"/>
                <w:highlight w:val="none"/>
              </w:rPr>
            </w:pPr>
            <w:r>
              <w:rPr>
                <w:rFonts w:hint="eastAsia"/>
                <w:szCs w:val="21"/>
                <w:highlight w:val="none"/>
              </w:rPr>
              <w:t>职务</w:t>
            </w:r>
          </w:p>
        </w:tc>
        <w:tc>
          <w:tcPr>
            <w:tcW w:w="709" w:type="dxa"/>
            <w:vMerge w:val="restart"/>
            <w:shd w:val="clear" w:color="auto" w:fill="auto"/>
            <w:vAlign w:val="center"/>
          </w:tcPr>
          <w:p>
            <w:pPr>
              <w:jc w:val="center"/>
              <w:rPr>
                <w:szCs w:val="21"/>
                <w:highlight w:val="none"/>
              </w:rPr>
            </w:pPr>
            <w:r>
              <w:rPr>
                <w:rFonts w:hint="eastAsia"/>
                <w:szCs w:val="21"/>
                <w:highlight w:val="none"/>
              </w:rPr>
              <w:t>姓名</w:t>
            </w:r>
          </w:p>
        </w:tc>
        <w:tc>
          <w:tcPr>
            <w:tcW w:w="709" w:type="dxa"/>
            <w:vMerge w:val="restart"/>
            <w:shd w:val="clear" w:color="auto" w:fill="auto"/>
            <w:vAlign w:val="center"/>
          </w:tcPr>
          <w:p>
            <w:pPr>
              <w:jc w:val="center"/>
              <w:rPr>
                <w:szCs w:val="21"/>
                <w:highlight w:val="none"/>
              </w:rPr>
            </w:pPr>
            <w:r>
              <w:rPr>
                <w:rFonts w:hint="eastAsia"/>
                <w:szCs w:val="21"/>
                <w:highlight w:val="none"/>
              </w:rPr>
              <w:t>职称</w:t>
            </w:r>
          </w:p>
        </w:tc>
        <w:tc>
          <w:tcPr>
            <w:tcW w:w="5670" w:type="dxa"/>
            <w:gridSpan w:val="5"/>
            <w:shd w:val="clear" w:color="auto" w:fill="auto"/>
            <w:vAlign w:val="center"/>
          </w:tcPr>
          <w:p>
            <w:pPr>
              <w:jc w:val="center"/>
              <w:rPr>
                <w:szCs w:val="21"/>
                <w:highlight w:val="none"/>
              </w:rPr>
            </w:pPr>
            <w:r>
              <w:rPr>
                <w:rFonts w:hint="eastAsia"/>
                <w:szCs w:val="21"/>
                <w:highlight w:val="none"/>
              </w:rPr>
              <w:t>执业或职业资格证明</w:t>
            </w:r>
          </w:p>
        </w:tc>
        <w:tc>
          <w:tcPr>
            <w:tcW w:w="708" w:type="dxa"/>
            <w:vMerge w:val="restart"/>
            <w:shd w:val="clear" w:color="auto" w:fill="auto"/>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continue"/>
            <w:shd w:val="clear" w:color="auto" w:fill="auto"/>
            <w:vAlign w:val="center"/>
          </w:tcPr>
          <w:p>
            <w:pPr>
              <w:rPr>
                <w:highlight w:val="none"/>
              </w:rPr>
            </w:pPr>
          </w:p>
        </w:tc>
        <w:tc>
          <w:tcPr>
            <w:tcW w:w="709" w:type="dxa"/>
            <w:vMerge w:val="continue"/>
            <w:shd w:val="clear" w:color="auto" w:fill="auto"/>
            <w:vAlign w:val="center"/>
          </w:tcPr>
          <w:p>
            <w:pPr>
              <w:rPr>
                <w:highlight w:val="none"/>
              </w:rPr>
            </w:pPr>
          </w:p>
        </w:tc>
        <w:tc>
          <w:tcPr>
            <w:tcW w:w="709" w:type="dxa"/>
            <w:vMerge w:val="continue"/>
            <w:shd w:val="clear" w:color="auto" w:fill="auto"/>
            <w:vAlign w:val="center"/>
          </w:tcPr>
          <w:p>
            <w:pPr>
              <w:rPr>
                <w:highlight w:val="none"/>
              </w:rPr>
            </w:pPr>
          </w:p>
        </w:tc>
        <w:tc>
          <w:tcPr>
            <w:tcW w:w="1134" w:type="dxa"/>
            <w:shd w:val="clear" w:color="auto" w:fill="auto"/>
            <w:vAlign w:val="center"/>
          </w:tcPr>
          <w:p>
            <w:pPr>
              <w:jc w:val="center"/>
              <w:rPr>
                <w:szCs w:val="21"/>
                <w:highlight w:val="none"/>
              </w:rPr>
            </w:pPr>
            <w:r>
              <w:rPr>
                <w:rFonts w:hint="eastAsia"/>
                <w:szCs w:val="21"/>
                <w:highlight w:val="none"/>
              </w:rPr>
              <w:t>证书名称</w:t>
            </w:r>
          </w:p>
        </w:tc>
        <w:tc>
          <w:tcPr>
            <w:tcW w:w="771" w:type="dxa"/>
            <w:shd w:val="clear" w:color="auto" w:fill="auto"/>
            <w:vAlign w:val="center"/>
          </w:tcPr>
          <w:p>
            <w:pPr>
              <w:jc w:val="center"/>
              <w:rPr>
                <w:szCs w:val="21"/>
                <w:highlight w:val="none"/>
              </w:rPr>
            </w:pPr>
            <w:r>
              <w:rPr>
                <w:rFonts w:hint="eastAsia"/>
                <w:szCs w:val="21"/>
                <w:highlight w:val="none"/>
              </w:rPr>
              <w:t>级别</w:t>
            </w:r>
          </w:p>
        </w:tc>
        <w:tc>
          <w:tcPr>
            <w:tcW w:w="788" w:type="dxa"/>
            <w:shd w:val="clear" w:color="auto" w:fill="auto"/>
            <w:vAlign w:val="center"/>
          </w:tcPr>
          <w:p>
            <w:pPr>
              <w:jc w:val="center"/>
              <w:rPr>
                <w:szCs w:val="21"/>
                <w:highlight w:val="none"/>
              </w:rPr>
            </w:pPr>
            <w:r>
              <w:rPr>
                <w:rFonts w:hint="eastAsia"/>
                <w:szCs w:val="21"/>
                <w:highlight w:val="none"/>
              </w:rPr>
              <w:t>证号</w:t>
            </w:r>
          </w:p>
        </w:tc>
        <w:tc>
          <w:tcPr>
            <w:tcW w:w="850" w:type="dxa"/>
            <w:shd w:val="clear" w:color="auto" w:fill="auto"/>
            <w:vAlign w:val="center"/>
          </w:tcPr>
          <w:p>
            <w:pPr>
              <w:jc w:val="center"/>
              <w:rPr>
                <w:szCs w:val="21"/>
                <w:highlight w:val="none"/>
              </w:rPr>
            </w:pPr>
            <w:r>
              <w:rPr>
                <w:rFonts w:hint="eastAsia"/>
                <w:szCs w:val="21"/>
                <w:highlight w:val="none"/>
              </w:rPr>
              <w:t>专业</w:t>
            </w:r>
          </w:p>
        </w:tc>
        <w:tc>
          <w:tcPr>
            <w:tcW w:w="2127" w:type="dxa"/>
            <w:shd w:val="clear" w:color="auto" w:fill="auto"/>
            <w:vAlign w:val="center"/>
          </w:tcPr>
          <w:p>
            <w:pPr>
              <w:jc w:val="center"/>
              <w:rPr>
                <w:szCs w:val="21"/>
                <w:highlight w:val="none"/>
              </w:rPr>
            </w:pPr>
            <w:r>
              <w:rPr>
                <w:rFonts w:hint="eastAsia"/>
                <w:szCs w:val="21"/>
                <w:highlight w:val="none"/>
              </w:rPr>
              <w:t>养老保险</w:t>
            </w:r>
          </w:p>
        </w:tc>
        <w:tc>
          <w:tcPr>
            <w:tcW w:w="708" w:type="dxa"/>
            <w:vMerge w:val="continue"/>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709"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771" w:type="dxa"/>
            <w:shd w:val="clear" w:color="auto" w:fill="auto"/>
            <w:vAlign w:val="center"/>
          </w:tcPr>
          <w:p>
            <w:pPr>
              <w:rPr>
                <w:highlight w:val="none"/>
              </w:rPr>
            </w:pPr>
          </w:p>
        </w:tc>
        <w:tc>
          <w:tcPr>
            <w:tcW w:w="788" w:type="dxa"/>
            <w:shd w:val="clear" w:color="auto" w:fill="auto"/>
            <w:vAlign w:val="center"/>
          </w:tcPr>
          <w:p>
            <w:pPr>
              <w:rPr>
                <w:highlight w:val="none"/>
              </w:rPr>
            </w:pPr>
          </w:p>
        </w:tc>
        <w:tc>
          <w:tcPr>
            <w:tcW w:w="850" w:type="dxa"/>
            <w:shd w:val="clear" w:color="auto" w:fill="auto"/>
            <w:vAlign w:val="center"/>
          </w:tcPr>
          <w:p>
            <w:pPr>
              <w:rPr>
                <w:highlight w:val="none"/>
              </w:rPr>
            </w:pPr>
          </w:p>
        </w:tc>
        <w:tc>
          <w:tcPr>
            <w:tcW w:w="2127" w:type="dxa"/>
            <w:shd w:val="clear" w:color="auto" w:fill="auto"/>
            <w:vAlign w:val="center"/>
          </w:tcPr>
          <w:p>
            <w:pPr>
              <w:rPr>
                <w:highlight w:val="none"/>
              </w:rPr>
            </w:pPr>
          </w:p>
        </w:tc>
        <w:tc>
          <w:tcPr>
            <w:tcW w:w="708" w:type="dxa"/>
            <w:shd w:val="clear" w:color="auto" w:fill="auto"/>
            <w:vAlign w:val="center"/>
          </w:tcPr>
          <w:p>
            <w:pPr>
              <w:rPr>
                <w:highlight w:val="none"/>
              </w:rPr>
            </w:pPr>
          </w:p>
        </w:tc>
      </w:tr>
    </w:tbl>
    <w:p>
      <w:pPr>
        <w:spacing w:before="156" w:beforeLines="50" w:after="312" w:afterLines="100" w:line="420" w:lineRule="exact"/>
        <w:rPr>
          <w:rFonts w:ascii="黑体" w:eastAsia="黑体"/>
          <w:sz w:val="24"/>
          <w:highlight w:val="none"/>
        </w:rPr>
      </w:pPr>
      <w:r>
        <w:rPr>
          <w:szCs w:val="21"/>
          <w:highlight w:val="none"/>
        </w:rPr>
        <w:br w:type="page"/>
      </w:r>
      <w:r>
        <w:rPr>
          <w:rFonts w:hint="eastAsia" w:ascii="黑体" w:eastAsia="黑体"/>
          <w:sz w:val="24"/>
          <w:highlight w:val="none"/>
        </w:rPr>
        <w:t>（二）主要人员简历表</w:t>
      </w:r>
    </w:p>
    <w:p>
      <w:pPr>
        <w:spacing w:line="420" w:lineRule="exact"/>
        <w:rPr>
          <w:rFonts w:ascii="黑体" w:eastAsia="黑体"/>
          <w:szCs w:val="21"/>
          <w:highlight w:val="none"/>
        </w:rPr>
      </w:pPr>
      <w:r>
        <w:rPr>
          <w:rFonts w:hint="eastAsia" w:ascii="黑体" w:eastAsia="黑体"/>
          <w:szCs w:val="21"/>
          <w:highlight w:val="none"/>
        </w:rPr>
        <w:t>附1：项目经理简历表</w:t>
      </w:r>
    </w:p>
    <w:p>
      <w:pPr>
        <w:spacing w:line="420" w:lineRule="exact"/>
        <w:rPr>
          <w:szCs w:val="21"/>
          <w:highlight w:val="none"/>
        </w:rPr>
      </w:pPr>
      <w:r>
        <w:rPr>
          <w:rFonts w:hint="eastAsia"/>
          <w:szCs w:val="21"/>
          <w:highlight w:val="none"/>
        </w:rPr>
        <w:t>项目经理应附建造师执业资格证书、注册证书、安全生产考核合格证书、身份证、职称证、</w:t>
      </w:r>
    </w:p>
    <w:p>
      <w:pPr>
        <w:spacing w:line="420" w:lineRule="exact"/>
        <w:rPr>
          <w:szCs w:val="21"/>
          <w:highlight w:val="none"/>
        </w:rPr>
      </w:pPr>
      <w:r>
        <w:rPr>
          <w:rFonts w:hint="eastAsia"/>
          <w:szCs w:val="21"/>
          <w:highlight w:val="none"/>
        </w:rPr>
        <w:t>学历证、养老保险复印件及未担任其他在施建设工程项目项目经理的承诺书，管理过的项目</w:t>
      </w:r>
    </w:p>
    <w:p>
      <w:pPr>
        <w:spacing w:line="420" w:lineRule="exact"/>
        <w:rPr>
          <w:szCs w:val="21"/>
          <w:highlight w:val="none"/>
        </w:rPr>
      </w:pPr>
      <w:r>
        <w:rPr>
          <w:rFonts w:hint="eastAsia"/>
          <w:szCs w:val="21"/>
          <w:highlight w:val="none"/>
        </w:rPr>
        <w:t>业绩须附合同协议书和竣工验收备案登记表复印件。类似项目限于以项目经理身份参与的项</w:t>
      </w:r>
    </w:p>
    <w:p>
      <w:pPr>
        <w:spacing w:line="420" w:lineRule="exact"/>
        <w:rPr>
          <w:szCs w:val="21"/>
          <w:highlight w:val="none"/>
        </w:rPr>
      </w:pPr>
      <w:r>
        <w:rPr>
          <w:rFonts w:hint="eastAsia"/>
          <w:szCs w:val="21"/>
          <w:highlight w:val="none"/>
        </w:rPr>
        <w:t>目。</w:t>
      </w:r>
    </w:p>
    <w:tbl>
      <w:tblPr>
        <w:tblStyle w:val="5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2"/>
        <w:gridCol w:w="1023"/>
        <w:gridCol w:w="1124"/>
        <w:gridCol w:w="1262"/>
        <w:gridCol w:w="1822"/>
        <w:gridCol w:w="2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shd w:val="clear" w:color="auto" w:fill="auto"/>
            <w:vAlign w:val="center"/>
          </w:tcPr>
          <w:p>
            <w:pPr>
              <w:jc w:val="center"/>
              <w:rPr>
                <w:szCs w:val="21"/>
                <w:highlight w:val="none"/>
              </w:rPr>
            </w:pPr>
            <w:r>
              <w:rPr>
                <w:rFonts w:hint="eastAsia"/>
                <w:szCs w:val="21"/>
                <w:highlight w:val="none"/>
              </w:rPr>
              <w:t>姓  名</w:t>
            </w:r>
          </w:p>
        </w:tc>
        <w:tc>
          <w:tcPr>
            <w:tcW w:w="1035" w:type="dxa"/>
            <w:shd w:val="clear" w:color="auto" w:fill="auto"/>
            <w:vAlign w:val="center"/>
          </w:tcPr>
          <w:p>
            <w:pPr>
              <w:rPr>
                <w:highlight w:val="none"/>
              </w:rPr>
            </w:pPr>
          </w:p>
        </w:tc>
        <w:tc>
          <w:tcPr>
            <w:tcW w:w="1134" w:type="dxa"/>
            <w:shd w:val="clear" w:color="auto" w:fill="auto"/>
            <w:vAlign w:val="center"/>
          </w:tcPr>
          <w:p>
            <w:pPr>
              <w:jc w:val="center"/>
              <w:rPr>
                <w:szCs w:val="21"/>
                <w:highlight w:val="none"/>
              </w:rPr>
            </w:pPr>
            <w:r>
              <w:rPr>
                <w:rFonts w:hint="eastAsia"/>
                <w:szCs w:val="21"/>
                <w:highlight w:val="none"/>
              </w:rPr>
              <w:t>年  龄</w:t>
            </w:r>
          </w:p>
        </w:tc>
        <w:tc>
          <w:tcPr>
            <w:tcW w:w="1275" w:type="dxa"/>
            <w:shd w:val="clear" w:color="auto" w:fill="auto"/>
            <w:vAlign w:val="center"/>
          </w:tcPr>
          <w:p>
            <w:pPr>
              <w:rPr>
                <w:highlight w:val="none"/>
              </w:rPr>
            </w:pPr>
          </w:p>
        </w:tc>
        <w:tc>
          <w:tcPr>
            <w:tcW w:w="1843" w:type="dxa"/>
            <w:shd w:val="clear" w:color="auto" w:fill="auto"/>
            <w:vAlign w:val="center"/>
          </w:tcPr>
          <w:p>
            <w:pPr>
              <w:jc w:val="center"/>
              <w:rPr>
                <w:szCs w:val="21"/>
                <w:highlight w:val="none"/>
              </w:rPr>
            </w:pPr>
            <w:r>
              <w:rPr>
                <w:rFonts w:hint="eastAsia"/>
                <w:szCs w:val="21"/>
                <w:highlight w:val="none"/>
              </w:rPr>
              <w:t>学历</w:t>
            </w: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shd w:val="clear" w:color="auto" w:fill="auto"/>
            <w:vAlign w:val="center"/>
          </w:tcPr>
          <w:p>
            <w:pPr>
              <w:jc w:val="center"/>
              <w:rPr>
                <w:szCs w:val="21"/>
                <w:highlight w:val="none"/>
              </w:rPr>
            </w:pPr>
            <w:r>
              <w:rPr>
                <w:rFonts w:hint="eastAsia"/>
                <w:szCs w:val="21"/>
                <w:highlight w:val="none"/>
              </w:rPr>
              <w:t>职  称</w:t>
            </w:r>
          </w:p>
        </w:tc>
        <w:tc>
          <w:tcPr>
            <w:tcW w:w="1035" w:type="dxa"/>
            <w:shd w:val="clear" w:color="auto" w:fill="auto"/>
            <w:vAlign w:val="center"/>
          </w:tcPr>
          <w:p>
            <w:pPr>
              <w:rPr>
                <w:highlight w:val="none"/>
              </w:rPr>
            </w:pPr>
          </w:p>
        </w:tc>
        <w:tc>
          <w:tcPr>
            <w:tcW w:w="1134" w:type="dxa"/>
            <w:shd w:val="clear" w:color="auto" w:fill="auto"/>
            <w:vAlign w:val="center"/>
          </w:tcPr>
          <w:p>
            <w:pPr>
              <w:jc w:val="center"/>
              <w:rPr>
                <w:szCs w:val="21"/>
                <w:highlight w:val="none"/>
              </w:rPr>
            </w:pPr>
            <w:r>
              <w:rPr>
                <w:rFonts w:hint="eastAsia"/>
                <w:szCs w:val="21"/>
                <w:highlight w:val="none"/>
              </w:rPr>
              <w:t>职  务</w:t>
            </w:r>
          </w:p>
        </w:tc>
        <w:tc>
          <w:tcPr>
            <w:tcW w:w="1275" w:type="dxa"/>
            <w:shd w:val="clear" w:color="auto" w:fill="auto"/>
            <w:vAlign w:val="center"/>
          </w:tcPr>
          <w:p>
            <w:pPr>
              <w:rPr>
                <w:highlight w:val="none"/>
              </w:rPr>
            </w:pPr>
          </w:p>
        </w:tc>
        <w:tc>
          <w:tcPr>
            <w:tcW w:w="1843" w:type="dxa"/>
            <w:shd w:val="clear" w:color="auto" w:fill="auto"/>
            <w:vAlign w:val="center"/>
          </w:tcPr>
          <w:p>
            <w:pPr>
              <w:jc w:val="center"/>
              <w:rPr>
                <w:szCs w:val="21"/>
                <w:highlight w:val="none"/>
              </w:rPr>
            </w:pPr>
            <w:r>
              <w:rPr>
                <w:rFonts w:hint="eastAsia"/>
                <w:szCs w:val="21"/>
                <w:highlight w:val="none"/>
              </w:rPr>
              <w:t>拟在本工程任职</w:t>
            </w:r>
          </w:p>
        </w:tc>
        <w:tc>
          <w:tcPr>
            <w:tcW w:w="2126" w:type="dxa"/>
            <w:shd w:val="clear" w:color="auto" w:fill="auto"/>
            <w:vAlign w:val="center"/>
          </w:tcPr>
          <w:p>
            <w:pPr>
              <w:jc w:val="center"/>
              <w:rPr>
                <w:szCs w:val="21"/>
                <w:highlight w:val="none"/>
              </w:rPr>
            </w:pPr>
            <w:r>
              <w:rPr>
                <w:rFonts w:hint="eastAsia"/>
                <w:szCs w:val="21"/>
                <w:highlight w:val="none"/>
              </w:rPr>
              <w:t>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shd w:val="clear" w:color="auto" w:fill="auto"/>
            <w:vAlign w:val="center"/>
          </w:tcPr>
          <w:p>
            <w:pPr>
              <w:jc w:val="center"/>
              <w:rPr>
                <w:szCs w:val="21"/>
                <w:highlight w:val="none"/>
              </w:rPr>
            </w:pPr>
            <w:r>
              <w:rPr>
                <w:rFonts w:hint="eastAsia"/>
                <w:szCs w:val="21"/>
                <w:highlight w:val="none"/>
              </w:rPr>
              <w:t>注册建造师执业资格等级</w:t>
            </w:r>
          </w:p>
        </w:tc>
        <w:tc>
          <w:tcPr>
            <w:tcW w:w="1275" w:type="dxa"/>
            <w:shd w:val="clear" w:color="auto" w:fill="auto"/>
            <w:vAlign w:val="center"/>
          </w:tcPr>
          <w:p>
            <w:pPr>
              <w:jc w:val="center"/>
              <w:rPr>
                <w:szCs w:val="21"/>
                <w:highlight w:val="none"/>
              </w:rPr>
            </w:pPr>
            <w:r>
              <w:rPr>
                <w:rFonts w:hint="eastAsia"/>
                <w:szCs w:val="21"/>
                <w:highlight w:val="none"/>
              </w:rPr>
              <w:t xml:space="preserve">      级</w:t>
            </w:r>
          </w:p>
        </w:tc>
        <w:tc>
          <w:tcPr>
            <w:tcW w:w="1843" w:type="dxa"/>
            <w:shd w:val="clear" w:color="auto" w:fill="auto"/>
            <w:vAlign w:val="center"/>
          </w:tcPr>
          <w:p>
            <w:pPr>
              <w:jc w:val="center"/>
              <w:rPr>
                <w:szCs w:val="21"/>
                <w:highlight w:val="none"/>
              </w:rPr>
            </w:pPr>
            <w:r>
              <w:rPr>
                <w:rFonts w:hint="eastAsia"/>
                <w:szCs w:val="21"/>
                <w:highlight w:val="none"/>
              </w:rPr>
              <w:t>建造师专业</w:t>
            </w: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shd w:val="clear" w:color="auto" w:fill="auto"/>
            <w:vAlign w:val="center"/>
          </w:tcPr>
          <w:p>
            <w:pPr>
              <w:jc w:val="center"/>
              <w:rPr>
                <w:szCs w:val="21"/>
                <w:highlight w:val="none"/>
              </w:rPr>
            </w:pPr>
            <w:r>
              <w:rPr>
                <w:rFonts w:hint="eastAsia"/>
                <w:szCs w:val="21"/>
                <w:highlight w:val="none"/>
              </w:rPr>
              <w:t>安全生产考核合格证书</w:t>
            </w:r>
          </w:p>
        </w:tc>
        <w:tc>
          <w:tcPr>
            <w:tcW w:w="5244" w:type="dxa"/>
            <w:gridSpan w:val="3"/>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shd w:val="clear" w:color="auto" w:fill="auto"/>
            <w:vAlign w:val="center"/>
          </w:tcPr>
          <w:p>
            <w:pPr>
              <w:jc w:val="center"/>
              <w:rPr>
                <w:szCs w:val="21"/>
                <w:highlight w:val="none"/>
              </w:rPr>
            </w:pPr>
            <w:r>
              <w:rPr>
                <w:rFonts w:hint="eastAsia"/>
                <w:szCs w:val="21"/>
                <w:highlight w:val="none"/>
              </w:rPr>
              <w:t>毕业学校</w:t>
            </w:r>
          </w:p>
        </w:tc>
        <w:tc>
          <w:tcPr>
            <w:tcW w:w="7413" w:type="dxa"/>
            <w:gridSpan w:val="5"/>
            <w:shd w:val="clear" w:color="auto" w:fill="auto"/>
            <w:vAlign w:val="center"/>
          </w:tcPr>
          <w:p>
            <w:pPr>
              <w:ind w:firstLine="840" w:firstLineChars="400"/>
              <w:rPr>
                <w:szCs w:val="21"/>
                <w:highlight w:val="none"/>
              </w:rPr>
            </w:pPr>
            <w:r>
              <w:rPr>
                <w:rFonts w:hint="eastAsia"/>
                <w:szCs w:val="21"/>
                <w:highlight w:val="none"/>
              </w:rPr>
              <w:t>年毕业于                  学校            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505" w:type="dxa"/>
            <w:gridSpan w:val="6"/>
            <w:shd w:val="clear" w:color="auto" w:fill="auto"/>
            <w:vAlign w:val="center"/>
          </w:tcPr>
          <w:p>
            <w:pPr>
              <w:jc w:val="center"/>
              <w:rPr>
                <w:szCs w:val="21"/>
                <w:highlight w:val="none"/>
              </w:rPr>
            </w:pPr>
            <w:r>
              <w:rPr>
                <w:rFonts w:hint="eastAsia"/>
                <w:szCs w:val="21"/>
                <w:highlight w:val="none"/>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shd w:val="clear" w:color="auto" w:fill="auto"/>
            <w:vAlign w:val="center"/>
          </w:tcPr>
          <w:p>
            <w:pPr>
              <w:jc w:val="center"/>
              <w:rPr>
                <w:szCs w:val="21"/>
                <w:highlight w:val="none"/>
              </w:rPr>
            </w:pPr>
            <w:r>
              <w:rPr>
                <w:rFonts w:hint="eastAsia"/>
                <w:szCs w:val="21"/>
                <w:highlight w:val="none"/>
              </w:rPr>
              <w:t>时  间</w:t>
            </w:r>
          </w:p>
        </w:tc>
        <w:tc>
          <w:tcPr>
            <w:tcW w:w="3444" w:type="dxa"/>
            <w:gridSpan w:val="3"/>
            <w:shd w:val="clear" w:color="auto" w:fill="auto"/>
            <w:vAlign w:val="center"/>
          </w:tcPr>
          <w:p>
            <w:pPr>
              <w:jc w:val="center"/>
              <w:rPr>
                <w:szCs w:val="21"/>
                <w:highlight w:val="none"/>
              </w:rPr>
            </w:pPr>
            <w:r>
              <w:rPr>
                <w:rFonts w:hint="eastAsia"/>
                <w:szCs w:val="21"/>
                <w:highlight w:val="none"/>
              </w:rPr>
              <w:t>参加过的类似项目名称</w:t>
            </w:r>
          </w:p>
        </w:tc>
        <w:tc>
          <w:tcPr>
            <w:tcW w:w="1843" w:type="dxa"/>
            <w:shd w:val="clear" w:color="auto" w:fill="auto"/>
            <w:vAlign w:val="center"/>
          </w:tcPr>
          <w:p>
            <w:pPr>
              <w:jc w:val="center"/>
              <w:rPr>
                <w:szCs w:val="21"/>
                <w:highlight w:val="none"/>
              </w:rPr>
            </w:pPr>
            <w:r>
              <w:rPr>
                <w:rFonts w:hint="eastAsia"/>
                <w:szCs w:val="21"/>
                <w:highlight w:val="none"/>
              </w:rPr>
              <w:t>工程概况说明</w:t>
            </w:r>
          </w:p>
        </w:tc>
        <w:tc>
          <w:tcPr>
            <w:tcW w:w="2126" w:type="dxa"/>
            <w:shd w:val="clear" w:color="auto" w:fill="auto"/>
            <w:vAlign w:val="center"/>
          </w:tcPr>
          <w:p>
            <w:pPr>
              <w:jc w:val="center"/>
              <w:rPr>
                <w:szCs w:val="21"/>
                <w:highlight w:val="none"/>
              </w:rPr>
            </w:pPr>
            <w:r>
              <w:rPr>
                <w:rFonts w:hint="eastAsia"/>
                <w:szCs w:val="21"/>
                <w:highlight w:val="none"/>
              </w:rPr>
              <w:t>发包人及联系电话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shd w:val="clear" w:color="auto" w:fill="auto"/>
            <w:vAlign w:val="center"/>
          </w:tcPr>
          <w:p>
            <w:pPr>
              <w:rPr>
                <w:highlight w:val="none"/>
              </w:rPr>
            </w:pPr>
          </w:p>
        </w:tc>
        <w:tc>
          <w:tcPr>
            <w:tcW w:w="1035" w:type="dxa"/>
            <w:shd w:val="clear" w:color="auto" w:fill="auto"/>
            <w:vAlign w:val="center"/>
          </w:tcPr>
          <w:p>
            <w:pPr>
              <w:rPr>
                <w:highlight w:val="none"/>
              </w:rPr>
            </w:pPr>
          </w:p>
        </w:tc>
        <w:tc>
          <w:tcPr>
            <w:tcW w:w="1134" w:type="dxa"/>
            <w:shd w:val="clear" w:color="auto" w:fill="auto"/>
            <w:vAlign w:val="center"/>
          </w:tcPr>
          <w:p>
            <w:pPr>
              <w:rPr>
                <w:highlight w:val="none"/>
              </w:rPr>
            </w:pPr>
          </w:p>
        </w:tc>
        <w:tc>
          <w:tcPr>
            <w:tcW w:w="1275" w:type="dxa"/>
            <w:shd w:val="clear" w:color="auto" w:fill="auto"/>
            <w:vAlign w:val="center"/>
          </w:tcPr>
          <w:p>
            <w:pPr>
              <w:rPr>
                <w:highlight w:val="none"/>
              </w:rPr>
            </w:pPr>
          </w:p>
        </w:tc>
        <w:tc>
          <w:tcPr>
            <w:tcW w:w="1843" w:type="dxa"/>
            <w:shd w:val="clear" w:color="auto" w:fill="auto"/>
            <w:vAlign w:val="center"/>
          </w:tcPr>
          <w:p>
            <w:pPr>
              <w:rPr>
                <w:highlight w:val="none"/>
              </w:rPr>
            </w:pPr>
          </w:p>
        </w:tc>
        <w:tc>
          <w:tcPr>
            <w:tcW w:w="2126" w:type="dxa"/>
            <w:shd w:val="clear" w:color="auto" w:fill="auto"/>
            <w:vAlign w:val="center"/>
          </w:tcPr>
          <w:p>
            <w:pPr>
              <w:rPr>
                <w:highlight w:val="none"/>
              </w:rPr>
            </w:pPr>
          </w:p>
        </w:tc>
      </w:tr>
    </w:tbl>
    <w:p>
      <w:pPr>
        <w:spacing w:line="420" w:lineRule="exact"/>
        <w:rPr>
          <w:rFonts w:ascii="黑体" w:eastAsia="黑体"/>
          <w:szCs w:val="21"/>
          <w:highlight w:val="none"/>
        </w:rPr>
      </w:pPr>
      <w:r>
        <w:rPr>
          <w:szCs w:val="21"/>
          <w:highlight w:val="none"/>
        </w:rPr>
        <w:br w:type="page"/>
      </w:r>
      <w:r>
        <w:rPr>
          <w:rFonts w:hint="eastAsia" w:ascii="黑体" w:eastAsia="黑体"/>
          <w:szCs w:val="21"/>
          <w:highlight w:val="none"/>
        </w:rPr>
        <w:t>附2：主要项目管理人员简历表</w:t>
      </w:r>
    </w:p>
    <w:p>
      <w:pPr>
        <w:spacing w:line="420" w:lineRule="exact"/>
        <w:rPr>
          <w:szCs w:val="21"/>
          <w:highlight w:val="none"/>
        </w:rPr>
      </w:pPr>
      <w:r>
        <w:rPr>
          <w:rFonts w:hint="eastAsia"/>
          <w:szCs w:val="21"/>
          <w:highlight w:val="none"/>
        </w:rPr>
        <w:t>主要项目管理人员指项目副经理、技术负责人、合同商务负责人、专职安全生产管理人员等</w:t>
      </w:r>
    </w:p>
    <w:p>
      <w:pPr>
        <w:spacing w:line="420" w:lineRule="exact"/>
        <w:rPr>
          <w:szCs w:val="21"/>
          <w:highlight w:val="none"/>
        </w:rPr>
      </w:pPr>
      <w:r>
        <w:rPr>
          <w:rFonts w:hint="eastAsia"/>
          <w:szCs w:val="21"/>
          <w:highlight w:val="none"/>
        </w:rPr>
        <w:t>岗位人员。应附注册资格证书、身份证、职称证、学历证、养老保险复印件，专职安全生产</w:t>
      </w:r>
    </w:p>
    <w:p>
      <w:pPr>
        <w:spacing w:line="420" w:lineRule="exact"/>
        <w:rPr>
          <w:szCs w:val="21"/>
          <w:highlight w:val="none"/>
        </w:rPr>
      </w:pPr>
      <w:r>
        <w:rPr>
          <w:rFonts w:hint="eastAsia"/>
          <w:szCs w:val="21"/>
          <w:highlight w:val="none"/>
        </w:rPr>
        <w:t>管理人员应附安全生产考核合格证书，主要业绩须附合同协议书。</w:t>
      </w:r>
    </w:p>
    <w:p>
      <w:pPr>
        <w:spacing w:line="640" w:lineRule="exact"/>
        <w:ind w:firstLine="630" w:firstLineChars="300"/>
        <w:rPr>
          <w:szCs w:val="21"/>
          <w:highlight w:val="none"/>
        </w:rPr>
      </w:pPr>
      <w:r>
        <w:rPr>
          <w:rFonts w:hint="eastAsia"/>
          <w:szCs w:val="21"/>
          <w:highlight w:val="none"/>
        </w:rPr>
        <w:t>岗位名称</w:t>
      </w:r>
    </w:p>
    <w:p>
      <w:pPr>
        <w:spacing w:line="640" w:lineRule="exact"/>
        <w:ind w:firstLine="630" w:firstLineChars="300"/>
        <w:rPr>
          <w:szCs w:val="21"/>
          <w:highlight w:val="none"/>
        </w:rPr>
      </w:pPr>
      <w:r>
        <w:rPr>
          <w:rFonts w:hint="eastAsia"/>
          <w:szCs w:val="21"/>
          <w:highlight w:val="none"/>
        </w:rPr>
        <w:t>姓    名                                年    龄</w:t>
      </w:r>
    </w:p>
    <w:p>
      <w:pPr>
        <w:spacing w:line="640" w:lineRule="exact"/>
        <w:ind w:firstLine="630" w:firstLineChars="300"/>
        <w:rPr>
          <w:szCs w:val="21"/>
          <w:highlight w:val="none"/>
        </w:rPr>
      </w:pPr>
      <w:r>
        <w:rPr>
          <w:rFonts w:hint="eastAsia"/>
          <w:szCs w:val="21"/>
          <w:highlight w:val="none"/>
        </w:rPr>
        <w:t>性    别                                毕业学校</w:t>
      </w:r>
    </w:p>
    <w:p>
      <w:pPr>
        <w:spacing w:line="640" w:lineRule="exact"/>
        <w:ind w:firstLine="630" w:firstLineChars="300"/>
        <w:rPr>
          <w:szCs w:val="21"/>
          <w:highlight w:val="none"/>
        </w:rPr>
      </w:pPr>
      <w:r>
        <w:rPr>
          <w:rFonts w:hint="eastAsia"/>
          <w:szCs w:val="21"/>
          <w:highlight w:val="none"/>
        </w:rPr>
        <w:t>学历和专业                              毕业时间</w:t>
      </w:r>
    </w:p>
    <w:p>
      <w:pPr>
        <w:spacing w:line="640" w:lineRule="exact"/>
        <w:ind w:firstLine="420" w:firstLineChars="200"/>
        <w:rPr>
          <w:szCs w:val="21"/>
          <w:highlight w:val="none"/>
        </w:rPr>
      </w:pPr>
      <w:r>
        <w:rPr>
          <w:rFonts w:hint="eastAsia"/>
          <w:szCs w:val="21"/>
          <w:highlight w:val="none"/>
        </w:rPr>
        <w:t>拥有的执业资格                            专业职称</w:t>
      </w:r>
    </w:p>
    <w:p>
      <w:pPr>
        <w:spacing w:line="640" w:lineRule="exact"/>
        <w:ind w:firstLine="315" w:firstLineChars="150"/>
        <w:rPr>
          <w:szCs w:val="21"/>
          <w:highlight w:val="none"/>
        </w:rPr>
      </w:pPr>
      <w:r>
        <w:rPr>
          <w:rFonts w:hint="eastAsia"/>
          <w:szCs w:val="21"/>
          <w:highlight w:val="none"/>
        </w:rPr>
        <w:t>执业资格证书编号                           工作年限</w:t>
      </w:r>
    </w:p>
    <w:p>
      <w:pPr>
        <w:ind w:firstLine="1050" w:firstLineChars="500"/>
        <w:rPr>
          <w:szCs w:val="21"/>
          <w:highlight w:val="none"/>
        </w:rPr>
      </w:pPr>
      <w:r>
        <w:rPr>
          <w:rFonts w:hint="eastAsia"/>
          <w:szCs w:val="21"/>
          <w:highlight w:val="none"/>
        </w:rPr>
        <w:t>主</w:t>
      </w:r>
    </w:p>
    <w:p>
      <w:pPr>
        <w:ind w:firstLine="1050" w:firstLineChars="500"/>
        <w:rPr>
          <w:szCs w:val="21"/>
          <w:highlight w:val="none"/>
        </w:rPr>
      </w:pPr>
      <w:r>
        <w:rPr>
          <w:rFonts w:hint="eastAsia"/>
          <w:szCs w:val="21"/>
          <w:highlight w:val="none"/>
        </w:rPr>
        <w:t>要</w:t>
      </w:r>
    </w:p>
    <w:p>
      <w:pPr>
        <w:ind w:firstLine="1050" w:firstLineChars="500"/>
        <w:rPr>
          <w:szCs w:val="21"/>
          <w:highlight w:val="none"/>
        </w:rPr>
      </w:pPr>
      <w:r>
        <w:rPr>
          <w:rFonts w:hint="eastAsia"/>
          <w:szCs w:val="21"/>
          <w:highlight w:val="none"/>
        </w:rPr>
        <w:t>工</w:t>
      </w:r>
    </w:p>
    <w:p>
      <w:pPr>
        <w:ind w:firstLine="1050" w:firstLineChars="500"/>
        <w:rPr>
          <w:szCs w:val="21"/>
          <w:highlight w:val="none"/>
        </w:rPr>
      </w:pPr>
      <w:r>
        <w:rPr>
          <w:rFonts w:hint="eastAsia"/>
          <w:szCs w:val="21"/>
          <w:highlight w:val="none"/>
        </w:rPr>
        <w:t>作</w:t>
      </w:r>
    </w:p>
    <w:p>
      <w:pPr>
        <w:ind w:firstLine="1050" w:firstLineChars="500"/>
        <w:rPr>
          <w:szCs w:val="21"/>
          <w:highlight w:val="none"/>
        </w:rPr>
      </w:pPr>
      <w:r>
        <w:rPr>
          <w:rFonts w:hint="eastAsia"/>
          <w:szCs w:val="21"/>
          <w:highlight w:val="none"/>
        </w:rPr>
        <w:t>业</w:t>
      </w:r>
    </w:p>
    <w:p>
      <w:pPr>
        <w:ind w:firstLine="1050" w:firstLineChars="500"/>
        <w:rPr>
          <w:szCs w:val="21"/>
          <w:highlight w:val="none"/>
        </w:rPr>
      </w:pPr>
      <w:r>
        <w:rPr>
          <w:rFonts w:hint="eastAsia"/>
          <w:szCs w:val="21"/>
          <w:highlight w:val="none"/>
        </w:rPr>
        <w:t>绩</w:t>
      </w:r>
    </w:p>
    <w:p>
      <w:pPr>
        <w:ind w:firstLine="1050" w:firstLineChars="500"/>
        <w:rPr>
          <w:szCs w:val="21"/>
          <w:highlight w:val="none"/>
        </w:rPr>
      </w:pPr>
      <w:r>
        <w:rPr>
          <w:rFonts w:hint="eastAsia"/>
          <w:szCs w:val="21"/>
          <w:highlight w:val="none"/>
        </w:rPr>
        <w:t>及</w:t>
      </w:r>
    </w:p>
    <w:p>
      <w:pPr>
        <w:ind w:firstLine="1050" w:firstLineChars="500"/>
        <w:rPr>
          <w:szCs w:val="21"/>
          <w:highlight w:val="none"/>
        </w:rPr>
      </w:pPr>
      <w:r>
        <w:rPr>
          <w:rFonts w:hint="eastAsia"/>
          <w:szCs w:val="21"/>
          <w:highlight w:val="none"/>
        </w:rPr>
        <w:t>担</w:t>
      </w:r>
    </w:p>
    <w:p>
      <w:pPr>
        <w:ind w:firstLine="1050" w:firstLineChars="500"/>
        <w:rPr>
          <w:szCs w:val="21"/>
          <w:highlight w:val="none"/>
        </w:rPr>
      </w:pPr>
      <w:r>
        <w:rPr>
          <w:rFonts w:hint="eastAsia"/>
          <w:szCs w:val="21"/>
          <w:highlight w:val="none"/>
        </w:rPr>
        <w:t>任</w:t>
      </w:r>
    </w:p>
    <w:p>
      <w:pPr>
        <w:ind w:firstLine="1050" w:firstLineChars="500"/>
        <w:rPr>
          <w:szCs w:val="21"/>
          <w:highlight w:val="none"/>
        </w:rPr>
      </w:pPr>
      <w:r>
        <w:rPr>
          <w:rFonts w:hint="eastAsia"/>
          <w:szCs w:val="21"/>
          <w:highlight w:val="none"/>
        </w:rPr>
        <w:t>的</w:t>
      </w:r>
    </w:p>
    <w:p>
      <w:pPr>
        <w:ind w:firstLine="1050" w:firstLineChars="500"/>
        <w:rPr>
          <w:szCs w:val="21"/>
          <w:highlight w:val="none"/>
        </w:rPr>
      </w:pPr>
      <w:r>
        <w:rPr>
          <w:rFonts w:hint="eastAsia"/>
          <w:szCs w:val="21"/>
          <w:highlight w:val="none"/>
        </w:rPr>
        <w:t>主</w:t>
      </w:r>
    </w:p>
    <w:p>
      <w:pPr>
        <w:ind w:firstLine="1050" w:firstLineChars="500"/>
        <w:rPr>
          <w:szCs w:val="21"/>
          <w:highlight w:val="none"/>
        </w:rPr>
      </w:pPr>
      <w:r>
        <w:rPr>
          <w:rFonts w:hint="eastAsia"/>
          <w:szCs w:val="21"/>
          <w:highlight w:val="none"/>
        </w:rPr>
        <w:t>要</w:t>
      </w:r>
    </w:p>
    <w:p>
      <w:pPr>
        <w:ind w:firstLine="1050" w:firstLineChars="500"/>
        <w:rPr>
          <w:szCs w:val="21"/>
          <w:highlight w:val="none"/>
        </w:rPr>
      </w:pPr>
      <w:r>
        <w:rPr>
          <w:rFonts w:hint="eastAsia"/>
          <w:szCs w:val="21"/>
          <w:highlight w:val="none"/>
        </w:rPr>
        <w:t>工</w:t>
      </w:r>
    </w:p>
    <w:p>
      <w:pPr>
        <w:ind w:firstLine="1050" w:firstLineChars="500"/>
        <w:rPr>
          <w:szCs w:val="21"/>
          <w:highlight w:val="none"/>
        </w:rPr>
      </w:pPr>
      <w:r>
        <w:rPr>
          <w:rFonts w:hint="eastAsia"/>
          <w:szCs w:val="21"/>
          <w:highlight w:val="none"/>
        </w:rPr>
        <w:t>作</w:t>
      </w:r>
    </w:p>
    <w:p>
      <w:pPr>
        <w:rPr>
          <w:rFonts w:ascii="黑体" w:eastAsia="黑体"/>
          <w:szCs w:val="21"/>
          <w:highlight w:val="none"/>
        </w:rPr>
      </w:pPr>
      <w:r>
        <w:rPr>
          <w:szCs w:val="21"/>
          <w:highlight w:val="none"/>
        </w:rPr>
        <w:br w:type="page"/>
      </w:r>
      <w:r>
        <w:rPr>
          <w:rFonts w:hint="eastAsia" w:ascii="黑体" w:eastAsia="黑体"/>
          <w:szCs w:val="21"/>
          <w:highlight w:val="none"/>
        </w:rPr>
        <w:t>附3：承诺书</w:t>
      </w:r>
    </w:p>
    <w:p>
      <w:pPr>
        <w:snapToGrid w:val="0"/>
        <w:spacing w:line="320" w:lineRule="exact"/>
        <w:jc w:val="center"/>
        <w:rPr>
          <w:rFonts w:hint="eastAsia" w:ascii="宋体" w:hAnsi="宋体"/>
          <w:b/>
          <w:color w:val="auto"/>
          <w:szCs w:val="21"/>
          <w:highlight w:val="none"/>
        </w:rPr>
      </w:pPr>
      <w:r>
        <w:rPr>
          <w:rFonts w:hint="eastAsia" w:ascii="宋体" w:hAnsi="宋体"/>
          <w:b/>
          <w:color w:val="auto"/>
          <w:szCs w:val="21"/>
          <w:highlight w:val="none"/>
          <w:u w:val="single"/>
        </w:rPr>
        <w:t>（</w:t>
      </w:r>
      <w:r>
        <w:rPr>
          <w:rFonts w:hint="eastAsia" w:ascii="宋体" w:hAnsi="宋体"/>
          <w:b/>
          <w:color w:val="auto"/>
          <w:szCs w:val="21"/>
          <w:highlight w:val="none"/>
          <w:u w:val="single"/>
          <w:lang w:val="en-US" w:eastAsia="zh-CN"/>
        </w:rPr>
        <w:t>项目名称</w:t>
      </w:r>
      <w:r>
        <w:rPr>
          <w:rFonts w:hint="eastAsia" w:ascii="宋体" w:hAnsi="宋体"/>
          <w:b/>
          <w:color w:val="auto"/>
          <w:szCs w:val="21"/>
          <w:highlight w:val="none"/>
          <w:u w:val="single"/>
        </w:rPr>
        <w:t>）</w:t>
      </w:r>
      <w:r>
        <w:rPr>
          <w:rFonts w:hint="eastAsia" w:ascii="宋体" w:hAnsi="宋体"/>
          <w:b/>
          <w:color w:val="auto"/>
          <w:szCs w:val="21"/>
          <w:highlight w:val="none"/>
        </w:rPr>
        <w:t>承诺函</w:t>
      </w:r>
    </w:p>
    <w:p>
      <w:pPr>
        <w:snapToGrid w:val="0"/>
        <w:spacing w:line="320" w:lineRule="exact"/>
        <w:jc w:val="center"/>
        <w:rPr>
          <w:rFonts w:hint="eastAsia" w:ascii="宋体" w:hAnsi="宋体"/>
          <w:b/>
          <w:color w:val="auto"/>
          <w:szCs w:val="21"/>
          <w:highlight w:val="none"/>
        </w:rPr>
      </w:pPr>
    </w:p>
    <w:p>
      <w:pPr>
        <w:snapToGrid w:val="0"/>
        <w:spacing w:line="320" w:lineRule="exact"/>
        <w:rPr>
          <w:rFonts w:hint="default" w:ascii="宋体" w:hAnsi="宋体" w:eastAsia="宋体"/>
          <w:color w:val="auto"/>
          <w:szCs w:val="21"/>
          <w:highlight w:val="none"/>
          <w:u w:val="single"/>
          <w:lang w:val="en-US" w:eastAsia="zh-CN"/>
        </w:rPr>
      </w:pPr>
      <w:r>
        <w:rPr>
          <w:rFonts w:hint="eastAsia" w:ascii="宋体" w:hAnsi="宋体"/>
          <w:color w:val="auto"/>
          <w:szCs w:val="21"/>
          <w:highlight w:val="none"/>
        </w:rPr>
        <w:t>致业主：</w:t>
      </w:r>
      <w:r>
        <w:rPr>
          <w:rFonts w:hint="eastAsia" w:ascii="宋体" w:hAnsi="宋体"/>
          <w:color w:val="auto"/>
          <w:szCs w:val="21"/>
          <w:highlight w:val="none"/>
          <w:u w:val="single"/>
          <w:lang w:val="en-US" w:eastAsia="zh-CN"/>
        </w:rPr>
        <w:t xml:space="preserve">         </w:t>
      </w:r>
    </w:p>
    <w:p>
      <w:pPr>
        <w:snapToGrid w:val="0"/>
        <w:spacing w:line="320" w:lineRule="exact"/>
        <w:ind w:firstLine="420" w:firstLineChars="200"/>
        <w:rPr>
          <w:rFonts w:hint="eastAsia" w:ascii="宋体" w:hAnsi="宋体"/>
          <w:szCs w:val="21"/>
          <w:highlight w:val="none"/>
        </w:rPr>
      </w:pPr>
      <w:r>
        <w:rPr>
          <w:rFonts w:hint="eastAsia" w:ascii="宋体" w:hAnsi="宋体"/>
          <w:color w:val="auto"/>
          <w:szCs w:val="21"/>
          <w:highlight w:val="none"/>
        </w:rPr>
        <w:t>我方“</w:t>
      </w:r>
      <w:r>
        <w:rPr>
          <w:rFonts w:hint="eastAsia" w:ascii="宋体" w:hAnsi="宋体"/>
          <w:color w:val="auto"/>
          <w:szCs w:val="21"/>
          <w:highlight w:val="none"/>
          <w:u w:val="single"/>
          <w:lang w:val="en-US" w:eastAsia="zh-CN"/>
        </w:rPr>
        <w:t xml:space="preserve">        </w:t>
      </w:r>
      <w:r>
        <w:rPr>
          <w:rFonts w:hint="eastAsia" w:ascii="宋体" w:hAnsi="宋体"/>
          <w:color w:val="auto"/>
          <w:szCs w:val="21"/>
          <w:highlight w:val="none"/>
        </w:rPr>
        <w:t>”在参与“</w:t>
      </w:r>
      <w:r>
        <w:rPr>
          <w:rFonts w:hint="eastAsia" w:ascii="宋体" w:hAnsi="宋体"/>
          <w:color w:val="auto"/>
          <w:szCs w:val="21"/>
          <w:highlight w:val="none"/>
          <w:u w:val="single"/>
          <w:lang w:val="en-US" w:eastAsia="zh-CN"/>
        </w:rPr>
        <w:t xml:space="preserve">    </w:t>
      </w:r>
      <w:r>
        <w:rPr>
          <w:rFonts w:hint="eastAsia" w:ascii="宋体" w:hAnsi="宋体"/>
          <w:color w:val="auto"/>
          <w:szCs w:val="21"/>
          <w:highlight w:val="none"/>
        </w:rPr>
        <w:t>”招标中中</w:t>
      </w:r>
      <w:r>
        <w:rPr>
          <w:rFonts w:hint="eastAsia" w:ascii="宋体" w:hAnsi="宋体"/>
          <w:szCs w:val="21"/>
          <w:highlight w:val="none"/>
        </w:rPr>
        <w:t>标，我方将严格履行投标文件及以下承诺的条件。</w:t>
      </w:r>
    </w:p>
    <w:p>
      <w:pPr>
        <w:snapToGrid w:val="0"/>
        <w:spacing w:line="320" w:lineRule="exact"/>
        <w:ind w:firstLine="420" w:firstLineChars="200"/>
        <w:rPr>
          <w:rFonts w:hint="eastAsia" w:ascii="宋体" w:hAnsi="宋体"/>
          <w:szCs w:val="21"/>
          <w:highlight w:val="none"/>
        </w:rPr>
      </w:pPr>
      <w:r>
        <w:rPr>
          <w:rFonts w:hint="eastAsia" w:ascii="宋体" w:hAnsi="宋体"/>
          <w:caps/>
          <w:szCs w:val="21"/>
          <w:highlight w:val="none"/>
        </w:rPr>
        <w:t>1、我方承诺：(1)</w:t>
      </w:r>
      <w:r>
        <w:rPr>
          <w:rFonts w:hint="eastAsia" w:ascii="宋体" w:hAnsi="宋体"/>
          <w:szCs w:val="21"/>
          <w:highlight w:val="none"/>
        </w:rPr>
        <w:t>承包商需选择满足工程建设需要的项目主要管理人员。无论何种原因变更投标项目经理（项目负责人）、总工（项目技术负责人），需得到业主的书面批准，</w:t>
      </w:r>
      <w:r>
        <w:rPr>
          <w:rFonts w:hint="eastAsia" w:ascii="宋体" w:hAnsi="宋体"/>
          <w:szCs w:val="21"/>
          <w:highlight w:val="none"/>
          <w:lang w:val="en-US" w:eastAsia="zh-CN"/>
        </w:rPr>
        <w:t>并且接受处罚</w:t>
      </w:r>
      <w:r>
        <w:rPr>
          <w:rFonts w:hint="eastAsia" w:ascii="宋体" w:hAnsi="宋体"/>
          <w:szCs w:val="21"/>
          <w:highlight w:val="none"/>
        </w:rPr>
        <w:t>；同时业主保留因此重新选择其他承包商的权利。项目经理（项目负责人）、总工（项目技术负责人）、安全副经理（项目专职安全负责人）、生产副经理必须为专职，不得兼任其他职务,其他主要管理人员无论何种原因不能到位，替换人员必须征得业主审批同意。(</w:t>
      </w:r>
      <w:r>
        <w:rPr>
          <w:rFonts w:hint="eastAsia" w:ascii="宋体" w:hAnsi="宋体"/>
          <w:szCs w:val="21"/>
          <w:highlight w:val="none"/>
          <w:lang w:val="en-US" w:eastAsia="zh-CN"/>
        </w:rPr>
        <w:t>2</w:t>
      </w:r>
      <w:r>
        <w:rPr>
          <w:rFonts w:hint="eastAsia" w:ascii="宋体" w:hAnsi="宋体"/>
          <w:szCs w:val="21"/>
          <w:highlight w:val="none"/>
        </w:rPr>
        <w:t>)项目负责人/项目经理、总工程师、生产副经理、安全副经理每月出勤率不足</w:t>
      </w:r>
      <w:r>
        <w:rPr>
          <w:rFonts w:ascii="宋体" w:hAnsi="宋体"/>
          <w:szCs w:val="21"/>
          <w:highlight w:val="none"/>
          <w:u w:val="single"/>
        </w:rPr>
        <w:t>8</w:t>
      </w:r>
      <w:r>
        <w:rPr>
          <w:rFonts w:hint="eastAsia" w:ascii="宋体" w:hAnsi="宋体"/>
          <w:szCs w:val="21"/>
          <w:highlight w:val="none"/>
          <w:u w:val="single"/>
        </w:rPr>
        <w:t>5%，</w:t>
      </w:r>
      <w:r>
        <w:rPr>
          <w:rFonts w:hint="eastAsia" w:ascii="宋体" w:hAnsi="宋体"/>
          <w:szCs w:val="21"/>
          <w:highlight w:val="none"/>
        </w:rPr>
        <w:t>或未完成月度计划或安全质量得到通报批评时，各处一次扣罚承包商工程款人民币5万元、3万元、3万元、3万元工程款；上述处罚可连续执行。(</w:t>
      </w:r>
      <w:r>
        <w:rPr>
          <w:rFonts w:hint="eastAsia" w:ascii="宋体" w:hAnsi="宋体"/>
          <w:szCs w:val="21"/>
          <w:highlight w:val="none"/>
          <w:lang w:val="en-US" w:eastAsia="zh-CN"/>
        </w:rPr>
        <w:t>3</w:t>
      </w:r>
      <w:r>
        <w:rPr>
          <w:rFonts w:hint="eastAsia" w:ascii="宋体" w:hAnsi="宋体"/>
          <w:szCs w:val="21"/>
          <w:highlight w:val="none"/>
        </w:rPr>
        <w:t>)因承包商主要原因连续两月完成月度计划不到80%的，一次扣罚承包商20万元工程款；因承包商主要原因连续两月完成月度计划60%以下，或安全、质量连续两月得到业主通报批评的，一次扣罚承包商50万元工程款，而且业主保留更换项目班子的权力。</w:t>
      </w:r>
    </w:p>
    <w:p>
      <w:pPr>
        <w:snapToGrid w:val="0"/>
        <w:spacing w:line="320" w:lineRule="exact"/>
        <w:ind w:firstLine="420" w:firstLineChars="200"/>
        <w:rPr>
          <w:rFonts w:hint="eastAsia" w:ascii="宋体" w:hAnsi="宋体"/>
          <w:caps/>
          <w:szCs w:val="21"/>
          <w:highlight w:val="none"/>
        </w:rPr>
      </w:pPr>
      <w:r>
        <w:rPr>
          <w:rFonts w:hint="eastAsia" w:ascii="宋体" w:hAnsi="宋体"/>
          <w:caps/>
          <w:szCs w:val="21"/>
          <w:highlight w:val="none"/>
        </w:rPr>
        <w:t>2、我方承诺：在收到业主通知后，将迅速组织主要管理人员进场（项目经理、总工程师、协调负责人以及前期主要负责人）开展水电报装、全线的线路调查、铺轨基地建设等准备工作。</w:t>
      </w:r>
    </w:p>
    <w:p>
      <w:pPr>
        <w:snapToGrid w:val="0"/>
        <w:spacing w:line="320" w:lineRule="exact"/>
        <w:ind w:firstLine="420" w:firstLineChars="200"/>
        <w:rPr>
          <w:rFonts w:hint="eastAsia" w:ascii="宋体" w:hAnsi="宋体"/>
          <w:caps/>
          <w:szCs w:val="21"/>
          <w:highlight w:val="none"/>
        </w:rPr>
      </w:pPr>
      <w:r>
        <w:rPr>
          <w:rFonts w:hint="eastAsia" w:ascii="宋体" w:hAnsi="宋体"/>
          <w:caps/>
          <w:szCs w:val="21"/>
          <w:highlight w:val="none"/>
        </w:rPr>
        <w:t>3、我方承诺：有义务配合业主取得相关施工场地，在业主提供场地后，负责看守并做好周边协调工作。</w:t>
      </w:r>
    </w:p>
    <w:p>
      <w:pPr>
        <w:snapToGrid w:val="0"/>
        <w:spacing w:line="320" w:lineRule="exact"/>
        <w:ind w:firstLine="420" w:firstLineChars="200"/>
        <w:rPr>
          <w:rFonts w:hint="eastAsia" w:ascii="宋体" w:hAnsi="宋体"/>
          <w:caps/>
          <w:szCs w:val="21"/>
          <w:highlight w:val="none"/>
        </w:rPr>
      </w:pPr>
      <w:r>
        <w:rPr>
          <w:rFonts w:hint="eastAsia" w:ascii="宋体" w:hAnsi="宋体"/>
          <w:caps/>
          <w:szCs w:val="21"/>
          <w:highlight w:val="none"/>
        </w:rPr>
        <w:t>4、我方充分理解本工程安全和文明施工的重要性。我方承诺：满足业主对现场的安全和文明施工管理要求，确保安全文明措施资金的投入，严格兑现文明施工、安全、质量目标。</w:t>
      </w:r>
    </w:p>
    <w:p>
      <w:pPr>
        <w:snapToGrid w:val="0"/>
        <w:spacing w:line="320" w:lineRule="exact"/>
        <w:ind w:firstLine="420" w:firstLineChars="200"/>
        <w:rPr>
          <w:rFonts w:hint="eastAsia" w:ascii="宋体" w:hAnsi="宋体"/>
          <w:caps/>
          <w:szCs w:val="21"/>
          <w:highlight w:val="none"/>
        </w:rPr>
      </w:pPr>
      <w:r>
        <w:rPr>
          <w:rFonts w:hint="eastAsia" w:ascii="宋体" w:hAnsi="宋体"/>
          <w:caps/>
          <w:szCs w:val="21"/>
          <w:highlight w:val="none"/>
        </w:rPr>
        <w:t>5、我方承诺：项目部现场办公后，为业主提供现场办公条件，同时为业主交通提供方便。</w:t>
      </w:r>
    </w:p>
    <w:p>
      <w:pPr>
        <w:snapToGrid w:val="0"/>
        <w:spacing w:line="320" w:lineRule="exact"/>
        <w:ind w:firstLine="420" w:firstLineChars="200"/>
        <w:rPr>
          <w:rFonts w:hint="eastAsia" w:ascii="宋体" w:hAnsi="宋体"/>
          <w:caps/>
          <w:szCs w:val="21"/>
          <w:highlight w:val="none"/>
        </w:rPr>
      </w:pPr>
      <w:r>
        <w:rPr>
          <w:rFonts w:hint="eastAsia" w:ascii="宋体" w:hAnsi="宋体"/>
          <w:caps/>
          <w:szCs w:val="21"/>
          <w:highlight w:val="none"/>
        </w:rPr>
        <w:t>6、我方承诺：业主供应的材料设备，我方派人参加验收合格后妥善保管，并负责相应的保管费用，发生丢失损坏，由我方负责赔偿。</w:t>
      </w:r>
    </w:p>
    <w:p>
      <w:pPr>
        <w:snapToGrid w:val="0"/>
        <w:spacing w:line="320" w:lineRule="exact"/>
        <w:ind w:firstLine="420" w:firstLineChars="200"/>
        <w:rPr>
          <w:rFonts w:hint="eastAsia" w:ascii="宋体" w:hAnsi="宋体"/>
          <w:caps/>
          <w:szCs w:val="21"/>
          <w:highlight w:val="none"/>
        </w:rPr>
      </w:pPr>
      <w:r>
        <w:rPr>
          <w:rFonts w:hint="eastAsia"/>
          <w:caps/>
          <w:szCs w:val="21"/>
          <w:highlight w:val="none"/>
          <w:lang w:val="en-US" w:eastAsia="zh-CN"/>
        </w:rPr>
        <w:t>7</w:t>
      </w:r>
      <w:r>
        <w:rPr>
          <w:rFonts w:hint="eastAsia" w:ascii="宋体" w:hAnsi="宋体"/>
          <w:caps/>
          <w:szCs w:val="21"/>
          <w:highlight w:val="none"/>
        </w:rPr>
        <w:t>、我方承诺：对拟投入的设备和主要材料，确保按投标文件的要求进场，满足施工要求。</w:t>
      </w:r>
    </w:p>
    <w:p>
      <w:pPr>
        <w:snapToGrid w:val="0"/>
        <w:spacing w:line="320" w:lineRule="exact"/>
        <w:ind w:firstLine="420" w:firstLineChars="200"/>
        <w:rPr>
          <w:rFonts w:hint="eastAsia" w:ascii="宋体" w:hAnsi="宋体"/>
          <w:caps/>
          <w:szCs w:val="21"/>
          <w:highlight w:val="none"/>
        </w:rPr>
      </w:pPr>
      <w:r>
        <w:rPr>
          <w:rFonts w:hint="eastAsia"/>
          <w:caps/>
          <w:szCs w:val="21"/>
          <w:highlight w:val="none"/>
          <w:lang w:val="en-US" w:eastAsia="zh-CN"/>
        </w:rPr>
        <w:t>8</w:t>
      </w:r>
      <w:r>
        <w:rPr>
          <w:rFonts w:hint="eastAsia" w:ascii="宋体" w:hAnsi="宋体"/>
          <w:caps/>
          <w:szCs w:val="21"/>
          <w:highlight w:val="none"/>
        </w:rPr>
        <w:t>、我方承诺：将加强分包管理，严禁非法分包、转包，合同规定允许分包的项目，在实施分包前必须经业主同意。</w:t>
      </w:r>
    </w:p>
    <w:p>
      <w:pPr>
        <w:snapToGrid w:val="0"/>
        <w:spacing w:line="320" w:lineRule="exact"/>
        <w:ind w:firstLine="420" w:firstLineChars="200"/>
        <w:rPr>
          <w:rFonts w:ascii="宋体" w:hAnsi="宋体"/>
          <w:caps/>
          <w:szCs w:val="21"/>
          <w:highlight w:val="none"/>
        </w:rPr>
      </w:pPr>
      <w:r>
        <w:rPr>
          <w:rFonts w:hint="eastAsia"/>
          <w:caps/>
          <w:szCs w:val="21"/>
          <w:highlight w:val="none"/>
          <w:lang w:val="en-US" w:eastAsia="zh-CN"/>
        </w:rPr>
        <w:t>9</w:t>
      </w:r>
      <w:r>
        <w:rPr>
          <w:rFonts w:hint="eastAsia" w:ascii="宋体" w:hAnsi="宋体"/>
          <w:caps/>
          <w:szCs w:val="21"/>
          <w:highlight w:val="none"/>
        </w:rPr>
        <w:t>、我方承诺：临时场地的范围和布置方案必须经得业主的批准，遵循业主的要求；在施工过程中遇到社会阻力等影响时，全力协调解决。</w:t>
      </w:r>
    </w:p>
    <w:p>
      <w:pPr>
        <w:snapToGrid w:val="0"/>
        <w:spacing w:line="320" w:lineRule="exact"/>
        <w:ind w:firstLine="420" w:firstLineChars="200"/>
        <w:rPr>
          <w:rFonts w:hint="eastAsia" w:ascii="宋体" w:hAnsi="宋体"/>
          <w:caps/>
          <w:color w:val="auto"/>
          <w:szCs w:val="21"/>
          <w:highlight w:val="none"/>
        </w:rPr>
      </w:pPr>
      <w:r>
        <w:rPr>
          <w:rFonts w:hint="eastAsia" w:ascii="宋体" w:hAnsi="宋体"/>
          <w:caps/>
          <w:color w:val="auto"/>
          <w:szCs w:val="21"/>
          <w:highlight w:val="none"/>
        </w:rPr>
        <w:t>1</w:t>
      </w:r>
      <w:r>
        <w:rPr>
          <w:rFonts w:hint="eastAsia"/>
          <w:caps/>
          <w:color w:val="auto"/>
          <w:szCs w:val="21"/>
          <w:highlight w:val="none"/>
          <w:lang w:val="en-US" w:eastAsia="zh-CN"/>
        </w:rPr>
        <w:t>0</w:t>
      </w:r>
      <w:r>
        <w:rPr>
          <w:rFonts w:hint="eastAsia" w:ascii="宋体" w:hAnsi="宋体"/>
          <w:caps/>
          <w:color w:val="auto"/>
          <w:szCs w:val="21"/>
          <w:highlight w:val="none"/>
        </w:rPr>
        <w:t>、我方承诺：严格执行合同专用条款中配合其他专业在轨行区作业、清理轨行区内遗留垃圾的工作。</w:t>
      </w:r>
    </w:p>
    <w:p>
      <w:pPr>
        <w:snapToGrid w:val="0"/>
        <w:spacing w:line="320" w:lineRule="exact"/>
        <w:ind w:firstLine="420" w:firstLineChars="200"/>
        <w:rPr>
          <w:rFonts w:hint="eastAsia" w:ascii="宋体" w:hAnsi="宋体"/>
          <w:caps/>
          <w:szCs w:val="21"/>
          <w:highlight w:val="none"/>
        </w:rPr>
      </w:pPr>
      <w:r>
        <w:rPr>
          <w:rFonts w:hint="eastAsia" w:ascii="宋体" w:hAnsi="宋体"/>
          <w:caps/>
          <w:color w:val="auto"/>
          <w:szCs w:val="21"/>
          <w:highlight w:val="none"/>
        </w:rPr>
        <w:t>1</w:t>
      </w:r>
      <w:r>
        <w:rPr>
          <w:rFonts w:hint="eastAsia"/>
          <w:caps/>
          <w:color w:val="auto"/>
          <w:szCs w:val="21"/>
          <w:highlight w:val="none"/>
          <w:lang w:val="en-US" w:eastAsia="zh-CN"/>
        </w:rPr>
        <w:t>1</w:t>
      </w:r>
      <w:r>
        <w:rPr>
          <w:rFonts w:hint="eastAsia" w:ascii="宋体" w:hAnsi="宋体"/>
          <w:caps/>
          <w:color w:val="auto"/>
          <w:szCs w:val="21"/>
          <w:highlight w:val="none"/>
        </w:rPr>
        <w:t>、我方承诺：我方同</w:t>
      </w:r>
      <w:r>
        <w:rPr>
          <w:rFonts w:hint="eastAsia" w:ascii="宋体" w:hAnsi="宋体"/>
          <w:caps/>
          <w:szCs w:val="21"/>
          <w:highlight w:val="none"/>
        </w:rPr>
        <w:t>意业主保留对投标文件中的不合理报价进行调整的权利。</w:t>
      </w:r>
    </w:p>
    <w:p>
      <w:pPr>
        <w:snapToGrid w:val="0"/>
        <w:spacing w:line="320" w:lineRule="exact"/>
        <w:ind w:right="420"/>
        <w:rPr>
          <w:rFonts w:hint="eastAsia" w:ascii="宋体" w:hAnsi="宋体"/>
          <w:caps/>
          <w:szCs w:val="21"/>
          <w:highlight w:val="none"/>
        </w:rPr>
      </w:pPr>
    </w:p>
    <w:p>
      <w:pPr>
        <w:snapToGrid w:val="0"/>
        <w:spacing w:line="320" w:lineRule="exact"/>
        <w:jc w:val="center"/>
        <w:rPr>
          <w:rFonts w:hint="eastAsia" w:ascii="宋体" w:hAnsi="宋体" w:eastAsia="宋体"/>
          <w:szCs w:val="21"/>
          <w:highlight w:val="none"/>
          <w:u w:val="single"/>
          <w:lang w:val="en-US" w:eastAsia="zh-CN"/>
        </w:rPr>
      </w:pPr>
      <w:r>
        <w:rPr>
          <w:rFonts w:hint="eastAsia" w:ascii="宋体" w:hAnsi="宋体"/>
          <w:caps/>
          <w:szCs w:val="21"/>
          <w:highlight w:val="none"/>
        </w:rPr>
        <w:t xml:space="preserve">                                            单位名称：（盖章）</w:t>
      </w:r>
      <w:r>
        <w:rPr>
          <w:rFonts w:hint="eastAsia" w:ascii="宋体" w:hAnsi="宋体"/>
          <w:color w:val="0000FF"/>
          <w:szCs w:val="21"/>
          <w:highlight w:val="none"/>
          <w:u w:val="single"/>
          <w:lang w:val="en-US" w:eastAsia="zh-CN"/>
        </w:rPr>
        <w:t xml:space="preserve"> </w:t>
      </w:r>
    </w:p>
    <w:p>
      <w:pPr>
        <w:snapToGrid w:val="0"/>
        <w:spacing w:line="320" w:lineRule="exact"/>
        <w:jc w:val="right"/>
        <w:rPr>
          <w:rFonts w:hint="eastAsia" w:ascii="宋体" w:hAnsi="宋体"/>
          <w:szCs w:val="21"/>
          <w:highlight w:val="none"/>
        </w:rPr>
      </w:pPr>
      <w:r>
        <w:rPr>
          <w:rFonts w:hint="eastAsia" w:ascii="宋体" w:hAnsi="宋体"/>
          <w:szCs w:val="21"/>
          <w:highlight w:val="none"/>
        </w:rPr>
        <w:t>日期：</w:t>
      </w:r>
      <w:r>
        <w:rPr>
          <w:rFonts w:hint="eastAsia" w:ascii="宋体" w:hAnsi="宋体"/>
          <w:szCs w:val="21"/>
          <w:highlight w:val="none"/>
          <w:lang w:val="en-US" w:eastAsia="zh-CN"/>
        </w:rPr>
        <w:t xml:space="preserve"> </w:t>
      </w:r>
      <w:r>
        <w:rPr>
          <w:rFonts w:hint="eastAsia" w:ascii="宋体" w:hAnsi="宋体"/>
          <w:szCs w:val="21"/>
          <w:highlight w:val="none"/>
        </w:rPr>
        <w:t>年</w:t>
      </w:r>
      <w:r>
        <w:rPr>
          <w:rFonts w:hint="eastAsia" w:ascii="宋体" w:hAnsi="宋体"/>
          <w:szCs w:val="21"/>
          <w:highlight w:val="none"/>
          <w:u w:val="single"/>
        </w:rPr>
        <w:t xml:space="preserve">     </w:t>
      </w:r>
      <w:r>
        <w:rPr>
          <w:rFonts w:hint="eastAsia" w:ascii="宋体" w:hAnsi="宋体"/>
          <w:szCs w:val="21"/>
          <w:highlight w:val="none"/>
        </w:rPr>
        <w:t>月</w:t>
      </w:r>
      <w:r>
        <w:rPr>
          <w:rFonts w:hint="eastAsia" w:ascii="宋体" w:hAnsi="宋体"/>
          <w:szCs w:val="21"/>
          <w:highlight w:val="none"/>
          <w:u w:val="single"/>
        </w:rPr>
        <w:t xml:space="preserve">    </w:t>
      </w:r>
      <w:r>
        <w:rPr>
          <w:rFonts w:hint="eastAsia" w:ascii="宋体" w:hAnsi="宋体"/>
          <w:szCs w:val="21"/>
          <w:highlight w:val="none"/>
        </w:rPr>
        <w:t>日</w:t>
      </w:r>
    </w:p>
    <w:p>
      <w:pPr>
        <w:snapToGrid w:val="0"/>
        <w:spacing w:line="320" w:lineRule="exact"/>
        <w:jc w:val="right"/>
        <w:rPr>
          <w:rFonts w:hint="eastAsia" w:ascii="宋体" w:hAnsi="宋体"/>
          <w:szCs w:val="21"/>
          <w:highlight w:val="none"/>
        </w:rPr>
      </w:pPr>
    </w:p>
    <w:p>
      <w:pPr>
        <w:snapToGrid w:val="0"/>
        <w:spacing w:line="320" w:lineRule="exact"/>
        <w:jc w:val="right"/>
        <w:rPr>
          <w:rFonts w:hint="eastAsia" w:ascii="宋体" w:hAnsi="宋体"/>
          <w:szCs w:val="21"/>
          <w:highlight w:val="none"/>
        </w:rPr>
      </w:pPr>
    </w:p>
    <w:p>
      <w:pPr>
        <w:spacing w:before="156" w:beforeLines="50" w:after="312" w:afterLines="100" w:line="440" w:lineRule="exact"/>
        <w:ind w:right="420"/>
        <w:jc w:val="center"/>
        <w:rPr>
          <w:rFonts w:ascii="黑体" w:eastAsia="黑体"/>
          <w:sz w:val="28"/>
          <w:szCs w:val="28"/>
          <w:highlight w:val="none"/>
        </w:rPr>
      </w:pPr>
      <w:r>
        <w:rPr>
          <w:rFonts w:hint="eastAsia" w:ascii="黑体" w:eastAsia="黑体"/>
          <w:sz w:val="28"/>
          <w:szCs w:val="28"/>
          <w:highlight w:val="none"/>
          <w:lang w:val="en-US" w:eastAsia="zh-CN"/>
        </w:rPr>
        <w:t>七</w:t>
      </w:r>
      <w:r>
        <w:rPr>
          <w:rFonts w:hint="eastAsia" w:ascii="黑体" w:eastAsia="黑体"/>
          <w:sz w:val="28"/>
          <w:szCs w:val="28"/>
          <w:highlight w:val="none"/>
        </w:rPr>
        <w:t>、拟分包计划表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1843"/>
        <w:gridCol w:w="751"/>
        <w:gridCol w:w="950"/>
        <w:gridCol w:w="1123"/>
        <w:gridCol w:w="1090"/>
        <w:gridCol w:w="1197"/>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restart"/>
            <w:shd w:val="clear" w:color="auto" w:fill="auto"/>
            <w:tcMar>
              <w:left w:w="108" w:type="dxa"/>
              <w:right w:w="108" w:type="dxa"/>
            </w:tcMar>
            <w:vAlign w:val="center"/>
          </w:tcPr>
          <w:p>
            <w:pPr>
              <w:jc w:val="center"/>
              <w:rPr>
                <w:szCs w:val="21"/>
                <w:highlight w:val="none"/>
              </w:rPr>
            </w:pPr>
            <w:r>
              <w:rPr>
                <w:rFonts w:hint="eastAsia"/>
                <w:szCs w:val="21"/>
                <w:highlight w:val="none"/>
              </w:rPr>
              <w:t>序</w:t>
            </w:r>
          </w:p>
          <w:p>
            <w:pPr>
              <w:jc w:val="center"/>
              <w:rPr>
                <w:szCs w:val="21"/>
                <w:highlight w:val="none"/>
              </w:rPr>
            </w:pPr>
            <w:r>
              <w:rPr>
                <w:rFonts w:hint="eastAsia"/>
                <w:szCs w:val="21"/>
                <w:highlight w:val="none"/>
              </w:rPr>
              <w:t>号</w:t>
            </w:r>
          </w:p>
        </w:tc>
        <w:tc>
          <w:tcPr>
            <w:tcW w:w="1843" w:type="dxa"/>
            <w:vMerge w:val="restart"/>
            <w:shd w:val="clear" w:color="auto" w:fill="auto"/>
            <w:tcMar>
              <w:left w:w="108" w:type="dxa"/>
              <w:right w:w="108" w:type="dxa"/>
            </w:tcMar>
            <w:vAlign w:val="center"/>
          </w:tcPr>
          <w:p>
            <w:pPr>
              <w:jc w:val="center"/>
              <w:rPr>
                <w:szCs w:val="21"/>
                <w:highlight w:val="none"/>
              </w:rPr>
            </w:pPr>
            <w:r>
              <w:rPr>
                <w:rFonts w:hint="eastAsia"/>
                <w:szCs w:val="21"/>
                <w:highlight w:val="none"/>
              </w:rPr>
              <w:t>拟分包项目名称、范围及理由</w:t>
            </w:r>
          </w:p>
        </w:tc>
        <w:tc>
          <w:tcPr>
            <w:tcW w:w="5111" w:type="dxa"/>
            <w:gridSpan w:val="5"/>
            <w:shd w:val="clear" w:color="auto" w:fill="auto"/>
            <w:tcMar>
              <w:left w:w="108" w:type="dxa"/>
              <w:right w:w="108" w:type="dxa"/>
            </w:tcMar>
            <w:vAlign w:val="center"/>
          </w:tcPr>
          <w:p>
            <w:pPr>
              <w:jc w:val="center"/>
              <w:rPr>
                <w:szCs w:val="21"/>
                <w:highlight w:val="none"/>
              </w:rPr>
            </w:pPr>
            <w:r>
              <w:rPr>
                <w:rFonts w:hint="eastAsia"/>
                <w:szCs w:val="21"/>
                <w:highlight w:val="none"/>
              </w:rPr>
              <w:t>拟选分包人</w:t>
            </w:r>
          </w:p>
        </w:tc>
        <w:tc>
          <w:tcPr>
            <w:tcW w:w="983" w:type="dxa"/>
            <w:vMerge w:val="restart"/>
            <w:shd w:val="clear" w:color="auto" w:fill="auto"/>
            <w:tcMar>
              <w:left w:w="108" w:type="dxa"/>
              <w:right w:w="108" w:type="dxa"/>
            </w:tcMar>
            <w:vAlign w:val="center"/>
          </w:tcPr>
          <w:p>
            <w:pPr>
              <w:jc w:val="center"/>
              <w:rPr>
                <w:szCs w:val="21"/>
                <w:highlight w:val="none"/>
              </w:rPr>
            </w:pPr>
            <w:r>
              <w:rPr>
                <w:rFonts w:hint="eastAsia"/>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1701" w:type="dxa"/>
            <w:gridSpan w:val="2"/>
            <w:shd w:val="clear" w:color="auto" w:fill="auto"/>
            <w:tcMar>
              <w:left w:w="108" w:type="dxa"/>
              <w:right w:w="108" w:type="dxa"/>
            </w:tcMar>
            <w:vAlign w:val="center"/>
          </w:tcPr>
          <w:p>
            <w:pPr>
              <w:jc w:val="center"/>
              <w:rPr>
                <w:szCs w:val="21"/>
                <w:highlight w:val="none"/>
              </w:rPr>
            </w:pPr>
            <w:r>
              <w:rPr>
                <w:rFonts w:hint="eastAsia"/>
                <w:szCs w:val="21"/>
                <w:highlight w:val="none"/>
              </w:rPr>
              <w:t>拟选分包人名称</w:t>
            </w:r>
          </w:p>
        </w:tc>
        <w:tc>
          <w:tcPr>
            <w:tcW w:w="1123" w:type="dxa"/>
            <w:shd w:val="clear" w:color="auto" w:fill="auto"/>
            <w:tcMar>
              <w:left w:w="108" w:type="dxa"/>
              <w:right w:w="108" w:type="dxa"/>
            </w:tcMar>
            <w:vAlign w:val="center"/>
          </w:tcPr>
          <w:p>
            <w:pPr>
              <w:jc w:val="center"/>
              <w:rPr>
                <w:szCs w:val="21"/>
                <w:highlight w:val="none"/>
              </w:rPr>
            </w:pPr>
            <w:r>
              <w:rPr>
                <w:rFonts w:hint="eastAsia"/>
                <w:szCs w:val="21"/>
                <w:highlight w:val="none"/>
              </w:rPr>
              <w:t>注册地点</w:t>
            </w:r>
          </w:p>
        </w:tc>
        <w:tc>
          <w:tcPr>
            <w:tcW w:w="1090" w:type="dxa"/>
            <w:shd w:val="clear" w:color="auto" w:fill="auto"/>
            <w:tcMar>
              <w:left w:w="108" w:type="dxa"/>
              <w:right w:w="108" w:type="dxa"/>
            </w:tcMar>
            <w:vAlign w:val="center"/>
          </w:tcPr>
          <w:p>
            <w:pPr>
              <w:jc w:val="center"/>
              <w:rPr>
                <w:szCs w:val="21"/>
                <w:highlight w:val="none"/>
              </w:rPr>
            </w:pPr>
            <w:r>
              <w:rPr>
                <w:rFonts w:hint="eastAsia"/>
                <w:szCs w:val="21"/>
                <w:highlight w:val="none"/>
              </w:rPr>
              <w:t>企业资质</w:t>
            </w:r>
          </w:p>
        </w:tc>
        <w:tc>
          <w:tcPr>
            <w:tcW w:w="1197" w:type="dxa"/>
            <w:shd w:val="clear" w:color="auto" w:fill="auto"/>
            <w:tcMar>
              <w:left w:w="108" w:type="dxa"/>
              <w:right w:w="108" w:type="dxa"/>
            </w:tcMar>
            <w:vAlign w:val="center"/>
          </w:tcPr>
          <w:p>
            <w:pPr>
              <w:jc w:val="center"/>
              <w:rPr>
                <w:szCs w:val="21"/>
                <w:highlight w:val="none"/>
              </w:rPr>
            </w:pPr>
            <w:r>
              <w:rPr>
                <w:rFonts w:hint="eastAsia"/>
                <w:szCs w:val="21"/>
                <w:highlight w:val="none"/>
              </w:rPr>
              <w:t>有关业绩</w:t>
            </w:r>
          </w:p>
        </w:tc>
        <w:tc>
          <w:tcPr>
            <w:tcW w:w="983" w:type="dxa"/>
            <w:vMerge w:val="continue"/>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restart"/>
            <w:shd w:val="clear" w:color="auto" w:fill="auto"/>
            <w:tcMar>
              <w:left w:w="108" w:type="dxa"/>
              <w:right w:w="108" w:type="dxa"/>
            </w:tcMar>
            <w:vAlign w:val="center"/>
          </w:tcPr>
          <w:p>
            <w:pPr>
              <w:rPr>
                <w:highlight w:val="none"/>
              </w:rPr>
            </w:pPr>
          </w:p>
        </w:tc>
        <w:tc>
          <w:tcPr>
            <w:tcW w:w="1843" w:type="dxa"/>
            <w:vMerge w:val="restart"/>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1</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2</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3</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restart"/>
            <w:shd w:val="clear" w:color="auto" w:fill="auto"/>
            <w:tcMar>
              <w:left w:w="108" w:type="dxa"/>
              <w:right w:w="108" w:type="dxa"/>
            </w:tcMar>
            <w:vAlign w:val="center"/>
          </w:tcPr>
          <w:p>
            <w:pPr>
              <w:rPr>
                <w:highlight w:val="none"/>
              </w:rPr>
            </w:pPr>
          </w:p>
        </w:tc>
        <w:tc>
          <w:tcPr>
            <w:tcW w:w="1843" w:type="dxa"/>
            <w:vMerge w:val="restart"/>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1</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2</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3</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restart"/>
            <w:shd w:val="clear" w:color="auto" w:fill="auto"/>
            <w:tcMar>
              <w:left w:w="108" w:type="dxa"/>
              <w:right w:w="108" w:type="dxa"/>
            </w:tcMar>
            <w:vAlign w:val="center"/>
          </w:tcPr>
          <w:p>
            <w:pPr>
              <w:rPr>
                <w:highlight w:val="none"/>
              </w:rPr>
            </w:pPr>
          </w:p>
        </w:tc>
        <w:tc>
          <w:tcPr>
            <w:tcW w:w="1843" w:type="dxa"/>
            <w:vMerge w:val="restart"/>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1</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2</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3</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restart"/>
            <w:shd w:val="clear" w:color="auto" w:fill="auto"/>
            <w:tcMar>
              <w:left w:w="108" w:type="dxa"/>
              <w:right w:w="108" w:type="dxa"/>
            </w:tcMar>
            <w:vAlign w:val="center"/>
          </w:tcPr>
          <w:p>
            <w:pPr>
              <w:rPr>
                <w:highlight w:val="none"/>
              </w:rPr>
            </w:pPr>
          </w:p>
        </w:tc>
        <w:tc>
          <w:tcPr>
            <w:tcW w:w="1843" w:type="dxa"/>
            <w:vMerge w:val="restart"/>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1</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2</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8" w:type="dxa"/>
            <w:vMerge w:val="continue"/>
            <w:shd w:val="clear" w:color="auto" w:fill="auto"/>
            <w:tcMar>
              <w:left w:w="108" w:type="dxa"/>
              <w:right w:w="108" w:type="dxa"/>
            </w:tcMar>
            <w:vAlign w:val="center"/>
          </w:tcPr>
          <w:p>
            <w:pPr>
              <w:rPr>
                <w:highlight w:val="none"/>
              </w:rPr>
            </w:pPr>
          </w:p>
        </w:tc>
        <w:tc>
          <w:tcPr>
            <w:tcW w:w="1843" w:type="dxa"/>
            <w:vMerge w:val="continue"/>
            <w:shd w:val="clear" w:color="auto" w:fill="auto"/>
            <w:tcMar>
              <w:left w:w="108" w:type="dxa"/>
              <w:right w:w="108" w:type="dxa"/>
            </w:tcMar>
            <w:vAlign w:val="center"/>
          </w:tcPr>
          <w:p>
            <w:pPr>
              <w:rPr>
                <w:highlight w:val="none"/>
              </w:rPr>
            </w:pPr>
          </w:p>
        </w:tc>
        <w:tc>
          <w:tcPr>
            <w:tcW w:w="751" w:type="dxa"/>
            <w:shd w:val="clear" w:color="auto" w:fill="auto"/>
            <w:tcMar>
              <w:left w:w="108" w:type="dxa"/>
              <w:right w:w="108" w:type="dxa"/>
            </w:tcMar>
            <w:vAlign w:val="center"/>
          </w:tcPr>
          <w:p>
            <w:pPr>
              <w:jc w:val="center"/>
              <w:rPr>
                <w:rFonts w:ascii="黑体" w:eastAsia="黑体"/>
                <w:szCs w:val="21"/>
                <w:highlight w:val="none"/>
              </w:rPr>
            </w:pPr>
            <w:r>
              <w:rPr>
                <w:rFonts w:hint="eastAsia" w:ascii="黑体" w:eastAsia="黑体"/>
                <w:szCs w:val="21"/>
                <w:highlight w:val="none"/>
              </w:rPr>
              <w:t>3</w:t>
            </w:r>
          </w:p>
        </w:tc>
        <w:tc>
          <w:tcPr>
            <w:tcW w:w="950" w:type="dxa"/>
            <w:shd w:val="clear" w:color="auto" w:fill="auto"/>
            <w:tcMar>
              <w:left w:w="108" w:type="dxa"/>
              <w:right w:w="108" w:type="dxa"/>
            </w:tcMar>
            <w:vAlign w:val="center"/>
          </w:tcPr>
          <w:p>
            <w:pPr>
              <w:rPr>
                <w:highlight w:val="none"/>
              </w:rPr>
            </w:pPr>
          </w:p>
        </w:tc>
        <w:tc>
          <w:tcPr>
            <w:tcW w:w="1123" w:type="dxa"/>
            <w:shd w:val="clear" w:color="auto" w:fill="auto"/>
            <w:tcMar>
              <w:left w:w="108" w:type="dxa"/>
              <w:right w:w="108" w:type="dxa"/>
            </w:tcMar>
            <w:vAlign w:val="center"/>
          </w:tcPr>
          <w:p>
            <w:pPr>
              <w:rPr>
                <w:highlight w:val="none"/>
              </w:rPr>
            </w:pPr>
          </w:p>
        </w:tc>
        <w:tc>
          <w:tcPr>
            <w:tcW w:w="1090" w:type="dxa"/>
            <w:shd w:val="clear" w:color="auto" w:fill="auto"/>
            <w:tcMar>
              <w:left w:w="108" w:type="dxa"/>
              <w:right w:w="108" w:type="dxa"/>
            </w:tcMar>
            <w:vAlign w:val="center"/>
          </w:tcPr>
          <w:p>
            <w:pPr>
              <w:rPr>
                <w:highlight w:val="none"/>
              </w:rPr>
            </w:pPr>
          </w:p>
        </w:tc>
        <w:tc>
          <w:tcPr>
            <w:tcW w:w="1197" w:type="dxa"/>
            <w:shd w:val="clear" w:color="auto" w:fill="auto"/>
            <w:tcMar>
              <w:left w:w="108" w:type="dxa"/>
              <w:right w:w="108" w:type="dxa"/>
            </w:tcMar>
            <w:vAlign w:val="center"/>
          </w:tcPr>
          <w:p>
            <w:pPr>
              <w:rPr>
                <w:highlight w:val="none"/>
              </w:rPr>
            </w:pPr>
          </w:p>
        </w:tc>
        <w:tc>
          <w:tcPr>
            <w:tcW w:w="983" w:type="dxa"/>
            <w:shd w:val="clear" w:color="auto" w:fill="auto"/>
            <w:tcMar>
              <w:left w:w="108" w:type="dxa"/>
              <w:right w:w="108" w:type="dxa"/>
            </w:tcMar>
            <w:vAlign w:val="center"/>
          </w:tcPr>
          <w:p>
            <w:pPr>
              <w:rPr>
                <w:highlight w:val="none"/>
              </w:rPr>
            </w:pPr>
          </w:p>
        </w:tc>
      </w:tr>
    </w:tbl>
    <w:p>
      <w:pPr>
        <w:spacing w:line="440" w:lineRule="exact"/>
        <w:ind w:right="420"/>
        <w:rPr>
          <w:szCs w:val="21"/>
          <w:highlight w:val="none"/>
        </w:rPr>
      </w:pPr>
      <w:r>
        <w:rPr>
          <w:rFonts w:hint="eastAsia" w:ascii="黑体" w:eastAsia="黑体"/>
          <w:szCs w:val="21"/>
          <w:highlight w:val="none"/>
        </w:rPr>
        <w:t>备注：</w:t>
      </w:r>
      <w:r>
        <w:rPr>
          <w:rFonts w:hint="eastAsia"/>
          <w:szCs w:val="21"/>
          <w:highlight w:val="none"/>
        </w:rPr>
        <w:t>本表所列分包仅限于承包人自行施工范围内的非主体、非关键工程。</w:t>
      </w:r>
    </w:p>
    <w:p>
      <w:pPr>
        <w:wordWrap w:val="0"/>
        <w:spacing w:line="440" w:lineRule="exact"/>
        <w:ind w:right="420"/>
        <w:jc w:val="right"/>
        <w:rPr>
          <w:szCs w:val="21"/>
          <w:highlight w:val="none"/>
        </w:rPr>
      </w:pPr>
      <w:r>
        <w:rPr>
          <w:rFonts w:hint="eastAsia"/>
          <w:szCs w:val="21"/>
          <w:highlight w:val="none"/>
        </w:rPr>
        <w:t xml:space="preserve">日    期：       年     月     日  </w:t>
      </w:r>
    </w:p>
    <w:p>
      <w:pPr>
        <w:spacing w:before="312" w:beforeLines="100" w:after="156" w:afterLines="50" w:line="440" w:lineRule="exact"/>
        <w:jc w:val="center"/>
        <w:rPr>
          <w:rFonts w:ascii="黑体" w:eastAsia="黑体"/>
          <w:sz w:val="28"/>
          <w:szCs w:val="28"/>
          <w:highlight w:val="none"/>
        </w:rPr>
      </w:pPr>
      <w:r>
        <w:rPr>
          <w:szCs w:val="21"/>
          <w:highlight w:val="none"/>
        </w:rPr>
        <w:br w:type="page"/>
      </w:r>
      <w:r>
        <w:rPr>
          <w:rFonts w:hint="eastAsia" w:ascii="黑体" w:eastAsia="黑体"/>
          <w:sz w:val="28"/>
          <w:szCs w:val="28"/>
          <w:highlight w:val="none"/>
          <w:lang w:val="en-US" w:eastAsia="zh-CN"/>
        </w:rPr>
        <w:t>八</w:t>
      </w:r>
      <w:r>
        <w:rPr>
          <w:rFonts w:hint="eastAsia" w:ascii="黑体" w:eastAsia="黑体"/>
          <w:sz w:val="28"/>
          <w:szCs w:val="28"/>
          <w:highlight w:val="none"/>
        </w:rPr>
        <w:t>、资格审查资料</w:t>
      </w:r>
    </w:p>
    <w:p>
      <w:pPr>
        <w:spacing w:before="156" w:beforeLines="50" w:after="312" w:afterLines="100" w:line="440" w:lineRule="exact"/>
        <w:rPr>
          <w:rFonts w:ascii="黑体" w:eastAsia="黑体"/>
          <w:sz w:val="24"/>
          <w:highlight w:val="none"/>
        </w:rPr>
      </w:pPr>
      <w:r>
        <w:rPr>
          <w:rFonts w:hint="eastAsia" w:ascii="黑体" w:eastAsia="黑体"/>
          <w:sz w:val="24"/>
          <w:highlight w:val="none"/>
        </w:rPr>
        <w:t>（一）投标人基本情况表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投标人名称</w:t>
            </w:r>
          </w:p>
        </w:tc>
        <w:tc>
          <w:tcPr>
            <w:tcW w:w="7020" w:type="dxa"/>
            <w:gridSpan w:val="9"/>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注册地址</w:t>
            </w:r>
          </w:p>
        </w:tc>
        <w:tc>
          <w:tcPr>
            <w:tcW w:w="3389" w:type="dxa"/>
            <w:gridSpan w:val="5"/>
            <w:shd w:val="clear" w:color="auto" w:fill="auto"/>
            <w:vAlign w:val="center"/>
          </w:tcPr>
          <w:p>
            <w:pPr>
              <w:rPr>
                <w:highlight w:val="none"/>
              </w:rPr>
            </w:pPr>
          </w:p>
        </w:tc>
        <w:tc>
          <w:tcPr>
            <w:tcW w:w="1246" w:type="dxa"/>
            <w:shd w:val="clear" w:color="auto" w:fill="auto"/>
            <w:vAlign w:val="center"/>
          </w:tcPr>
          <w:p>
            <w:pPr>
              <w:jc w:val="center"/>
              <w:rPr>
                <w:szCs w:val="21"/>
                <w:highlight w:val="none"/>
              </w:rPr>
            </w:pPr>
            <w:r>
              <w:rPr>
                <w:rFonts w:hint="eastAsia"/>
                <w:szCs w:val="21"/>
                <w:highlight w:val="none"/>
              </w:rPr>
              <w:t>邮政编码</w:t>
            </w:r>
          </w:p>
        </w:tc>
        <w:tc>
          <w:tcPr>
            <w:tcW w:w="2385" w:type="dxa"/>
            <w:gridSpan w:val="3"/>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shd w:val="clear" w:color="auto" w:fill="auto"/>
            <w:vAlign w:val="center"/>
          </w:tcPr>
          <w:p>
            <w:pPr>
              <w:jc w:val="center"/>
              <w:rPr>
                <w:szCs w:val="21"/>
                <w:highlight w:val="none"/>
              </w:rPr>
            </w:pPr>
            <w:r>
              <w:rPr>
                <w:rFonts w:hint="eastAsia"/>
                <w:szCs w:val="21"/>
                <w:highlight w:val="none"/>
              </w:rPr>
              <w:t>联系方式</w:t>
            </w:r>
          </w:p>
        </w:tc>
        <w:tc>
          <w:tcPr>
            <w:tcW w:w="897" w:type="dxa"/>
            <w:shd w:val="clear" w:color="auto" w:fill="auto"/>
            <w:vAlign w:val="center"/>
          </w:tcPr>
          <w:p>
            <w:pPr>
              <w:jc w:val="center"/>
              <w:rPr>
                <w:szCs w:val="21"/>
                <w:highlight w:val="none"/>
              </w:rPr>
            </w:pPr>
            <w:r>
              <w:rPr>
                <w:rFonts w:hint="eastAsia"/>
                <w:szCs w:val="21"/>
                <w:highlight w:val="none"/>
              </w:rPr>
              <w:t>联系人</w:t>
            </w:r>
          </w:p>
        </w:tc>
        <w:tc>
          <w:tcPr>
            <w:tcW w:w="2492" w:type="dxa"/>
            <w:gridSpan w:val="4"/>
            <w:shd w:val="clear" w:color="auto" w:fill="auto"/>
            <w:vAlign w:val="center"/>
          </w:tcPr>
          <w:p>
            <w:pPr>
              <w:rPr>
                <w:highlight w:val="none"/>
              </w:rPr>
            </w:pPr>
          </w:p>
        </w:tc>
        <w:tc>
          <w:tcPr>
            <w:tcW w:w="1246" w:type="dxa"/>
            <w:shd w:val="clear" w:color="auto" w:fill="auto"/>
            <w:vAlign w:val="center"/>
          </w:tcPr>
          <w:p>
            <w:pPr>
              <w:jc w:val="center"/>
              <w:rPr>
                <w:szCs w:val="21"/>
                <w:highlight w:val="none"/>
              </w:rPr>
            </w:pPr>
            <w:r>
              <w:rPr>
                <w:rFonts w:hint="eastAsia"/>
                <w:szCs w:val="21"/>
                <w:highlight w:val="none"/>
              </w:rPr>
              <w:t>电  话</w:t>
            </w:r>
          </w:p>
        </w:tc>
        <w:tc>
          <w:tcPr>
            <w:tcW w:w="2385" w:type="dxa"/>
            <w:gridSpan w:val="3"/>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shd w:val="clear" w:color="auto" w:fill="auto"/>
            <w:vAlign w:val="center"/>
          </w:tcPr>
          <w:p>
            <w:pPr>
              <w:rPr>
                <w:highlight w:val="none"/>
              </w:rPr>
            </w:pPr>
          </w:p>
        </w:tc>
        <w:tc>
          <w:tcPr>
            <w:tcW w:w="897" w:type="dxa"/>
            <w:shd w:val="clear" w:color="auto" w:fill="auto"/>
            <w:vAlign w:val="center"/>
          </w:tcPr>
          <w:p>
            <w:pPr>
              <w:jc w:val="center"/>
              <w:rPr>
                <w:szCs w:val="21"/>
                <w:highlight w:val="none"/>
              </w:rPr>
            </w:pPr>
            <w:r>
              <w:rPr>
                <w:rFonts w:hint="eastAsia"/>
                <w:szCs w:val="21"/>
                <w:highlight w:val="none"/>
              </w:rPr>
              <w:t>传  真</w:t>
            </w:r>
          </w:p>
        </w:tc>
        <w:tc>
          <w:tcPr>
            <w:tcW w:w="2492" w:type="dxa"/>
            <w:gridSpan w:val="4"/>
            <w:shd w:val="clear" w:color="auto" w:fill="auto"/>
            <w:vAlign w:val="center"/>
          </w:tcPr>
          <w:p>
            <w:pPr>
              <w:rPr>
                <w:highlight w:val="none"/>
              </w:rPr>
            </w:pPr>
          </w:p>
        </w:tc>
        <w:tc>
          <w:tcPr>
            <w:tcW w:w="1246" w:type="dxa"/>
            <w:shd w:val="clear" w:color="auto" w:fill="auto"/>
            <w:vAlign w:val="center"/>
          </w:tcPr>
          <w:p>
            <w:pPr>
              <w:jc w:val="center"/>
              <w:rPr>
                <w:szCs w:val="21"/>
                <w:highlight w:val="none"/>
              </w:rPr>
            </w:pPr>
            <w:r>
              <w:rPr>
                <w:rFonts w:hint="eastAsia"/>
                <w:szCs w:val="21"/>
                <w:highlight w:val="none"/>
              </w:rPr>
              <w:t>网  址</w:t>
            </w:r>
          </w:p>
        </w:tc>
        <w:tc>
          <w:tcPr>
            <w:tcW w:w="2385" w:type="dxa"/>
            <w:gridSpan w:val="3"/>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组织结构</w:t>
            </w:r>
          </w:p>
        </w:tc>
        <w:tc>
          <w:tcPr>
            <w:tcW w:w="7020" w:type="dxa"/>
            <w:gridSpan w:val="9"/>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法定代表人</w:t>
            </w:r>
          </w:p>
        </w:tc>
        <w:tc>
          <w:tcPr>
            <w:tcW w:w="897" w:type="dxa"/>
            <w:shd w:val="clear" w:color="auto" w:fill="auto"/>
            <w:vAlign w:val="center"/>
          </w:tcPr>
          <w:p>
            <w:pPr>
              <w:jc w:val="center"/>
              <w:rPr>
                <w:szCs w:val="21"/>
                <w:highlight w:val="none"/>
              </w:rPr>
            </w:pPr>
            <w:r>
              <w:rPr>
                <w:rFonts w:hint="eastAsia"/>
                <w:szCs w:val="21"/>
                <w:highlight w:val="none"/>
              </w:rPr>
              <w:t>姓名</w:t>
            </w:r>
          </w:p>
        </w:tc>
        <w:tc>
          <w:tcPr>
            <w:tcW w:w="1021" w:type="dxa"/>
            <w:shd w:val="clear" w:color="auto" w:fill="auto"/>
            <w:vAlign w:val="center"/>
          </w:tcPr>
          <w:p>
            <w:pPr>
              <w:rPr>
                <w:highlight w:val="none"/>
              </w:rPr>
            </w:pPr>
          </w:p>
        </w:tc>
        <w:tc>
          <w:tcPr>
            <w:tcW w:w="1276" w:type="dxa"/>
            <w:gridSpan w:val="2"/>
            <w:shd w:val="clear" w:color="auto" w:fill="auto"/>
            <w:vAlign w:val="center"/>
          </w:tcPr>
          <w:p>
            <w:pPr>
              <w:jc w:val="center"/>
              <w:rPr>
                <w:szCs w:val="21"/>
                <w:highlight w:val="none"/>
              </w:rPr>
            </w:pPr>
            <w:r>
              <w:rPr>
                <w:rFonts w:hint="eastAsia"/>
                <w:szCs w:val="21"/>
                <w:highlight w:val="none"/>
              </w:rPr>
              <w:t>技术职称</w:t>
            </w:r>
          </w:p>
        </w:tc>
        <w:tc>
          <w:tcPr>
            <w:tcW w:w="1701" w:type="dxa"/>
            <w:gridSpan w:val="3"/>
            <w:shd w:val="clear" w:color="auto" w:fill="auto"/>
            <w:vAlign w:val="center"/>
          </w:tcPr>
          <w:p>
            <w:pPr>
              <w:rPr>
                <w:highlight w:val="none"/>
              </w:rPr>
            </w:pPr>
          </w:p>
        </w:tc>
        <w:tc>
          <w:tcPr>
            <w:tcW w:w="709" w:type="dxa"/>
            <w:shd w:val="clear" w:color="auto" w:fill="auto"/>
            <w:vAlign w:val="center"/>
          </w:tcPr>
          <w:p>
            <w:pPr>
              <w:jc w:val="center"/>
              <w:rPr>
                <w:szCs w:val="21"/>
                <w:highlight w:val="none"/>
              </w:rPr>
            </w:pPr>
            <w:r>
              <w:rPr>
                <w:rFonts w:hint="eastAsia"/>
                <w:szCs w:val="21"/>
                <w:highlight w:val="none"/>
              </w:rPr>
              <w:t>电话</w:t>
            </w:r>
          </w:p>
        </w:tc>
        <w:tc>
          <w:tcPr>
            <w:tcW w:w="141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技术负责人</w:t>
            </w:r>
          </w:p>
        </w:tc>
        <w:tc>
          <w:tcPr>
            <w:tcW w:w="897" w:type="dxa"/>
            <w:shd w:val="clear" w:color="auto" w:fill="auto"/>
            <w:vAlign w:val="center"/>
          </w:tcPr>
          <w:p>
            <w:pPr>
              <w:jc w:val="center"/>
              <w:rPr>
                <w:szCs w:val="21"/>
                <w:highlight w:val="none"/>
              </w:rPr>
            </w:pPr>
            <w:r>
              <w:rPr>
                <w:rFonts w:hint="eastAsia"/>
                <w:szCs w:val="21"/>
                <w:highlight w:val="none"/>
              </w:rPr>
              <w:t>姓名</w:t>
            </w:r>
          </w:p>
        </w:tc>
        <w:tc>
          <w:tcPr>
            <w:tcW w:w="1021" w:type="dxa"/>
            <w:shd w:val="clear" w:color="auto" w:fill="auto"/>
            <w:vAlign w:val="center"/>
          </w:tcPr>
          <w:p>
            <w:pPr>
              <w:rPr>
                <w:highlight w:val="none"/>
              </w:rPr>
            </w:pPr>
          </w:p>
        </w:tc>
        <w:tc>
          <w:tcPr>
            <w:tcW w:w="1276" w:type="dxa"/>
            <w:gridSpan w:val="2"/>
            <w:shd w:val="clear" w:color="auto" w:fill="auto"/>
            <w:vAlign w:val="center"/>
          </w:tcPr>
          <w:p>
            <w:pPr>
              <w:jc w:val="center"/>
              <w:rPr>
                <w:szCs w:val="21"/>
                <w:highlight w:val="none"/>
              </w:rPr>
            </w:pPr>
            <w:r>
              <w:rPr>
                <w:rFonts w:hint="eastAsia"/>
                <w:szCs w:val="21"/>
                <w:highlight w:val="none"/>
              </w:rPr>
              <w:t>技术职称</w:t>
            </w:r>
          </w:p>
        </w:tc>
        <w:tc>
          <w:tcPr>
            <w:tcW w:w="1701" w:type="dxa"/>
            <w:gridSpan w:val="3"/>
            <w:shd w:val="clear" w:color="auto" w:fill="auto"/>
            <w:vAlign w:val="center"/>
          </w:tcPr>
          <w:p>
            <w:pPr>
              <w:rPr>
                <w:highlight w:val="none"/>
              </w:rPr>
            </w:pPr>
          </w:p>
        </w:tc>
        <w:tc>
          <w:tcPr>
            <w:tcW w:w="709" w:type="dxa"/>
            <w:shd w:val="clear" w:color="auto" w:fill="auto"/>
            <w:vAlign w:val="center"/>
          </w:tcPr>
          <w:p>
            <w:pPr>
              <w:jc w:val="center"/>
              <w:rPr>
                <w:szCs w:val="21"/>
                <w:highlight w:val="none"/>
              </w:rPr>
            </w:pPr>
            <w:r>
              <w:rPr>
                <w:rFonts w:hint="eastAsia"/>
                <w:szCs w:val="21"/>
                <w:highlight w:val="none"/>
              </w:rPr>
              <w:t>电话</w:t>
            </w:r>
          </w:p>
        </w:tc>
        <w:tc>
          <w:tcPr>
            <w:tcW w:w="1416"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成立时间</w:t>
            </w:r>
          </w:p>
        </w:tc>
        <w:tc>
          <w:tcPr>
            <w:tcW w:w="1918" w:type="dxa"/>
            <w:gridSpan w:val="2"/>
            <w:shd w:val="clear" w:color="auto" w:fill="auto"/>
            <w:vAlign w:val="center"/>
          </w:tcPr>
          <w:p>
            <w:pPr>
              <w:rPr>
                <w:highlight w:val="none"/>
              </w:rPr>
            </w:pPr>
          </w:p>
        </w:tc>
        <w:tc>
          <w:tcPr>
            <w:tcW w:w="5102" w:type="dxa"/>
            <w:gridSpan w:val="7"/>
            <w:shd w:val="clear" w:color="auto" w:fill="auto"/>
            <w:vAlign w:val="center"/>
          </w:tcPr>
          <w:p>
            <w:pPr>
              <w:jc w:val="center"/>
              <w:rPr>
                <w:szCs w:val="21"/>
                <w:highlight w:val="none"/>
              </w:rPr>
            </w:pPr>
            <w:r>
              <w:rPr>
                <w:rFonts w:hint="eastAsia"/>
                <w:szCs w:val="21"/>
                <w:highlight w:val="none"/>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企业资质等级</w:t>
            </w:r>
          </w:p>
        </w:tc>
        <w:tc>
          <w:tcPr>
            <w:tcW w:w="897" w:type="dxa"/>
            <w:shd w:val="clear" w:color="auto" w:fill="auto"/>
            <w:vAlign w:val="center"/>
          </w:tcPr>
          <w:p>
            <w:pPr>
              <w:rPr>
                <w:highlight w:val="none"/>
              </w:rPr>
            </w:pPr>
          </w:p>
        </w:tc>
        <w:tc>
          <w:tcPr>
            <w:tcW w:w="1021" w:type="dxa"/>
            <w:shd w:val="clear" w:color="auto" w:fill="auto"/>
            <w:vAlign w:val="center"/>
          </w:tcPr>
          <w:p>
            <w:pPr>
              <w:rPr>
                <w:highlight w:val="none"/>
              </w:rPr>
            </w:pPr>
          </w:p>
        </w:tc>
        <w:tc>
          <w:tcPr>
            <w:tcW w:w="993" w:type="dxa"/>
            <w:vMerge w:val="restart"/>
            <w:shd w:val="clear" w:color="auto" w:fill="auto"/>
            <w:vAlign w:val="center"/>
          </w:tcPr>
          <w:p>
            <w:pPr>
              <w:jc w:val="center"/>
              <w:rPr>
                <w:szCs w:val="21"/>
                <w:highlight w:val="none"/>
              </w:rPr>
            </w:pPr>
            <w:r>
              <w:rPr>
                <w:rFonts w:hint="eastAsia"/>
                <w:szCs w:val="21"/>
                <w:highlight w:val="none"/>
              </w:rPr>
              <w:t>其中</w:t>
            </w:r>
          </w:p>
        </w:tc>
        <w:tc>
          <w:tcPr>
            <w:tcW w:w="1984" w:type="dxa"/>
            <w:gridSpan w:val="4"/>
            <w:shd w:val="clear" w:color="auto" w:fill="auto"/>
            <w:vAlign w:val="center"/>
          </w:tcPr>
          <w:p>
            <w:pPr>
              <w:jc w:val="center"/>
              <w:rPr>
                <w:szCs w:val="21"/>
                <w:highlight w:val="none"/>
              </w:rPr>
            </w:pPr>
            <w:r>
              <w:rPr>
                <w:rFonts w:hint="eastAsia"/>
                <w:szCs w:val="21"/>
                <w:highlight w:val="none"/>
              </w:rPr>
              <w:t>项目经理</w:t>
            </w:r>
          </w:p>
        </w:tc>
        <w:tc>
          <w:tcPr>
            <w:tcW w:w="2125" w:type="dxa"/>
            <w:gridSpan w:val="2"/>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营业执照号</w:t>
            </w:r>
          </w:p>
        </w:tc>
        <w:tc>
          <w:tcPr>
            <w:tcW w:w="897" w:type="dxa"/>
            <w:shd w:val="clear" w:color="auto" w:fill="auto"/>
            <w:vAlign w:val="center"/>
          </w:tcPr>
          <w:p>
            <w:pPr>
              <w:rPr>
                <w:highlight w:val="none"/>
              </w:rPr>
            </w:pPr>
          </w:p>
        </w:tc>
        <w:tc>
          <w:tcPr>
            <w:tcW w:w="1021" w:type="dxa"/>
            <w:shd w:val="clear" w:color="auto" w:fill="auto"/>
            <w:vAlign w:val="center"/>
          </w:tcPr>
          <w:p>
            <w:pPr>
              <w:rPr>
                <w:highlight w:val="none"/>
              </w:rPr>
            </w:pPr>
          </w:p>
        </w:tc>
        <w:tc>
          <w:tcPr>
            <w:tcW w:w="993" w:type="dxa"/>
            <w:vMerge w:val="continue"/>
            <w:shd w:val="clear" w:color="auto" w:fill="auto"/>
            <w:vAlign w:val="center"/>
          </w:tcPr>
          <w:p>
            <w:pPr>
              <w:rPr>
                <w:highlight w:val="none"/>
              </w:rPr>
            </w:pPr>
          </w:p>
        </w:tc>
        <w:tc>
          <w:tcPr>
            <w:tcW w:w="1984" w:type="dxa"/>
            <w:gridSpan w:val="4"/>
            <w:shd w:val="clear" w:color="auto" w:fill="auto"/>
            <w:vAlign w:val="center"/>
          </w:tcPr>
          <w:p>
            <w:pPr>
              <w:jc w:val="center"/>
              <w:rPr>
                <w:szCs w:val="21"/>
                <w:highlight w:val="none"/>
              </w:rPr>
            </w:pPr>
            <w:r>
              <w:rPr>
                <w:rFonts w:hint="eastAsia"/>
                <w:szCs w:val="21"/>
                <w:highlight w:val="none"/>
              </w:rPr>
              <w:t>高级职称人员</w:t>
            </w:r>
          </w:p>
        </w:tc>
        <w:tc>
          <w:tcPr>
            <w:tcW w:w="2125" w:type="dxa"/>
            <w:gridSpan w:val="2"/>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注册资金</w:t>
            </w:r>
          </w:p>
        </w:tc>
        <w:tc>
          <w:tcPr>
            <w:tcW w:w="897" w:type="dxa"/>
            <w:shd w:val="clear" w:color="auto" w:fill="auto"/>
            <w:vAlign w:val="center"/>
          </w:tcPr>
          <w:p>
            <w:pPr>
              <w:rPr>
                <w:highlight w:val="none"/>
              </w:rPr>
            </w:pPr>
          </w:p>
        </w:tc>
        <w:tc>
          <w:tcPr>
            <w:tcW w:w="1021" w:type="dxa"/>
            <w:shd w:val="clear" w:color="auto" w:fill="auto"/>
            <w:vAlign w:val="center"/>
          </w:tcPr>
          <w:p>
            <w:pPr>
              <w:rPr>
                <w:highlight w:val="none"/>
              </w:rPr>
            </w:pPr>
          </w:p>
        </w:tc>
        <w:tc>
          <w:tcPr>
            <w:tcW w:w="993" w:type="dxa"/>
            <w:vMerge w:val="continue"/>
            <w:shd w:val="clear" w:color="auto" w:fill="auto"/>
            <w:vAlign w:val="center"/>
          </w:tcPr>
          <w:p>
            <w:pPr>
              <w:rPr>
                <w:highlight w:val="none"/>
              </w:rPr>
            </w:pPr>
          </w:p>
        </w:tc>
        <w:tc>
          <w:tcPr>
            <w:tcW w:w="1984" w:type="dxa"/>
            <w:gridSpan w:val="4"/>
            <w:shd w:val="clear" w:color="auto" w:fill="auto"/>
            <w:vAlign w:val="center"/>
          </w:tcPr>
          <w:p>
            <w:pPr>
              <w:jc w:val="center"/>
              <w:rPr>
                <w:szCs w:val="21"/>
                <w:highlight w:val="none"/>
              </w:rPr>
            </w:pPr>
            <w:r>
              <w:rPr>
                <w:rFonts w:hint="eastAsia"/>
                <w:szCs w:val="21"/>
                <w:highlight w:val="none"/>
              </w:rPr>
              <w:t>中级职称人员</w:t>
            </w:r>
          </w:p>
        </w:tc>
        <w:tc>
          <w:tcPr>
            <w:tcW w:w="2125" w:type="dxa"/>
            <w:gridSpan w:val="2"/>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开户银行</w:t>
            </w:r>
          </w:p>
        </w:tc>
        <w:tc>
          <w:tcPr>
            <w:tcW w:w="897" w:type="dxa"/>
            <w:shd w:val="clear" w:color="auto" w:fill="auto"/>
            <w:vAlign w:val="center"/>
          </w:tcPr>
          <w:p>
            <w:pPr>
              <w:rPr>
                <w:highlight w:val="none"/>
              </w:rPr>
            </w:pPr>
          </w:p>
        </w:tc>
        <w:tc>
          <w:tcPr>
            <w:tcW w:w="1021" w:type="dxa"/>
            <w:shd w:val="clear" w:color="auto" w:fill="auto"/>
            <w:vAlign w:val="center"/>
          </w:tcPr>
          <w:p>
            <w:pPr>
              <w:rPr>
                <w:highlight w:val="none"/>
              </w:rPr>
            </w:pPr>
          </w:p>
        </w:tc>
        <w:tc>
          <w:tcPr>
            <w:tcW w:w="993" w:type="dxa"/>
            <w:vMerge w:val="continue"/>
            <w:shd w:val="clear" w:color="auto" w:fill="auto"/>
            <w:vAlign w:val="center"/>
          </w:tcPr>
          <w:p>
            <w:pPr>
              <w:rPr>
                <w:highlight w:val="none"/>
              </w:rPr>
            </w:pPr>
          </w:p>
        </w:tc>
        <w:tc>
          <w:tcPr>
            <w:tcW w:w="1984" w:type="dxa"/>
            <w:gridSpan w:val="4"/>
            <w:shd w:val="clear" w:color="auto" w:fill="auto"/>
            <w:vAlign w:val="center"/>
          </w:tcPr>
          <w:p>
            <w:pPr>
              <w:jc w:val="center"/>
              <w:rPr>
                <w:szCs w:val="21"/>
                <w:highlight w:val="none"/>
              </w:rPr>
            </w:pPr>
            <w:r>
              <w:rPr>
                <w:rFonts w:hint="eastAsia"/>
                <w:szCs w:val="21"/>
                <w:highlight w:val="none"/>
              </w:rPr>
              <w:t>初级职称人员</w:t>
            </w:r>
          </w:p>
        </w:tc>
        <w:tc>
          <w:tcPr>
            <w:tcW w:w="2125" w:type="dxa"/>
            <w:gridSpan w:val="2"/>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账号</w:t>
            </w:r>
          </w:p>
        </w:tc>
        <w:tc>
          <w:tcPr>
            <w:tcW w:w="897" w:type="dxa"/>
            <w:shd w:val="clear" w:color="auto" w:fill="auto"/>
            <w:vAlign w:val="center"/>
          </w:tcPr>
          <w:p>
            <w:pPr>
              <w:rPr>
                <w:highlight w:val="none"/>
              </w:rPr>
            </w:pPr>
          </w:p>
        </w:tc>
        <w:tc>
          <w:tcPr>
            <w:tcW w:w="1021" w:type="dxa"/>
            <w:shd w:val="clear" w:color="auto" w:fill="auto"/>
            <w:vAlign w:val="center"/>
          </w:tcPr>
          <w:p>
            <w:pPr>
              <w:rPr>
                <w:highlight w:val="none"/>
              </w:rPr>
            </w:pPr>
          </w:p>
        </w:tc>
        <w:tc>
          <w:tcPr>
            <w:tcW w:w="993" w:type="dxa"/>
            <w:vMerge w:val="continue"/>
            <w:shd w:val="clear" w:color="auto" w:fill="auto"/>
            <w:vAlign w:val="center"/>
          </w:tcPr>
          <w:p>
            <w:pPr>
              <w:rPr>
                <w:highlight w:val="none"/>
              </w:rPr>
            </w:pPr>
          </w:p>
        </w:tc>
        <w:tc>
          <w:tcPr>
            <w:tcW w:w="1984" w:type="dxa"/>
            <w:gridSpan w:val="4"/>
            <w:shd w:val="clear" w:color="auto" w:fill="auto"/>
            <w:vAlign w:val="center"/>
          </w:tcPr>
          <w:p>
            <w:pPr>
              <w:jc w:val="center"/>
              <w:rPr>
                <w:szCs w:val="21"/>
                <w:highlight w:val="none"/>
              </w:rPr>
            </w:pPr>
            <w:r>
              <w:rPr>
                <w:rFonts w:hint="eastAsia"/>
                <w:szCs w:val="21"/>
                <w:highlight w:val="none"/>
              </w:rPr>
              <w:t>技  工</w:t>
            </w:r>
          </w:p>
        </w:tc>
        <w:tc>
          <w:tcPr>
            <w:tcW w:w="2125" w:type="dxa"/>
            <w:gridSpan w:val="2"/>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shd w:val="clear" w:color="auto" w:fill="auto"/>
            <w:vAlign w:val="center"/>
          </w:tcPr>
          <w:p>
            <w:pPr>
              <w:jc w:val="center"/>
              <w:rPr>
                <w:szCs w:val="21"/>
                <w:highlight w:val="none"/>
              </w:rPr>
            </w:pPr>
            <w:r>
              <w:rPr>
                <w:rFonts w:hint="eastAsia"/>
                <w:szCs w:val="21"/>
                <w:highlight w:val="none"/>
              </w:rPr>
              <w:t>经营范围</w:t>
            </w:r>
          </w:p>
        </w:tc>
        <w:tc>
          <w:tcPr>
            <w:tcW w:w="7020" w:type="dxa"/>
            <w:gridSpan w:val="9"/>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shd w:val="clear" w:color="auto" w:fill="auto"/>
            <w:vAlign w:val="center"/>
          </w:tcPr>
          <w:p>
            <w:pPr>
              <w:jc w:val="center"/>
              <w:rPr>
                <w:szCs w:val="21"/>
                <w:highlight w:val="none"/>
              </w:rPr>
            </w:pPr>
            <w:r>
              <w:rPr>
                <w:rFonts w:hint="eastAsia"/>
                <w:szCs w:val="21"/>
                <w:highlight w:val="none"/>
              </w:rPr>
              <w:t>备注</w:t>
            </w:r>
          </w:p>
        </w:tc>
        <w:tc>
          <w:tcPr>
            <w:tcW w:w="7020" w:type="dxa"/>
            <w:gridSpan w:val="9"/>
            <w:shd w:val="clear" w:color="auto" w:fill="auto"/>
            <w:vAlign w:val="center"/>
          </w:tcPr>
          <w:p>
            <w:pPr>
              <w:rPr>
                <w:highlight w:val="none"/>
              </w:rPr>
            </w:pPr>
          </w:p>
        </w:tc>
      </w:tr>
    </w:tbl>
    <w:p>
      <w:pPr>
        <w:spacing w:line="440" w:lineRule="exact"/>
        <w:rPr>
          <w:szCs w:val="21"/>
          <w:highlight w:val="none"/>
        </w:rPr>
      </w:pPr>
      <w:r>
        <w:rPr>
          <w:rFonts w:hint="eastAsia" w:ascii="黑体" w:eastAsia="黑体"/>
          <w:szCs w:val="21"/>
          <w:highlight w:val="none"/>
        </w:rPr>
        <w:t>备注：</w:t>
      </w:r>
      <w:r>
        <w:rPr>
          <w:rFonts w:hint="eastAsia"/>
          <w:szCs w:val="21"/>
          <w:highlight w:val="none"/>
        </w:rPr>
        <w:t>本表后应附企业法人营业执照及其年检合格的证明材料、企业资质证书副本、安全生产许可证等材料的复印件。</w:t>
      </w:r>
    </w:p>
    <w:p>
      <w:pPr>
        <w:spacing w:before="156" w:beforeLines="50" w:after="312" w:afterLines="100" w:line="440" w:lineRule="exact"/>
        <w:rPr>
          <w:rFonts w:ascii="黑体" w:eastAsia="黑体"/>
          <w:sz w:val="24"/>
          <w:highlight w:val="none"/>
        </w:rPr>
      </w:pPr>
      <w:r>
        <w:rPr>
          <w:szCs w:val="21"/>
          <w:highlight w:val="none"/>
        </w:rPr>
        <w:br w:type="page"/>
      </w:r>
      <w:r>
        <w:rPr>
          <w:rFonts w:hint="eastAsia" w:ascii="黑体" w:eastAsia="黑体"/>
          <w:sz w:val="24"/>
          <w:highlight w:val="none"/>
        </w:rPr>
        <w:t>（二）近年财务状况表</w:t>
      </w:r>
    </w:p>
    <w:p>
      <w:pPr>
        <w:spacing w:line="440" w:lineRule="exact"/>
        <w:ind w:left="630" w:hanging="630" w:hangingChars="300"/>
        <w:rPr>
          <w:szCs w:val="21"/>
          <w:highlight w:val="none"/>
        </w:rPr>
      </w:pPr>
      <w:r>
        <w:rPr>
          <w:rFonts w:hint="eastAsia" w:ascii="黑体" w:eastAsia="黑体"/>
          <w:szCs w:val="21"/>
          <w:highlight w:val="none"/>
        </w:rPr>
        <w:t>备注：</w:t>
      </w:r>
      <w:r>
        <w:rPr>
          <w:rFonts w:hint="eastAsia"/>
          <w:szCs w:val="21"/>
          <w:highlight w:val="none"/>
        </w:rPr>
        <w:t>在此附经会计师事务所或审计机构审计的财务财务会计报表，包括资产负债表、损益表、现金流量表、利润表和财务情况说明书的复印件，具体年份要求见第二章“投标人须知”的规定。</w:t>
      </w:r>
    </w:p>
    <w:p>
      <w:pPr>
        <w:spacing w:before="156" w:beforeLines="50" w:after="156" w:afterLines="50" w:line="440" w:lineRule="exact"/>
        <w:rPr>
          <w:rFonts w:ascii="黑体" w:eastAsia="黑体"/>
          <w:sz w:val="24"/>
          <w:highlight w:val="none"/>
        </w:rPr>
      </w:pPr>
      <w:r>
        <w:rPr>
          <w:szCs w:val="21"/>
          <w:highlight w:val="none"/>
        </w:rPr>
        <w:br w:type="page"/>
      </w:r>
      <w:r>
        <w:rPr>
          <w:rFonts w:hint="eastAsia" w:ascii="黑体" w:eastAsia="黑体"/>
          <w:sz w:val="24"/>
          <w:highlight w:val="none"/>
        </w:rPr>
        <w:t>（三）近年完成的类似项目情况表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1"/>
        <w:gridCol w:w="6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项目名称</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项目所在地</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发包人名称</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发包人地址</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发包人联系人及电话</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合同价格</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开工日期</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竣工日期</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承担的工作</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工程质量</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项目经理</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技术负责人</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总监理工程师及电话</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2411" w:type="dxa"/>
            <w:shd w:val="clear" w:color="auto" w:fill="auto"/>
            <w:vAlign w:val="center"/>
          </w:tcPr>
          <w:p>
            <w:pPr>
              <w:jc w:val="center"/>
              <w:rPr>
                <w:szCs w:val="21"/>
                <w:highlight w:val="none"/>
              </w:rPr>
            </w:pPr>
            <w:r>
              <w:rPr>
                <w:rFonts w:hint="eastAsia"/>
                <w:szCs w:val="21"/>
                <w:highlight w:val="none"/>
              </w:rPr>
              <w:t>项目描述</w:t>
            </w:r>
          </w:p>
        </w:tc>
        <w:tc>
          <w:tcPr>
            <w:tcW w:w="6094"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1" w:type="dxa"/>
            <w:shd w:val="clear" w:color="auto" w:fill="auto"/>
            <w:vAlign w:val="center"/>
          </w:tcPr>
          <w:p>
            <w:pPr>
              <w:jc w:val="center"/>
              <w:rPr>
                <w:szCs w:val="21"/>
                <w:highlight w:val="none"/>
              </w:rPr>
            </w:pPr>
            <w:r>
              <w:rPr>
                <w:rFonts w:hint="eastAsia"/>
                <w:szCs w:val="21"/>
                <w:highlight w:val="none"/>
              </w:rPr>
              <w:t>备注</w:t>
            </w:r>
          </w:p>
        </w:tc>
        <w:tc>
          <w:tcPr>
            <w:tcW w:w="6094" w:type="dxa"/>
            <w:shd w:val="clear" w:color="auto" w:fill="auto"/>
            <w:vAlign w:val="center"/>
          </w:tcPr>
          <w:p>
            <w:pPr>
              <w:rPr>
                <w:highlight w:val="none"/>
              </w:rPr>
            </w:pPr>
          </w:p>
        </w:tc>
      </w:tr>
    </w:tbl>
    <w:p>
      <w:pPr>
        <w:spacing w:line="440" w:lineRule="exact"/>
        <w:ind w:left="630" w:hanging="630" w:hangingChars="300"/>
        <w:rPr>
          <w:szCs w:val="21"/>
          <w:highlight w:val="none"/>
        </w:rPr>
      </w:pPr>
      <w:r>
        <w:rPr>
          <w:rFonts w:hint="eastAsia" w:ascii="黑体" w:eastAsia="黑体"/>
          <w:szCs w:val="21"/>
          <w:highlight w:val="none"/>
        </w:rPr>
        <w:t>备注：</w:t>
      </w:r>
      <w:r>
        <w:rPr>
          <w:rFonts w:hint="eastAsia"/>
          <w:szCs w:val="21"/>
          <w:highlight w:val="none"/>
        </w:rPr>
        <w:t>1、类似项目指</w:t>
      </w:r>
      <w:r>
        <w:rPr>
          <w:rFonts w:hint="eastAsia" w:ascii="宋体" w:eastAsia="宋体" w:cs="宋体"/>
          <w:color w:val="auto"/>
          <w:highlight w:val="none"/>
          <w:u w:val="single"/>
        </w:rPr>
        <w:t>现代有轨电车（仅指钢轮钢轨）、地铁、轻轨（不含单轨）项目的轨道工程业绩</w:t>
      </w:r>
      <w:r>
        <w:rPr>
          <w:rFonts w:hint="eastAsia"/>
          <w:szCs w:val="21"/>
          <w:highlight w:val="none"/>
        </w:rPr>
        <w:t>。</w:t>
      </w:r>
    </w:p>
    <w:p>
      <w:pPr>
        <w:spacing w:line="440" w:lineRule="exact"/>
        <w:ind w:left="630" w:leftChars="300"/>
        <w:rPr>
          <w:szCs w:val="21"/>
          <w:highlight w:val="none"/>
        </w:rPr>
      </w:pPr>
      <w:r>
        <w:rPr>
          <w:rFonts w:hint="eastAsia"/>
          <w:szCs w:val="21"/>
          <w:highlight w:val="none"/>
        </w:rPr>
        <w:t>2、本表后附</w:t>
      </w:r>
      <w:r>
        <w:rPr>
          <w:rFonts w:hint="eastAsia"/>
          <w:szCs w:val="21"/>
          <w:highlight w:val="none"/>
          <w:lang w:val="en-US" w:eastAsia="zh-CN"/>
        </w:rPr>
        <w:t>业绩相关证明文件，</w:t>
      </w:r>
      <w:r>
        <w:rPr>
          <w:rFonts w:hint="eastAsia"/>
          <w:szCs w:val="21"/>
          <w:highlight w:val="none"/>
        </w:rPr>
        <w:t>具体要求</w:t>
      </w:r>
      <w:r>
        <w:rPr>
          <w:rFonts w:hint="eastAsia"/>
          <w:szCs w:val="21"/>
          <w:highlight w:val="none"/>
          <w:lang w:val="en-US" w:eastAsia="zh-CN"/>
        </w:rPr>
        <w:t>详</w:t>
      </w:r>
      <w:r>
        <w:rPr>
          <w:rFonts w:hint="eastAsia"/>
          <w:szCs w:val="21"/>
          <w:highlight w:val="none"/>
        </w:rPr>
        <w:t>见投标人须知前附表</w:t>
      </w:r>
      <w:r>
        <w:rPr>
          <w:rFonts w:hint="eastAsia"/>
          <w:szCs w:val="21"/>
          <w:highlight w:val="none"/>
          <w:lang w:val="en-US" w:eastAsia="zh-CN"/>
        </w:rPr>
        <w:t>及评分办法备注</w:t>
      </w:r>
      <w:r>
        <w:rPr>
          <w:rFonts w:hint="eastAsia"/>
          <w:szCs w:val="21"/>
          <w:highlight w:val="none"/>
        </w:rPr>
        <w:t>。每张表格只填写一个项目，并标明序号。</w:t>
      </w:r>
    </w:p>
    <w:p>
      <w:pPr>
        <w:spacing w:before="156" w:beforeLines="50" w:after="156" w:afterLines="50" w:line="440" w:lineRule="exact"/>
        <w:rPr>
          <w:rFonts w:ascii="黑体" w:eastAsia="黑体"/>
          <w:sz w:val="24"/>
          <w:highlight w:val="none"/>
        </w:rPr>
      </w:pPr>
      <w:r>
        <w:rPr>
          <w:szCs w:val="21"/>
          <w:highlight w:val="none"/>
        </w:rPr>
        <w:br w:type="page"/>
      </w:r>
      <w:r>
        <w:rPr>
          <w:rFonts w:hint="eastAsia" w:ascii="黑体" w:eastAsia="黑体"/>
          <w:sz w:val="24"/>
          <w:highlight w:val="none"/>
        </w:rPr>
        <w:t>（四）正在施工的和新承接的项目情况表</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项目名称</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项目所在地</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发包人名称</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发包人地址</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发包人电话</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签约合同价</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开工日期</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计划竣工日期</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承担的工作</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工程质量</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项目经理</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技术负责人</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总监理工程师及电话</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2410" w:type="dxa"/>
            <w:shd w:val="clear" w:color="auto" w:fill="auto"/>
            <w:vAlign w:val="center"/>
          </w:tcPr>
          <w:p>
            <w:pPr>
              <w:jc w:val="center"/>
              <w:rPr>
                <w:szCs w:val="21"/>
                <w:highlight w:val="none"/>
              </w:rPr>
            </w:pPr>
            <w:r>
              <w:rPr>
                <w:rFonts w:hint="eastAsia"/>
                <w:szCs w:val="21"/>
                <w:highlight w:val="none"/>
              </w:rPr>
              <w:t>项目描述</w:t>
            </w:r>
          </w:p>
        </w:tc>
        <w:tc>
          <w:tcPr>
            <w:tcW w:w="6095" w:type="dxa"/>
            <w:shd w:val="clear" w:color="auto" w:fill="auto"/>
            <w:vAlign w:val="center"/>
          </w:tcPr>
          <w:p>
            <w:pP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410" w:type="dxa"/>
            <w:shd w:val="clear" w:color="auto" w:fill="auto"/>
            <w:vAlign w:val="center"/>
          </w:tcPr>
          <w:p>
            <w:pPr>
              <w:jc w:val="center"/>
              <w:rPr>
                <w:szCs w:val="21"/>
                <w:highlight w:val="none"/>
              </w:rPr>
            </w:pPr>
            <w:r>
              <w:rPr>
                <w:rFonts w:hint="eastAsia"/>
                <w:szCs w:val="21"/>
                <w:highlight w:val="none"/>
              </w:rPr>
              <w:t>备注</w:t>
            </w:r>
          </w:p>
        </w:tc>
        <w:tc>
          <w:tcPr>
            <w:tcW w:w="6095" w:type="dxa"/>
            <w:shd w:val="clear" w:color="auto" w:fill="auto"/>
            <w:vAlign w:val="center"/>
          </w:tcPr>
          <w:p>
            <w:pPr>
              <w:rPr>
                <w:highlight w:val="none"/>
              </w:rPr>
            </w:pPr>
          </w:p>
        </w:tc>
      </w:tr>
    </w:tbl>
    <w:p>
      <w:pPr>
        <w:spacing w:line="440" w:lineRule="exact"/>
        <w:rPr>
          <w:szCs w:val="21"/>
          <w:highlight w:val="none"/>
        </w:rPr>
      </w:pPr>
      <w:r>
        <w:rPr>
          <w:rFonts w:hint="eastAsia" w:ascii="黑体" w:eastAsia="黑体"/>
          <w:szCs w:val="21"/>
          <w:highlight w:val="none"/>
        </w:rPr>
        <w:t>备注：</w:t>
      </w:r>
      <w:r>
        <w:rPr>
          <w:rFonts w:hint="eastAsia"/>
          <w:szCs w:val="21"/>
          <w:highlight w:val="none"/>
        </w:rPr>
        <w:t>本表后附</w:t>
      </w:r>
      <w:r>
        <w:rPr>
          <w:rFonts w:hint="eastAsia"/>
          <w:szCs w:val="21"/>
          <w:highlight w:val="none"/>
          <w:lang w:val="en-US" w:eastAsia="zh-CN"/>
        </w:rPr>
        <w:t>业绩相关证明文件，</w:t>
      </w:r>
      <w:r>
        <w:rPr>
          <w:rFonts w:hint="eastAsia"/>
          <w:szCs w:val="21"/>
          <w:highlight w:val="none"/>
        </w:rPr>
        <w:t>具体要求</w:t>
      </w:r>
      <w:r>
        <w:rPr>
          <w:rFonts w:hint="eastAsia"/>
          <w:szCs w:val="21"/>
          <w:highlight w:val="none"/>
          <w:lang w:val="en-US" w:eastAsia="zh-CN"/>
        </w:rPr>
        <w:t>详</w:t>
      </w:r>
      <w:r>
        <w:rPr>
          <w:rFonts w:hint="eastAsia"/>
          <w:szCs w:val="21"/>
          <w:highlight w:val="none"/>
        </w:rPr>
        <w:t>见投标人须知前附表</w:t>
      </w:r>
      <w:r>
        <w:rPr>
          <w:rFonts w:hint="eastAsia"/>
          <w:szCs w:val="21"/>
          <w:highlight w:val="none"/>
          <w:lang w:val="en-US" w:eastAsia="zh-CN"/>
        </w:rPr>
        <w:t>及评分办法备注。</w:t>
      </w:r>
    </w:p>
    <w:p>
      <w:pPr>
        <w:spacing w:before="156" w:beforeLines="50" w:after="312" w:afterLines="100" w:line="440" w:lineRule="exact"/>
        <w:rPr>
          <w:rFonts w:ascii="黑体" w:eastAsia="黑体"/>
          <w:sz w:val="24"/>
          <w:highlight w:val="none"/>
        </w:rPr>
      </w:pPr>
      <w:r>
        <w:rPr>
          <w:szCs w:val="21"/>
          <w:highlight w:val="none"/>
        </w:rPr>
        <w:br w:type="page"/>
      </w:r>
      <w:r>
        <w:rPr>
          <w:rFonts w:hint="eastAsia" w:ascii="黑体" w:eastAsia="黑体"/>
          <w:sz w:val="24"/>
          <w:highlight w:val="none"/>
        </w:rPr>
        <w:t>（五）近年发生的诉讼和仲裁情况</w:t>
      </w:r>
    </w:p>
    <w:p>
      <w:pPr>
        <w:spacing w:line="440" w:lineRule="exact"/>
        <w:ind w:left="630" w:hanging="630" w:hangingChars="300"/>
        <w:rPr>
          <w:szCs w:val="21"/>
          <w:highlight w:val="none"/>
        </w:rPr>
      </w:pPr>
      <w:r>
        <w:rPr>
          <w:rFonts w:hint="eastAsia" w:ascii="黑体" w:eastAsia="黑体"/>
          <w:szCs w:val="21"/>
          <w:highlight w:val="none"/>
        </w:rPr>
        <w:t>说明：</w:t>
      </w:r>
      <w:r>
        <w:rPr>
          <w:rFonts w:hint="eastAsia"/>
          <w:szCs w:val="21"/>
          <w:highlight w:val="none"/>
        </w:rPr>
        <w:t>近年发生的诉讼和仲裁情况仅限于投标人败诉的，且与履行施工承包合同有关的案件，不包括调解结案以及未裁决的仲裁或未终审判决的诉讼。</w:t>
      </w:r>
    </w:p>
    <w:p>
      <w:pPr>
        <w:spacing w:before="156" w:beforeLines="50" w:after="156" w:afterLines="50" w:line="440" w:lineRule="exact"/>
        <w:ind w:left="630" w:hanging="630" w:hangingChars="300"/>
        <w:rPr>
          <w:rFonts w:ascii="黑体" w:eastAsia="黑体"/>
          <w:sz w:val="24"/>
          <w:highlight w:val="none"/>
        </w:rPr>
      </w:pPr>
      <w:r>
        <w:rPr>
          <w:szCs w:val="21"/>
          <w:highlight w:val="none"/>
        </w:rPr>
        <w:br w:type="page"/>
      </w:r>
      <w:r>
        <w:rPr>
          <w:rFonts w:hint="eastAsia" w:ascii="黑体" w:eastAsia="黑体"/>
          <w:sz w:val="24"/>
          <w:highlight w:val="none"/>
        </w:rPr>
        <w:t>（六）企业其他信誉情况表</w:t>
      </w:r>
      <w:r>
        <w:rPr>
          <w:rFonts w:hint="eastAsia" w:ascii="楷体_GB2312" w:eastAsia="楷体_GB2312"/>
          <w:sz w:val="24"/>
          <w:highlight w:val="none"/>
        </w:rPr>
        <w:t>（年份要求同诉讼及仲裁情况年份要求）</w:t>
      </w:r>
    </w:p>
    <w:p>
      <w:pPr>
        <w:spacing w:line="440" w:lineRule="exact"/>
        <w:ind w:left="630" w:hanging="630" w:hangingChars="300"/>
        <w:rPr>
          <w:rFonts w:ascii="黑体" w:eastAsia="黑体"/>
          <w:szCs w:val="21"/>
          <w:highlight w:val="none"/>
        </w:rPr>
      </w:pPr>
      <w:r>
        <w:rPr>
          <w:rFonts w:hint="eastAsia" w:ascii="黑体" w:eastAsia="黑体"/>
          <w:szCs w:val="21"/>
          <w:highlight w:val="none"/>
        </w:rPr>
        <w:t>1、近年企业不良行为记录情况</w:t>
      </w:r>
    </w:p>
    <w:p>
      <w:pPr>
        <w:spacing w:line="440" w:lineRule="exact"/>
        <w:ind w:left="630" w:hanging="630" w:hangingChars="300"/>
        <w:rPr>
          <w:rFonts w:ascii="黑体" w:eastAsia="黑体"/>
          <w:szCs w:val="21"/>
          <w:highlight w:val="none"/>
        </w:rPr>
      </w:pPr>
      <w:r>
        <w:rPr>
          <w:rFonts w:hint="eastAsia" w:ascii="黑体" w:eastAsia="黑体"/>
          <w:szCs w:val="21"/>
          <w:highlight w:val="none"/>
        </w:rPr>
        <w:t>2、在施工程以及近年已竣工工程合同履行情况</w:t>
      </w:r>
    </w:p>
    <w:p>
      <w:pPr>
        <w:spacing w:line="440" w:lineRule="exact"/>
        <w:ind w:left="630" w:hanging="630" w:hangingChars="300"/>
        <w:rPr>
          <w:rFonts w:ascii="黑体" w:eastAsia="黑体"/>
          <w:szCs w:val="21"/>
          <w:highlight w:val="none"/>
        </w:rPr>
      </w:pPr>
      <w:r>
        <w:rPr>
          <w:rFonts w:hint="eastAsia" w:ascii="黑体" w:eastAsia="黑体"/>
          <w:szCs w:val="21"/>
          <w:highlight w:val="none"/>
        </w:rPr>
        <w:t>3、其  他</w:t>
      </w:r>
    </w:p>
    <w:p>
      <w:pPr>
        <w:spacing w:line="440" w:lineRule="exact"/>
        <w:ind w:left="945" w:hanging="945" w:hangingChars="450"/>
        <w:rPr>
          <w:szCs w:val="21"/>
          <w:highlight w:val="none"/>
        </w:rPr>
      </w:pPr>
      <w:r>
        <w:rPr>
          <w:rFonts w:hint="eastAsia" w:ascii="黑体" w:eastAsia="黑体"/>
          <w:szCs w:val="21"/>
          <w:highlight w:val="none"/>
        </w:rPr>
        <w:t>备注：</w:t>
      </w:r>
      <w:r>
        <w:rPr>
          <w:rFonts w:hint="eastAsia"/>
          <w:szCs w:val="21"/>
          <w:highlight w:val="none"/>
        </w:rPr>
        <w:t>1、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应当结合第二章“投标人须知”前附表第10.1.2项定义的范围填写。</w:t>
      </w:r>
    </w:p>
    <w:p>
      <w:pPr>
        <w:spacing w:line="440" w:lineRule="exact"/>
        <w:ind w:left="945" w:leftChars="300" w:hanging="315" w:hangingChars="150"/>
        <w:rPr>
          <w:szCs w:val="21"/>
          <w:highlight w:val="none"/>
        </w:rPr>
      </w:pPr>
      <w:r>
        <w:rPr>
          <w:rFonts w:hint="eastAsia"/>
          <w:szCs w:val="21"/>
          <w:highlight w:val="none"/>
        </w:rPr>
        <w:t>2、合同履行情况主要是投标人近年所承接工程和已竣工工程是否按合同约定的工期、质量、安全等履行合同义务，对未竣工工程合同履行情况还应重点说明非不可抗力解除合同（如果有)的原因等具体情况，等等。</w:t>
      </w:r>
    </w:p>
    <w:p>
      <w:pPr>
        <w:spacing w:before="156" w:beforeLines="50" w:after="312" w:afterLines="100" w:line="440" w:lineRule="exact"/>
        <w:rPr>
          <w:rFonts w:ascii="黑体" w:eastAsia="黑体"/>
          <w:sz w:val="24"/>
          <w:highlight w:val="none"/>
        </w:rPr>
      </w:pPr>
      <w:r>
        <w:rPr>
          <w:szCs w:val="21"/>
          <w:highlight w:val="none"/>
        </w:rPr>
        <w:br w:type="page"/>
      </w:r>
      <w:r>
        <w:rPr>
          <w:rFonts w:hint="eastAsia" w:ascii="黑体" w:eastAsia="黑体"/>
          <w:sz w:val="24"/>
          <w:highlight w:val="none"/>
        </w:rPr>
        <w:t>（七）主要项目管理人员简历表</w:t>
      </w:r>
    </w:p>
    <w:p>
      <w:pPr>
        <w:spacing w:line="440" w:lineRule="exact"/>
        <w:rPr>
          <w:szCs w:val="21"/>
          <w:highlight w:val="none"/>
        </w:rPr>
      </w:pPr>
      <w:r>
        <w:rPr>
          <w:rFonts w:hint="eastAsia" w:ascii="黑体" w:eastAsia="黑体"/>
          <w:szCs w:val="21"/>
          <w:highlight w:val="none"/>
        </w:rPr>
        <w:t>说明：</w:t>
      </w:r>
      <w:r>
        <w:rPr>
          <w:rFonts w:hint="eastAsia"/>
          <w:szCs w:val="21"/>
          <w:highlight w:val="none"/>
        </w:rPr>
        <w:t>“主要人员简历表”同本章附件七之（二）。未进行资格预审但本章“项目管理机构”已有本表内容的，无需重复提交。</w:t>
      </w:r>
    </w:p>
    <w:p>
      <w:pPr>
        <w:spacing w:before="312" w:beforeLines="100" w:line="440" w:lineRule="exact"/>
        <w:jc w:val="cente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rPr>
          <w:szCs w:val="21"/>
          <w:highlight w:val="none"/>
        </w:rPr>
      </w:pPr>
    </w:p>
    <w:p>
      <w:pPr>
        <w:tabs>
          <w:tab w:val="left" w:pos="4877"/>
        </w:tabs>
        <w:spacing w:before="312" w:beforeLines="100" w:line="440" w:lineRule="exact"/>
        <w:jc w:val="left"/>
        <w:rPr>
          <w:szCs w:val="21"/>
          <w:highlight w:val="none"/>
        </w:rPr>
      </w:pPr>
      <w:r>
        <w:rPr>
          <w:szCs w:val="21"/>
          <w:highlight w:val="none"/>
        </w:rPr>
        <w:tab/>
      </w:r>
    </w:p>
    <w:p>
      <w:pPr>
        <w:numPr>
          <w:ilvl w:val="0"/>
          <w:numId w:val="0"/>
        </w:numPr>
        <w:spacing w:before="312" w:beforeLines="100" w:line="440" w:lineRule="exact"/>
        <w:jc w:val="center"/>
        <w:rPr>
          <w:rFonts w:hint="eastAsia" w:ascii="黑体" w:eastAsia="黑体"/>
          <w:sz w:val="28"/>
          <w:szCs w:val="28"/>
          <w:highlight w:val="none"/>
        </w:rPr>
      </w:pPr>
      <w:r>
        <w:rPr>
          <w:szCs w:val="21"/>
          <w:highlight w:val="none"/>
        </w:rPr>
        <w:br w:type="page"/>
      </w:r>
      <w:r>
        <w:rPr>
          <w:rFonts w:hint="eastAsia" w:ascii="黑体" w:eastAsia="黑体"/>
          <w:sz w:val="28"/>
          <w:szCs w:val="28"/>
          <w:highlight w:val="none"/>
          <w:lang w:val="en-US" w:eastAsia="zh-CN"/>
        </w:rPr>
        <w:t>九、</w:t>
      </w:r>
      <w:r>
        <w:rPr>
          <w:rFonts w:hint="eastAsia" w:ascii="黑体" w:eastAsia="黑体"/>
          <w:sz w:val="28"/>
          <w:szCs w:val="28"/>
          <w:highlight w:val="none"/>
        </w:rPr>
        <w:t>其他材料</w:t>
      </w:r>
    </w:p>
    <w:p>
      <w:pPr>
        <w:spacing w:line="480" w:lineRule="exact"/>
        <w:ind w:firstLine="2319" w:firstLineChars="1100"/>
        <w:rPr>
          <w:rFonts w:hint="eastAsia"/>
          <w:b/>
          <w:bCs/>
          <w:szCs w:val="21"/>
          <w:highlight w:val="none"/>
        </w:rPr>
      </w:pPr>
    </w:p>
    <w:p>
      <w:pPr>
        <w:pStyle w:val="2"/>
        <w:bidi w:val="0"/>
        <w:jc w:val="center"/>
        <w:rPr>
          <w:rFonts w:hint="eastAsia"/>
          <w:sz w:val="32"/>
          <w:szCs w:val="32"/>
          <w:highlight w:val="none"/>
        </w:rPr>
      </w:pPr>
      <w:r>
        <w:rPr>
          <w:rFonts w:hint="eastAsia"/>
          <w:sz w:val="32"/>
          <w:szCs w:val="32"/>
          <w:highlight w:val="none"/>
        </w:rPr>
        <w:t>中标保证不更换项目经理</w:t>
      </w:r>
      <w:r>
        <w:rPr>
          <w:rFonts w:hint="eastAsia"/>
          <w:sz w:val="32"/>
          <w:szCs w:val="32"/>
          <w:highlight w:val="none"/>
          <w:lang w:val="en-US" w:eastAsia="zh-CN"/>
        </w:rPr>
        <w:t>的</w:t>
      </w:r>
      <w:r>
        <w:rPr>
          <w:rFonts w:hint="eastAsia"/>
          <w:sz w:val="32"/>
          <w:szCs w:val="32"/>
          <w:highlight w:val="none"/>
        </w:rPr>
        <w:t>承诺书</w:t>
      </w:r>
    </w:p>
    <w:p>
      <w:pPr>
        <w:numPr>
          <w:ilvl w:val="0"/>
          <w:numId w:val="0"/>
        </w:numPr>
        <w:spacing w:before="312" w:beforeLines="100" w:line="440" w:lineRule="exact"/>
        <w:jc w:val="both"/>
        <w:rPr>
          <w:rFonts w:hint="eastAsia" w:ascii="黑体" w:eastAsia="黑体"/>
          <w:sz w:val="28"/>
          <w:szCs w:val="28"/>
          <w:highlight w:val="none"/>
        </w:rPr>
      </w:pPr>
      <w:r>
        <w:rPr>
          <w:rFonts w:hint="eastAsia"/>
          <w:szCs w:val="21"/>
          <w:highlight w:val="none"/>
        </w:rPr>
        <w:t xml:space="preserve">致： </w:t>
      </w:r>
      <w:r>
        <w:rPr>
          <w:rFonts w:hint="eastAsia" w:ascii="黑体" w:eastAsia="黑体"/>
          <w:sz w:val="28"/>
          <w:szCs w:val="28"/>
          <w:highlight w:val="none"/>
        </w:rPr>
        <w:t>                 </w:t>
      </w:r>
    </w:p>
    <w:p>
      <w:pPr>
        <w:spacing w:line="480" w:lineRule="exact"/>
        <w:ind w:firstLine="630" w:firstLineChars="300"/>
        <w:rPr>
          <w:rFonts w:hint="eastAsia" w:eastAsia="宋体"/>
          <w:szCs w:val="21"/>
          <w:highlight w:val="none"/>
          <w:lang w:eastAsia="zh-CN"/>
        </w:rPr>
      </w:pPr>
      <w:r>
        <w:rPr>
          <w:rFonts w:hint="eastAsia"/>
          <w:szCs w:val="21"/>
          <w:highlight w:val="none"/>
        </w:rPr>
        <w:t xml:space="preserve">若我单位在 </w:t>
      </w:r>
      <w:r>
        <w:rPr>
          <w:rFonts w:hint="eastAsia"/>
          <w:szCs w:val="21"/>
          <w:highlight w:val="none"/>
          <w:u w:val="single"/>
        </w:rPr>
        <w:t xml:space="preserve">             </w:t>
      </w:r>
      <w:r>
        <w:rPr>
          <w:rFonts w:hint="eastAsia"/>
          <w:szCs w:val="21"/>
          <w:highlight w:val="none"/>
        </w:rPr>
        <w:t>工程项目中，有幸中标，在该项目实施过程中，我们除响应投标文件中所有的条款及履约合同内容外，我公司郑重承诺，坚决不对本项目的项目经理进行更换，保证项目经理与投标文件中所记载的一致</w:t>
      </w:r>
      <w:r>
        <w:rPr>
          <w:rFonts w:hint="eastAsia"/>
          <w:szCs w:val="21"/>
          <w:highlight w:val="none"/>
          <w:lang w:eastAsia="zh-CN"/>
        </w:rPr>
        <w:t>。</w:t>
      </w:r>
    </w:p>
    <w:p>
      <w:pPr>
        <w:spacing w:line="480" w:lineRule="exact"/>
        <w:ind w:firstLine="3990" w:firstLineChars="1900"/>
        <w:rPr>
          <w:rFonts w:hint="eastAsia"/>
          <w:szCs w:val="21"/>
          <w:highlight w:val="none"/>
        </w:rPr>
      </w:pPr>
    </w:p>
    <w:p>
      <w:pPr>
        <w:spacing w:line="480" w:lineRule="exact"/>
        <w:ind w:firstLine="4006" w:firstLineChars="1900"/>
        <w:rPr>
          <w:szCs w:val="21"/>
          <w:highlight w:val="none"/>
        </w:rPr>
      </w:pPr>
      <w:r>
        <w:rPr>
          <w:rFonts w:hint="eastAsia"/>
          <w:b/>
          <w:szCs w:val="21"/>
          <w:highlight w:val="none"/>
        </w:rPr>
        <w:t>投标人</w:t>
      </w:r>
      <w:r>
        <w:rPr>
          <w:rFonts w:hint="eastAsia"/>
          <w:szCs w:val="21"/>
          <w:highlight w:val="none"/>
        </w:rPr>
        <w:t>（盖章）：</w:t>
      </w:r>
    </w:p>
    <w:p>
      <w:pPr>
        <w:spacing w:line="480" w:lineRule="exact"/>
        <w:ind w:firstLine="4006" w:firstLineChars="1900"/>
        <w:rPr>
          <w:szCs w:val="21"/>
          <w:highlight w:val="none"/>
        </w:rPr>
      </w:pPr>
      <w:r>
        <w:rPr>
          <w:rFonts w:hint="eastAsia"/>
          <w:b/>
          <w:szCs w:val="21"/>
          <w:highlight w:val="none"/>
        </w:rPr>
        <w:t>法人代表或委托代理人</w:t>
      </w:r>
      <w:r>
        <w:rPr>
          <w:rFonts w:hint="eastAsia"/>
          <w:szCs w:val="21"/>
          <w:highlight w:val="none"/>
        </w:rPr>
        <w:t>（签字或盖章）：</w:t>
      </w:r>
    </w:p>
    <w:p>
      <w:pPr>
        <w:spacing w:line="480" w:lineRule="exact"/>
        <w:ind w:firstLine="4006" w:firstLineChars="1900"/>
        <w:rPr>
          <w:b/>
          <w:szCs w:val="21"/>
          <w:highlight w:val="none"/>
        </w:rPr>
      </w:pPr>
      <w:r>
        <w:rPr>
          <w:rFonts w:hint="eastAsia"/>
          <w:b/>
          <w:szCs w:val="21"/>
          <w:highlight w:val="none"/>
        </w:rPr>
        <w:t>日期：</w:t>
      </w:r>
      <w:r>
        <w:rPr>
          <w:rFonts w:hint="eastAsia"/>
          <w:b/>
          <w:szCs w:val="21"/>
          <w:highlight w:val="none"/>
          <w:u w:val="single"/>
        </w:rPr>
        <w:t xml:space="preserve">    </w:t>
      </w:r>
      <w:r>
        <w:rPr>
          <w:rFonts w:hint="eastAsia"/>
          <w:b/>
          <w:szCs w:val="21"/>
          <w:highlight w:val="none"/>
        </w:rPr>
        <w:t>年</w:t>
      </w:r>
      <w:r>
        <w:rPr>
          <w:rFonts w:hint="eastAsia"/>
          <w:b/>
          <w:szCs w:val="21"/>
          <w:highlight w:val="none"/>
          <w:u w:val="single"/>
        </w:rPr>
        <w:t xml:space="preserve">      </w:t>
      </w:r>
      <w:r>
        <w:rPr>
          <w:rFonts w:hint="eastAsia"/>
          <w:b/>
          <w:szCs w:val="21"/>
          <w:highlight w:val="none"/>
        </w:rPr>
        <w:t>月</w:t>
      </w:r>
      <w:r>
        <w:rPr>
          <w:rFonts w:hint="eastAsia"/>
          <w:b/>
          <w:szCs w:val="21"/>
          <w:highlight w:val="none"/>
          <w:u w:val="single"/>
        </w:rPr>
        <w:t xml:space="preserve">      </w:t>
      </w:r>
      <w:r>
        <w:rPr>
          <w:rFonts w:hint="eastAsia"/>
          <w:b/>
          <w:szCs w:val="21"/>
          <w:highlight w:val="none"/>
        </w:rPr>
        <w:t>日</w:t>
      </w:r>
    </w:p>
    <w:p>
      <w:pPr>
        <w:numPr>
          <w:ilvl w:val="0"/>
          <w:numId w:val="0"/>
        </w:numPr>
        <w:spacing w:before="312" w:beforeLines="100" w:line="440" w:lineRule="exact"/>
        <w:jc w:val="both"/>
        <w:rPr>
          <w:rFonts w:hint="eastAsia" w:ascii="黑体" w:eastAsia="黑体"/>
          <w:sz w:val="28"/>
          <w:szCs w:val="28"/>
          <w:highlight w:val="none"/>
        </w:rPr>
      </w:pPr>
    </w:p>
    <w:p>
      <w:pPr>
        <w:rPr>
          <w:highlight w:val="none"/>
        </w:rPr>
      </w:pPr>
    </w:p>
    <w:sectPr>
      <w:footerReference r:id="rId12"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CG Times (W1)">
    <w:altName w:val="Times New Roman"/>
    <w:panose1 w:val="00000000000000000000"/>
    <w:charset w:val="00"/>
    <w:family w:val="roman"/>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Unicode MS">
    <w:altName w:val="宋体"/>
    <w:panose1 w:val="020B0604020202020204"/>
    <w:charset w:val="86"/>
    <w:family w:val="swiss"/>
    <w:pitch w:val="default"/>
    <w:sig w:usb0="00000000" w:usb1="00000000" w:usb2="0000003F" w:usb3="00000000" w:csb0="003F01FF" w:csb1="00000000"/>
  </w:font>
  <w:font w:name=".a....ì.">
    <w:altName w:val="宋体"/>
    <w:panose1 w:val="00000000000000000000"/>
    <w:charset w:val="86"/>
    <w:family w:val="swiss"/>
    <w:pitch w:val="default"/>
    <w:sig w:usb0="00000000" w:usb1="00000000" w:usb2="00000010" w:usb3="00000000" w:csb0="00040000" w:csb1="00000000"/>
  </w:font>
  <w:font w:name="方正书宋简体">
    <w:altName w:val="黑体"/>
    <w:panose1 w:val="00000000000000000000"/>
    <w:charset w:val="86"/>
    <w:family w:val="script"/>
    <w:pitch w:val="default"/>
    <w:sig w:usb0="00000000" w:usb1="00000000" w:usb2="0000001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全真中明體">
    <w:altName w:val="MingLiU-ExtB"/>
    <w:panose1 w:val="00000000000000000000"/>
    <w:charset w:val="88"/>
    <w:family w:val="modern"/>
    <w:pitch w:val="default"/>
    <w:sig w:usb0="00000000" w:usb1="00000000" w:usb2="00000010" w:usb3="00000000" w:csb0="00100000" w:csb1="00000000"/>
  </w:font>
  <w:font w:name="新宋体">
    <w:panose1 w:val="02010609030101010101"/>
    <w:charset w:val="86"/>
    <w:family w:val="modern"/>
    <w:pitch w:val="default"/>
    <w:sig w:usb0="00000283" w:usb1="288F0000" w:usb2="00000006" w:usb3="00000000" w:csb0="00040001" w:csb1="00000000"/>
  </w:font>
  <w:font w:name="Univers">
    <w:altName w:val="Segoe Print"/>
    <w:panose1 w:val="00000000000000000000"/>
    <w:charset w:val="00"/>
    <w:family w:val="swiss"/>
    <w:pitch w:val="default"/>
    <w:sig w:usb0="00000000" w:usb1="00000000" w:usb2="00000000" w:usb3="00000000" w:csb0="0000000F" w:csb1="00000000"/>
  </w:font>
  <w:font w:name="华文细黑">
    <w:altName w:val="微软雅黑"/>
    <w:panose1 w:val="02010600040101010101"/>
    <w:charset w:val="86"/>
    <w:family w:val="auto"/>
    <w:pitch w:val="default"/>
    <w:sig w:usb0="00000000" w:usb1="00000000" w:usb2="00000000" w:usb3="00000000" w:csb0="0004009F" w:csb1="DFD70000"/>
  </w:font>
  <w:font w:name="Verdana">
    <w:panose1 w:val="020B0604030504040204"/>
    <w:charset w:val="00"/>
    <w:family w:val="swiss"/>
    <w:pitch w:val="default"/>
    <w:sig w:usb0="A00006FF" w:usb1="4000205B" w:usb2="00000010" w:usb3="00000000" w:csb0="2000019F" w:csb1="00000000"/>
  </w:font>
  <w:font w:name="幼圆">
    <w:altName w:val="宋体"/>
    <w:panose1 w:val="02010509060101010101"/>
    <w:charset w:val="86"/>
    <w:family w:val="modern"/>
    <w:pitch w:val="default"/>
    <w:sig w:usb0="00000000" w:usb1="0000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normal ˎ̥">
    <w:altName w:val="Times New Roman"/>
    <w:panose1 w:val="00000000000000000000"/>
    <w:charset w:val="00"/>
    <w:family w:val="roman"/>
    <w:pitch w:val="default"/>
    <w:sig w:usb0="00000000" w:usb1="00000000" w:usb2="00000000" w:usb3="00000000" w:csb0="00040001" w:csb1="00000000"/>
  </w:font>
  <w:font w:name="MingLiU">
    <w:altName w:val="PMingLiU-ExtB"/>
    <w:panose1 w:val="02020509000000000000"/>
    <w:charset w:val="88"/>
    <w:family w:val="modern"/>
    <w:pitch w:val="default"/>
    <w:sig w:usb0="00000000" w:usb1="00000000" w:usb2="00000016" w:usb3="00000000" w:csb0="00100001" w:csb1="00000000"/>
  </w:font>
  <w:font w:name="华文楷体">
    <w:altName w:val="宋体"/>
    <w:panose1 w:val="02010600040101010101"/>
    <w:charset w:val="86"/>
    <w:family w:val="auto"/>
    <w:pitch w:val="default"/>
    <w:sig w:usb0="00000000" w:usb1="00000000" w:usb2="00000000" w:usb3="00000000" w:csb0="0004009F" w:csb1="DFD70000"/>
  </w:font>
  <w:font w:name="Arial Narrow">
    <w:altName w:val="Arial"/>
    <w:panose1 w:val="020B0606020202030204"/>
    <w:charset w:val="00"/>
    <w:family w:val="swiss"/>
    <w:pitch w:val="default"/>
    <w:sig w:usb0="00000000" w:usb1="00000000" w:usb2="00000000" w:usb3="00000000" w:csb0="2000009F" w:csb1="DFD70000"/>
  </w:font>
  <w:font w:name="Wingdings">
    <w:panose1 w:val="05000000000000000000"/>
    <w:charset w:val="00"/>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MingLiU-ExtB">
    <w:panose1 w:val="02020500000000000000"/>
    <w:charset w:val="88"/>
    <w:family w:val="auto"/>
    <w:pitch w:val="default"/>
    <w:sig w:usb0="8000002F" w:usb1="02000008" w:usb2="00000000" w:usb3="00000000" w:csb0="00100001"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PMingLiU-ExtB">
    <w:panose1 w:val="02020500000000000000"/>
    <w:charset w:val="88"/>
    <w:family w:val="auto"/>
    <w:pitch w:val="default"/>
    <w:sig w:usb0="8000002F" w:usb1="02000008" w:usb2="00000000" w:usb3="00000000" w:csb0="0010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fldChar w:fldCharType="begin"/>
    </w:r>
    <w:r>
      <w:instrText xml:space="preserve"> PAGE   \* MERGEFORMAT </w:instrText>
    </w:r>
    <w:r>
      <w:fldChar w:fldCharType="separate"/>
    </w:r>
    <w:r>
      <w:rPr>
        <w:lang w:val="zh-CN"/>
      </w:rPr>
      <w:t>61</w:t>
    </w:r>
    <w:r>
      <w:rPr>
        <w:lang w:val="zh-CN"/>
      </w:rPr>
      <w:fldChar w:fldCharType="end"/>
    </w:r>
  </w:p>
  <w:p>
    <w:pPr>
      <w:pStyle w:val="33"/>
      <w:tabs>
        <w:tab w:val="left" w:pos="3898"/>
        <w:tab w:val="clear" w:pos="4153"/>
        <w:tab w:val="clear" w:pos="8306"/>
      </w:tabs>
      <w:ind w:firstLine="630"/>
      <w:rPr>
        <w:rFonts w:ascii="Arial" w:hAnsi="Arial" w:cs="Arial"/>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framePr w:wrap="around" w:vAnchor="text" w:hAnchor="margin" w:xAlign="center" w:y="1"/>
      <w:rPr>
        <w:rStyle w:val="55"/>
      </w:rPr>
    </w:pPr>
    <w:r>
      <w:fldChar w:fldCharType="begin"/>
    </w:r>
    <w:r>
      <w:rPr>
        <w:rStyle w:val="55"/>
      </w:rPr>
      <w:instrText xml:space="preserve">PAGE  </w:instrText>
    </w:r>
    <w:r>
      <w:fldChar w:fldCharType="separate"/>
    </w:r>
    <w:r>
      <w:rPr>
        <w:rStyle w:val="55"/>
      </w:rPr>
      <w:t>72</w:t>
    </w:r>
    <w:r>
      <w:fldChar w:fldCharType="end"/>
    </w:r>
  </w:p>
  <w:p>
    <w:pPr>
      <w:pStyle w:val="33"/>
      <w:jc w:val="center"/>
    </w:pPr>
    <w:r>
      <w:rPr>
        <w:szCs w:val="21"/>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rPr>
        <w:rStyle w:val="55"/>
      </w:rPr>
      <w:tab/>
    </w:r>
    <w:r>
      <w:rPr>
        <w:rStyle w:val="55"/>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fldChar w:fldCharType="begin"/>
    </w:r>
    <w:r>
      <w:instrText xml:space="preserve"> PAGE   \* MERGEFORMAT </w:instrText>
    </w:r>
    <w:r>
      <w:fldChar w:fldCharType="separate"/>
    </w:r>
    <w:r>
      <w:rPr>
        <w:lang w:val="zh-CN"/>
      </w:rPr>
      <w:t>98</w:t>
    </w:r>
    <w:r>
      <w:rPr>
        <w:lang w:val="zh-CN"/>
      </w:rPr>
      <w:fldChar w:fldCharType="end"/>
    </w:r>
  </w:p>
  <w:p>
    <w:pPr>
      <w:pStyle w:val="33"/>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fldChar w:fldCharType="begin"/>
    </w:r>
    <w:r>
      <w:instrText xml:space="preserve">PAGE   \* MERGEFORMAT</w:instrText>
    </w:r>
    <w:r>
      <w:fldChar w:fldCharType="separate"/>
    </w:r>
    <w:r>
      <w:rPr>
        <w:lang w:val="zh-CN"/>
      </w:rPr>
      <w:t>133</w:t>
    </w:r>
    <w:r>
      <w:rPr>
        <w:lang w:val="zh-CN"/>
      </w:rPr>
      <w:fldChar w:fldCharType="end"/>
    </w:r>
  </w:p>
  <w:p>
    <w:pPr>
      <w:pStyle w:val="33"/>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fldChar w:fldCharType="begin"/>
    </w:r>
    <w:r>
      <w:instrText xml:space="preserve">PAGE   \* MERGEFORMAT</w:instrText>
    </w:r>
    <w:r>
      <w:fldChar w:fldCharType="separate"/>
    </w:r>
    <w:r>
      <w:rPr>
        <w:lang w:val="zh-CN"/>
      </w:rPr>
      <w:t>135</w:t>
    </w:r>
    <w:r>
      <w:rPr>
        <w:lang w:val="zh-CN"/>
      </w:rPr>
      <w:fldChar w:fldCharType="end"/>
    </w:r>
  </w:p>
  <w:p>
    <w:pPr>
      <w:pStyle w:val="33"/>
      <w:tabs>
        <w:tab w:val="left" w:pos="3848"/>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fldChar w:fldCharType="begin"/>
    </w:r>
    <w:r>
      <w:instrText xml:space="preserve">PAGE   \* MERGEFORMAT</w:instrText>
    </w:r>
    <w:r>
      <w:fldChar w:fldCharType="separate"/>
    </w:r>
    <w:r>
      <w:rPr>
        <w:lang w:val="zh-CN"/>
      </w:rPr>
      <w:t>176</w:t>
    </w:r>
    <w:r>
      <w:rPr>
        <w:lang w:val="zh-CN"/>
      </w:rPr>
      <w:fldChar w:fldCharType="end"/>
    </w:r>
  </w:p>
  <w:p>
    <w:pPr>
      <w:pStyle w:val="33"/>
      <w:tabs>
        <w:tab w:val="left" w:pos="3848"/>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pBdr>
        <w:bottom w:val="none" w:color="auto" w:sz="0" w:space="0"/>
      </w:pBd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0B633E"/>
    <w:multiLevelType w:val="singleLevel"/>
    <w:tmpl w:val="910B633E"/>
    <w:lvl w:ilvl="0" w:tentative="0">
      <w:start w:val="2"/>
      <w:numFmt w:val="decimal"/>
      <w:suff w:val="nothing"/>
      <w:lvlText w:val="%1、"/>
      <w:lvlJc w:val="left"/>
    </w:lvl>
  </w:abstractNum>
  <w:abstractNum w:abstractNumId="1">
    <w:nsid w:val="B556FCB8"/>
    <w:multiLevelType w:val="singleLevel"/>
    <w:tmpl w:val="B556FCB8"/>
    <w:lvl w:ilvl="0" w:tentative="0">
      <w:start w:val="1"/>
      <w:numFmt w:val="decimal"/>
      <w:suff w:val="nothing"/>
      <w:lvlText w:val="%1、"/>
      <w:lvlJc w:val="left"/>
    </w:lvl>
  </w:abstractNum>
  <w:abstractNum w:abstractNumId="2">
    <w:nsid w:val="BE1369BF"/>
    <w:multiLevelType w:val="singleLevel"/>
    <w:tmpl w:val="BE1369BF"/>
    <w:lvl w:ilvl="0" w:tentative="0">
      <w:start w:val="2"/>
      <w:numFmt w:val="chineseCounting"/>
      <w:suff w:val="nothing"/>
      <w:lvlText w:val="%1、"/>
      <w:lvlJc w:val="left"/>
      <w:rPr>
        <w:rFonts w:hint="eastAsia"/>
      </w:rPr>
    </w:lvl>
  </w:abstractNum>
  <w:abstractNum w:abstractNumId="3">
    <w:nsid w:val="00000012"/>
    <w:multiLevelType w:val="multilevel"/>
    <w:tmpl w:val="00000012"/>
    <w:lvl w:ilvl="0" w:tentative="0">
      <w:start w:val="1"/>
      <w:numFmt w:val="decimal"/>
      <w:lvlText w:val="(%1)"/>
      <w:lvlJc w:val="left"/>
      <w:pPr>
        <w:tabs>
          <w:tab w:val="left" w:pos="425"/>
        </w:tabs>
        <w:ind w:left="425" w:hanging="425"/>
      </w:pPr>
      <w:rPr>
        <w:rFonts w:hint="eastAsia"/>
      </w:rPr>
    </w:lvl>
    <w:lvl w:ilvl="1" w:tentative="0">
      <w:start w:val="1"/>
      <w:numFmt w:val="decimal"/>
      <w:lvlText w:val="(%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4">
    <w:nsid w:val="00000022"/>
    <w:multiLevelType w:val="multilevel"/>
    <w:tmpl w:val="00000022"/>
    <w:lvl w:ilvl="0" w:tentative="0">
      <w:start w:val="1"/>
      <w:numFmt w:val="decimal"/>
      <w:lvlText w:val="(%1)"/>
      <w:lvlJc w:val="left"/>
      <w:pPr>
        <w:tabs>
          <w:tab w:val="left" w:pos="425"/>
        </w:tabs>
        <w:ind w:left="425" w:hanging="425"/>
      </w:pPr>
      <w:rPr>
        <w:rFonts w:hint="eastAsia"/>
      </w:rPr>
    </w:lvl>
    <w:lvl w:ilvl="1" w:tentative="0">
      <w:start w:val="1"/>
      <w:numFmt w:val="decimal"/>
      <w:lvlText w:val="%2）"/>
      <w:lvlJc w:val="left"/>
      <w:pPr>
        <w:tabs>
          <w:tab w:val="left" w:pos="992"/>
        </w:tabs>
        <w:ind w:left="992" w:hanging="567"/>
      </w:pPr>
      <w:rPr>
        <w:rFonts w:hint="default" w:ascii="Arial Narrow" w:hAnsi="Arial Narrow"/>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5">
    <w:nsid w:val="00000023"/>
    <w:multiLevelType w:val="multilevel"/>
    <w:tmpl w:val="00000023"/>
    <w:lvl w:ilvl="0" w:tentative="0">
      <w:start w:val="1"/>
      <w:numFmt w:val="decimal"/>
      <w:lvlText w:val="(%1)"/>
      <w:lvlJc w:val="left"/>
      <w:pPr>
        <w:tabs>
          <w:tab w:val="left" w:pos="425"/>
        </w:tabs>
        <w:ind w:left="425" w:hanging="425"/>
      </w:pPr>
      <w:rPr>
        <w:rFonts w:hint="eastAsia"/>
      </w:rPr>
    </w:lvl>
    <w:lvl w:ilvl="1" w:tentative="0">
      <w:start w:val="1"/>
      <w:numFmt w:val="decimal"/>
      <w:lvlText w:val="%2）"/>
      <w:lvlJc w:val="left"/>
      <w:pPr>
        <w:tabs>
          <w:tab w:val="left" w:pos="992"/>
        </w:tabs>
        <w:ind w:left="992" w:hanging="567"/>
      </w:pPr>
      <w:rPr>
        <w:rFonts w:hint="default" w:ascii="Arial Narrow" w:hAnsi="Arial Narrow"/>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6">
    <w:nsid w:val="00000025"/>
    <w:multiLevelType w:val="multilevel"/>
    <w:tmpl w:val="00000025"/>
    <w:lvl w:ilvl="0" w:tentative="0">
      <w:start w:val="1"/>
      <w:numFmt w:val="decimal"/>
      <w:lvlText w:val="(%1)"/>
      <w:lvlJc w:val="left"/>
      <w:pPr>
        <w:tabs>
          <w:tab w:val="left" w:pos="425"/>
        </w:tabs>
        <w:ind w:left="425" w:hanging="425"/>
      </w:pPr>
      <w:rPr>
        <w:rFonts w:hint="eastAsia"/>
      </w:rPr>
    </w:lvl>
    <w:lvl w:ilvl="1" w:tentative="0">
      <w:start w:val="1"/>
      <w:numFmt w:val="decimal"/>
      <w:lvlText w:val="%2）"/>
      <w:lvlJc w:val="left"/>
      <w:pPr>
        <w:tabs>
          <w:tab w:val="left" w:pos="992"/>
        </w:tabs>
        <w:ind w:left="992" w:hanging="567"/>
      </w:pPr>
      <w:rPr>
        <w:rFonts w:hint="default" w:ascii="Arial Narrow" w:hAnsi="Arial Narrow"/>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06BB7657"/>
    <w:multiLevelType w:val="multilevel"/>
    <w:tmpl w:val="06BB7657"/>
    <w:lvl w:ilvl="0" w:tentative="0">
      <w:start w:val="1"/>
      <w:numFmt w:val="decimal"/>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9900F5D"/>
    <w:multiLevelType w:val="multilevel"/>
    <w:tmpl w:val="09900F5D"/>
    <w:lvl w:ilvl="0" w:tentative="0">
      <w:start w:val="1"/>
      <w:numFmt w:val="decimal"/>
      <w:lvlText w:val="（%1）"/>
      <w:lvlJc w:val="left"/>
      <w:pPr>
        <w:tabs>
          <w:tab w:val="left" w:pos="1199"/>
        </w:tabs>
        <w:ind w:left="1199" w:hanging="720"/>
      </w:pPr>
      <w:rPr>
        <w:rFonts w:hint="default"/>
      </w:rPr>
    </w:lvl>
    <w:lvl w:ilvl="1" w:tentative="0">
      <w:start w:val="1"/>
      <w:numFmt w:val="lowerLetter"/>
      <w:lvlText w:val="%2)"/>
      <w:lvlJc w:val="left"/>
      <w:pPr>
        <w:tabs>
          <w:tab w:val="left" w:pos="1319"/>
        </w:tabs>
        <w:ind w:left="1319" w:hanging="420"/>
      </w:pPr>
    </w:lvl>
    <w:lvl w:ilvl="2" w:tentative="0">
      <w:start w:val="1"/>
      <w:numFmt w:val="lowerRoman"/>
      <w:lvlText w:val="%3."/>
      <w:lvlJc w:val="right"/>
      <w:pPr>
        <w:tabs>
          <w:tab w:val="left" w:pos="1739"/>
        </w:tabs>
        <w:ind w:left="1739" w:hanging="420"/>
      </w:pPr>
    </w:lvl>
    <w:lvl w:ilvl="3" w:tentative="0">
      <w:start w:val="1"/>
      <w:numFmt w:val="decimal"/>
      <w:lvlText w:val="%4."/>
      <w:lvlJc w:val="left"/>
      <w:pPr>
        <w:tabs>
          <w:tab w:val="left" w:pos="2159"/>
        </w:tabs>
        <w:ind w:left="2159" w:hanging="420"/>
      </w:pPr>
    </w:lvl>
    <w:lvl w:ilvl="4" w:tentative="0">
      <w:start w:val="1"/>
      <w:numFmt w:val="lowerLetter"/>
      <w:lvlText w:val="%5)"/>
      <w:lvlJc w:val="left"/>
      <w:pPr>
        <w:tabs>
          <w:tab w:val="left" w:pos="2579"/>
        </w:tabs>
        <w:ind w:left="2579" w:hanging="420"/>
      </w:pPr>
    </w:lvl>
    <w:lvl w:ilvl="5" w:tentative="0">
      <w:start w:val="1"/>
      <w:numFmt w:val="lowerRoman"/>
      <w:lvlText w:val="%6."/>
      <w:lvlJc w:val="right"/>
      <w:pPr>
        <w:tabs>
          <w:tab w:val="left" w:pos="2999"/>
        </w:tabs>
        <w:ind w:left="2999" w:hanging="420"/>
      </w:pPr>
    </w:lvl>
    <w:lvl w:ilvl="6" w:tentative="0">
      <w:start w:val="1"/>
      <w:numFmt w:val="decimal"/>
      <w:lvlText w:val="%7."/>
      <w:lvlJc w:val="left"/>
      <w:pPr>
        <w:tabs>
          <w:tab w:val="left" w:pos="3419"/>
        </w:tabs>
        <w:ind w:left="3419" w:hanging="420"/>
      </w:pPr>
    </w:lvl>
    <w:lvl w:ilvl="7" w:tentative="0">
      <w:start w:val="1"/>
      <w:numFmt w:val="lowerLetter"/>
      <w:lvlText w:val="%8)"/>
      <w:lvlJc w:val="left"/>
      <w:pPr>
        <w:tabs>
          <w:tab w:val="left" w:pos="3839"/>
        </w:tabs>
        <w:ind w:left="3839" w:hanging="420"/>
      </w:pPr>
    </w:lvl>
    <w:lvl w:ilvl="8" w:tentative="0">
      <w:start w:val="1"/>
      <w:numFmt w:val="lowerRoman"/>
      <w:lvlText w:val="%9."/>
      <w:lvlJc w:val="right"/>
      <w:pPr>
        <w:tabs>
          <w:tab w:val="left" w:pos="4259"/>
        </w:tabs>
        <w:ind w:left="4259" w:hanging="420"/>
      </w:pPr>
    </w:lvl>
  </w:abstractNum>
  <w:abstractNum w:abstractNumId="9">
    <w:nsid w:val="0BA027E1"/>
    <w:multiLevelType w:val="multilevel"/>
    <w:tmpl w:val="0BA027E1"/>
    <w:lvl w:ilvl="0" w:tentative="0">
      <w:start w:val="1"/>
      <w:numFmt w:val="decimal"/>
      <w:lvlText w:val="（%1）"/>
      <w:lvlJc w:val="left"/>
      <w:pPr>
        <w:tabs>
          <w:tab w:val="left" w:pos="893"/>
        </w:tabs>
        <w:ind w:left="893" w:hanging="420"/>
      </w:pPr>
      <w:rPr>
        <w:rFonts w:hint="eastAsia"/>
      </w:rPr>
    </w:lvl>
    <w:lvl w:ilvl="1" w:tentative="0">
      <w:start w:val="1"/>
      <w:numFmt w:val="lowerLetter"/>
      <w:lvlText w:val="%2)"/>
      <w:lvlJc w:val="left"/>
      <w:pPr>
        <w:tabs>
          <w:tab w:val="left" w:pos="1313"/>
        </w:tabs>
        <w:ind w:left="1313" w:hanging="420"/>
      </w:pPr>
    </w:lvl>
    <w:lvl w:ilvl="2" w:tentative="0">
      <w:start w:val="1"/>
      <w:numFmt w:val="lowerRoman"/>
      <w:lvlText w:val="%3."/>
      <w:lvlJc w:val="right"/>
      <w:pPr>
        <w:tabs>
          <w:tab w:val="left" w:pos="1733"/>
        </w:tabs>
        <w:ind w:left="1733" w:hanging="420"/>
      </w:pPr>
    </w:lvl>
    <w:lvl w:ilvl="3" w:tentative="0">
      <w:start w:val="1"/>
      <w:numFmt w:val="decimal"/>
      <w:lvlText w:val="%4."/>
      <w:lvlJc w:val="left"/>
      <w:pPr>
        <w:tabs>
          <w:tab w:val="left" w:pos="2153"/>
        </w:tabs>
        <w:ind w:left="2153" w:hanging="420"/>
      </w:pPr>
    </w:lvl>
    <w:lvl w:ilvl="4" w:tentative="0">
      <w:start w:val="1"/>
      <w:numFmt w:val="lowerLetter"/>
      <w:lvlText w:val="%5)"/>
      <w:lvlJc w:val="left"/>
      <w:pPr>
        <w:tabs>
          <w:tab w:val="left" w:pos="2573"/>
        </w:tabs>
        <w:ind w:left="2573" w:hanging="420"/>
      </w:pPr>
    </w:lvl>
    <w:lvl w:ilvl="5" w:tentative="0">
      <w:start w:val="1"/>
      <w:numFmt w:val="lowerRoman"/>
      <w:lvlText w:val="%6."/>
      <w:lvlJc w:val="right"/>
      <w:pPr>
        <w:tabs>
          <w:tab w:val="left" w:pos="2993"/>
        </w:tabs>
        <w:ind w:left="2993" w:hanging="420"/>
      </w:pPr>
    </w:lvl>
    <w:lvl w:ilvl="6" w:tentative="0">
      <w:start w:val="1"/>
      <w:numFmt w:val="decimal"/>
      <w:lvlText w:val="%7."/>
      <w:lvlJc w:val="left"/>
      <w:pPr>
        <w:tabs>
          <w:tab w:val="left" w:pos="3413"/>
        </w:tabs>
        <w:ind w:left="3413" w:hanging="420"/>
      </w:pPr>
    </w:lvl>
    <w:lvl w:ilvl="7" w:tentative="0">
      <w:start w:val="1"/>
      <w:numFmt w:val="lowerLetter"/>
      <w:lvlText w:val="%8)"/>
      <w:lvlJc w:val="left"/>
      <w:pPr>
        <w:tabs>
          <w:tab w:val="left" w:pos="3833"/>
        </w:tabs>
        <w:ind w:left="3833" w:hanging="420"/>
      </w:pPr>
    </w:lvl>
    <w:lvl w:ilvl="8" w:tentative="0">
      <w:start w:val="1"/>
      <w:numFmt w:val="lowerRoman"/>
      <w:lvlText w:val="%9."/>
      <w:lvlJc w:val="right"/>
      <w:pPr>
        <w:tabs>
          <w:tab w:val="left" w:pos="4253"/>
        </w:tabs>
        <w:ind w:left="4253" w:hanging="420"/>
      </w:pPr>
    </w:lvl>
  </w:abstractNum>
  <w:abstractNum w:abstractNumId="10">
    <w:nsid w:val="135E281B"/>
    <w:multiLevelType w:val="multilevel"/>
    <w:tmpl w:val="135E281B"/>
    <w:lvl w:ilvl="0" w:tentative="0">
      <w:start w:val="1"/>
      <w:numFmt w:val="japaneseCounting"/>
      <w:lvlText w:val="%1、"/>
      <w:lvlJc w:val="left"/>
      <w:pPr>
        <w:tabs>
          <w:tab w:val="left" w:pos="900"/>
        </w:tabs>
        <w:ind w:left="900" w:hanging="480"/>
      </w:pPr>
      <w:rPr>
        <w:rFonts w:hint="eastAsia"/>
      </w:rPr>
    </w:lvl>
    <w:lvl w:ilvl="1" w:tentative="0">
      <w:start w:val="1"/>
      <w:numFmt w:val="decimal"/>
      <w:lvlText w:val="%2、"/>
      <w:lvlJc w:val="left"/>
      <w:pPr>
        <w:tabs>
          <w:tab w:val="left" w:pos="1200"/>
        </w:tabs>
        <w:ind w:left="1200" w:hanging="360"/>
      </w:pPr>
      <w:rPr>
        <w:rFonts w:hint="eastAsia"/>
      </w:r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1">
    <w:nsid w:val="142170C9"/>
    <w:multiLevelType w:val="multilevel"/>
    <w:tmpl w:val="142170C9"/>
    <w:lvl w:ilvl="0" w:tentative="0">
      <w:start w:val="1"/>
      <w:numFmt w:val="lowerLetter"/>
      <w:pStyle w:val="331"/>
      <w:lvlText w:val="%1)"/>
      <w:lvlJc w:val="left"/>
      <w:pPr>
        <w:tabs>
          <w:tab w:val="left" w:pos="1440"/>
        </w:tabs>
        <w:ind w:left="1440" w:hanging="360"/>
      </w:pPr>
      <w:rPr>
        <w:rFonts w:hint="default" w:ascii="Arial" w:hAnsi="Arial" w:eastAsia="宋体"/>
        <w:b w:val="0"/>
        <w:i w:val="0"/>
        <w:color w:val="auto"/>
        <w:sz w:val="24"/>
        <w:szCs w:val="24"/>
      </w:rPr>
    </w:lvl>
    <w:lvl w:ilvl="1" w:tentative="0">
      <w:start w:val="1"/>
      <w:numFmt w:val="decimal"/>
      <w:lvlText w:val="%2)"/>
      <w:lvlJc w:val="left"/>
      <w:pPr>
        <w:tabs>
          <w:tab w:val="left" w:pos="1800"/>
        </w:tabs>
        <w:ind w:left="1800" w:hanging="360"/>
      </w:pPr>
      <w:rPr>
        <w:rFonts w:hint="default" w:ascii="Arial" w:hAnsi="Arial" w:eastAsia="宋体"/>
        <w:b w:val="0"/>
        <w:i w:val="0"/>
        <w:color w:val="auto"/>
        <w:sz w:val="24"/>
        <w:szCs w:val="24"/>
      </w:rPr>
    </w:lvl>
    <w:lvl w:ilvl="2" w:tentative="0">
      <w:start w:val="1"/>
      <w:numFmt w:val="lowerRoman"/>
      <w:lvlText w:val="%3)"/>
      <w:lvlJc w:val="left"/>
      <w:pPr>
        <w:tabs>
          <w:tab w:val="left" w:pos="2520"/>
        </w:tabs>
        <w:ind w:left="2520" w:hanging="720"/>
      </w:pPr>
      <w:rPr>
        <w:rFonts w:hint="default" w:ascii="Arial" w:hAnsi="Arial" w:eastAsia="宋体"/>
        <w:b w:val="0"/>
        <w:i w:val="0"/>
        <w:color w:val="auto"/>
        <w:sz w:val="24"/>
        <w:szCs w:val="24"/>
      </w:rPr>
    </w:lvl>
    <w:lvl w:ilvl="3" w:tentative="0">
      <w:start w:val="1"/>
      <w:numFmt w:val="upperRoman"/>
      <w:lvlText w:val="(%4)"/>
      <w:lvlJc w:val="left"/>
      <w:pPr>
        <w:tabs>
          <w:tab w:val="left" w:pos="3240"/>
        </w:tabs>
        <w:ind w:left="3240" w:hanging="720"/>
      </w:pPr>
      <w:rPr>
        <w:rFonts w:hint="default" w:ascii="Arial" w:hAnsi="Arial" w:eastAsia="宋体"/>
        <w:b w:val="0"/>
        <w:i w:val="0"/>
        <w:color w:val="auto"/>
        <w:sz w:val="22"/>
      </w:rPr>
    </w:lvl>
    <w:lvl w:ilvl="4" w:tentative="0">
      <w:start w:val="1"/>
      <w:numFmt w:val="bullet"/>
      <w:lvlText w:val=""/>
      <w:lvlJc w:val="left"/>
      <w:pPr>
        <w:tabs>
          <w:tab w:val="left" w:pos="3600"/>
        </w:tabs>
        <w:ind w:left="3600" w:hanging="360"/>
      </w:pPr>
      <w:rPr>
        <w:rFonts w:hint="default"/>
        <w:b w:val="0"/>
        <w:i w:val="0"/>
        <w:color w:val="auto"/>
        <w:sz w:val="22"/>
      </w:rPr>
    </w:lvl>
    <w:lvl w:ilvl="5" w:tentative="0">
      <w:start w:val="1"/>
      <w:numFmt w:val="bullet"/>
      <w:lvlText w:val=""/>
      <w:lvlJc w:val="left"/>
      <w:pPr>
        <w:tabs>
          <w:tab w:val="left" w:pos="3960"/>
        </w:tabs>
        <w:ind w:left="3960" w:hanging="360"/>
      </w:pPr>
      <w:rPr>
        <w:rFonts w:hint="default" w:ascii="Arial" w:hAnsi="Arial" w:eastAsia="宋体"/>
        <w:b w:val="0"/>
        <w:i w:val="0"/>
        <w:color w:val="auto"/>
        <w:sz w:val="22"/>
      </w:rPr>
    </w:lvl>
    <w:lvl w:ilvl="6" w:tentative="0">
      <w:start w:val="1"/>
      <w:numFmt w:val="decimal"/>
      <w:lvlText w:val="%7."/>
      <w:lvlJc w:val="left"/>
      <w:pPr>
        <w:tabs>
          <w:tab w:val="left" w:pos="4320"/>
        </w:tabs>
        <w:ind w:left="4320" w:hanging="360"/>
      </w:pPr>
      <w:rPr>
        <w:rFonts w:hint="eastAsia"/>
      </w:rPr>
    </w:lvl>
    <w:lvl w:ilvl="7" w:tentative="0">
      <w:start w:val="1"/>
      <w:numFmt w:val="lowerLetter"/>
      <w:lvlText w:val="%8."/>
      <w:lvlJc w:val="left"/>
      <w:pPr>
        <w:tabs>
          <w:tab w:val="left" w:pos="4680"/>
        </w:tabs>
        <w:ind w:left="4680" w:hanging="360"/>
      </w:pPr>
      <w:rPr>
        <w:rFonts w:hint="eastAsia"/>
      </w:rPr>
    </w:lvl>
    <w:lvl w:ilvl="8" w:tentative="0">
      <w:start w:val="1"/>
      <w:numFmt w:val="lowerRoman"/>
      <w:lvlText w:val="%9."/>
      <w:lvlJc w:val="left"/>
      <w:pPr>
        <w:tabs>
          <w:tab w:val="left" w:pos="5040"/>
        </w:tabs>
        <w:ind w:left="5040" w:hanging="360"/>
      </w:pPr>
      <w:rPr>
        <w:rFonts w:hint="eastAsia"/>
      </w:rPr>
    </w:lvl>
  </w:abstractNum>
  <w:abstractNum w:abstractNumId="12">
    <w:nsid w:val="1637667F"/>
    <w:multiLevelType w:val="multilevel"/>
    <w:tmpl w:val="1637667F"/>
    <w:lvl w:ilvl="0" w:tentative="0">
      <w:start w:val="1"/>
      <w:numFmt w:val="decimal"/>
      <w:lvlText w:val="（%1）"/>
      <w:lvlJc w:val="left"/>
      <w:pPr>
        <w:tabs>
          <w:tab w:val="left" w:pos="1079"/>
        </w:tabs>
        <w:ind w:left="1079" w:hanging="720"/>
      </w:pPr>
      <w:rPr>
        <w:rFonts w:hint="default"/>
      </w:rPr>
    </w:lvl>
    <w:lvl w:ilvl="1" w:tentative="0">
      <w:start w:val="1"/>
      <w:numFmt w:val="lowerLetter"/>
      <w:lvlText w:val="%2)"/>
      <w:lvlJc w:val="left"/>
      <w:pPr>
        <w:tabs>
          <w:tab w:val="left" w:pos="1199"/>
        </w:tabs>
        <w:ind w:left="1199" w:hanging="420"/>
      </w:pPr>
    </w:lvl>
    <w:lvl w:ilvl="2" w:tentative="0">
      <w:start w:val="1"/>
      <w:numFmt w:val="lowerRoman"/>
      <w:lvlText w:val="%3."/>
      <w:lvlJc w:val="right"/>
      <w:pPr>
        <w:tabs>
          <w:tab w:val="left" w:pos="1619"/>
        </w:tabs>
        <w:ind w:left="1619" w:hanging="420"/>
      </w:pPr>
    </w:lvl>
    <w:lvl w:ilvl="3" w:tentative="0">
      <w:start w:val="1"/>
      <w:numFmt w:val="decimal"/>
      <w:lvlText w:val="%4."/>
      <w:lvlJc w:val="left"/>
      <w:pPr>
        <w:tabs>
          <w:tab w:val="left" w:pos="2039"/>
        </w:tabs>
        <w:ind w:left="2039" w:hanging="420"/>
      </w:pPr>
    </w:lvl>
    <w:lvl w:ilvl="4" w:tentative="0">
      <w:start w:val="1"/>
      <w:numFmt w:val="lowerLetter"/>
      <w:lvlText w:val="%5)"/>
      <w:lvlJc w:val="left"/>
      <w:pPr>
        <w:tabs>
          <w:tab w:val="left" w:pos="2459"/>
        </w:tabs>
        <w:ind w:left="2459" w:hanging="420"/>
      </w:pPr>
    </w:lvl>
    <w:lvl w:ilvl="5" w:tentative="0">
      <w:start w:val="1"/>
      <w:numFmt w:val="lowerRoman"/>
      <w:lvlText w:val="%6."/>
      <w:lvlJc w:val="right"/>
      <w:pPr>
        <w:tabs>
          <w:tab w:val="left" w:pos="2879"/>
        </w:tabs>
        <w:ind w:left="2879" w:hanging="420"/>
      </w:pPr>
    </w:lvl>
    <w:lvl w:ilvl="6" w:tentative="0">
      <w:start w:val="1"/>
      <w:numFmt w:val="decimal"/>
      <w:lvlText w:val="%7."/>
      <w:lvlJc w:val="left"/>
      <w:pPr>
        <w:tabs>
          <w:tab w:val="left" w:pos="3299"/>
        </w:tabs>
        <w:ind w:left="3299" w:hanging="420"/>
      </w:pPr>
    </w:lvl>
    <w:lvl w:ilvl="7" w:tentative="0">
      <w:start w:val="1"/>
      <w:numFmt w:val="lowerLetter"/>
      <w:lvlText w:val="%8)"/>
      <w:lvlJc w:val="left"/>
      <w:pPr>
        <w:tabs>
          <w:tab w:val="left" w:pos="3719"/>
        </w:tabs>
        <w:ind w:left="3719" w:hanging="420"/>
      </w:pPr>
    </w:lvl>
    <w:lvl w:ilvl="8" w:tentative="0">
      <w:start w:val="1"/>
      <w:numFmt w:val="lowerRoman"/>
      <w:lvlText w:val="%9."/>
      <w:lvlJc w:val="right"/>
      <w:pPr>
        <w:tabs>
          <w:tab w:val="left" w:pos="4139"/>
        </w:tabs>
        <w:ind w:left="4139" w:hanging="420"/>
      </w:pPr>
    </w:lvl>
  </w:abstractNum>
  <w:abstractNum w:abstractNumId="13">
    <w:nsid w:val="1A3F28A4"/>
    <w:multiLevelType w:val="multilevel"/>
    <w:tmpl w:val="1A3F28A4"/>
    <w:lvl w:ilvl="0" w:tentative="0">
      <w:start w:val="1"/>
      <w:numFmt w:val="decimal"/>
      <w:lvlText w:val="（%1）"/>
      <w:lvlJc w:val="left"/>
      <w:pPr>
        <w:tabs>
          <w:tab w:val="left" w:pos="720"/>
        </w:tabs>
        <w:ind w:left="720" w:hanging="720"/>
      </w:pPr>
      <w:rPr>
        <w:rFonts w:hint="eastAsia"/>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1C367A47"/>
    <w:multiLevelType w:val="multilevel"/>
    <w:tmpl w:val="1C367A47"/>
    <w:lvl w:ilvl="0" w:tentative="0">
      <w:start w:val="1"/>
      <w:numFmt w:val="decimal"/>
      <w:lvlText w:val="B1.%1"/>
      <w:lvlJc w:val="left"/>
      <w:pPr>
        <w:ind w:left="899"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23192741"/>
    <w:multiLevelType w:val="multilevel"/>
    <w:tmpl w:val="23192741"/>
    <w:lvl w:ilvl="0" w:tentative="0">
      <w:start w:val="1"/>
      <w:numFmt w:val="decimal"/>
      <w:lvlText w:val="（%1）"/>
      <w:lvlJc w:val="left"/>
      <w:pPr>
        <w:tabs>
          <w:tab w:val="left" w:pos="1079"/>
        </w:tabs>
        <w:ind w:left="1079" w:hanging="720"/>
      </w:pPr>
      <w:rPr>
        <w:rFonts w:hint="default"/>
      </w:rPr>
    </w:lvl>
    <w:lvl w:ilvl="1" w:tentative="0">
      <w:start w:val="1"/>
      <w:numFmt w:val="lowerLetter"/>
      <w:lvlText w:val="%2)"/>
      <w:lvlJc w:val="left"/>
      <w:pPr>
        <w:tabs>
          <w:tab w:val="left" w:pos="1199"/>
        </w:tabs>
        <w:ind w:left="1199" w:hanging="420"/>
      </w:pPr>
    </w:lvl>
    <w:lvl w:ilvl="2" w:tentative="0">
      <w:start w:val="1"/>
      <w:numFmt w:val="lowerRoman"/>
      <w:lvlText w:val="%3."/>
      <w:lvlJc w:val="right"/>
      <w:pPr>
        <w:tabs>
          <w:tab w:val="left" w:pos="1619"/>
        </w:tabs>
        <w:ind w:left="1619" w:hanging="420"/>
      </w:pPr>
    </w:lvl>
    <w:lvl w:ilvl="3" w:tentative="0">
      <w:start w:val="1"/>
      <w:numFmt w:val="decimal"/>
      <w:lvlText w:val="%4."/>
      <w:lvlJc w:val="left"/>
      <w:pPr>
        <w:tabs>
          <w:tab w:val="left" w:pos="2039"/>
        </w:tabs>
        <w:ind w:left="2039" w:hanging="420"/>
      </w:pPr>
    </w:lvl>
    <w:lvl w:ilvl="4" w:tentative="0">
      <w:start w:val="1"/>
      <w:numFmt w:val="lowerLetter"/>
      <w:lvlText w:val="%5)"/>
      <w:lvlJc w:val="left"/>
      <w:pPr>
        <w:tabs>
          <w:tab w:val="left" w:pos="2459"/>
        </w:tabs>
        <w:ind w:left="2459" w:hanging="420"/>
      </w:pPr>
    </w:lvl>
    <w:lvl w:ilvl="5" w:tentative="0">
      <w:start w:val="1"/>
      <w:numFmt w:val="lowerRoman"/>
      <w:lvlText w:val="%6."/>
      <w:lvlJc w:val="right"/>
      <w:pPr>
        <w:tabs>
          <w:tab w:val="left" w:pos="2879"/>
        </w:tabs>
        <w:ind w:left="2879" w:hanging="420"/>
      </w:pPr>
    </w:lvl>
    <w:lvl w:ilvl="6" w:tentative="0">
      <w:start w:val="1"/>
      <w:numFmt w:val="decimal"/>
      <w:lvlText w:val="%7."/>
      <w:lvlJc w:val="left"/>
      <w:pPr>
        <w:tabs>
          <w:tab w:val="left" w:pos="3299"/>
        </w:tabs>
        <w:ind w:left="3299" w:hanging="420"/>
      </w:pPr>
    </w:lvl>
    <w:lvl w:ilvl="7" w:tentative="0">
      <w:start w:val="1"/>
      <w:numFmt w:val="lowerLetter"/>
      <w:lvlText w:val="%8)"/>
      <w:lvlJc w:val="left"/>
      <w:pPr>
        <w:tabs>
          <w:tab w:val="left" w:pos="3719"/>
        </w:tabs>
        <w:ind w:left="3719" w:hanging="420"/>
      </w:pPr>
    </w:lvl>
    <w:lvl w:ilvl="8" w:tentative="0">
      <w:start w:val="1"/>
      <w:numFmt w:val="lowerRoman"/>
      <w:lvlText w:val="%9."/>
      <w:lvlJc w:val="right"/>
      <w:pPr>
        <w:tabs>
          <w:tab w:val="left" w:pos="4139"/>
        </w:tabs>
        <w:ind w:left="4139" w:hanging="420"/>
      </w:pPr>
    </w:lvl>
  </w:abstractNum>
  <w:abstractNum w:abstractNumId="16">
    <w:nsid w:val="25D175DC"/>
    <w:multiLevelType w:val="multilevel"/>
    <w:tmpl w:val="25D175DC"/>
    <w:lvl w:ilvl="0" w:tentative="0">
      <w:start w:val="1"/>
      <w:numFmt w:val="decimal"/>
      <w:lvlText w:val="（%1）"/>
      <w:lvlJc w:val="left"/>
      <w:pPr>
        <w:tabs>
          <w:tab w:val="left" w:pos="1245"/>
        </w:tabs>
        <w:ind w:left="1245" w:hanging="720"/>
      </w:pPr>
      <w:rPr>
        <w:rFonts w:hint="default"/>
      </w:rPr>
    </w:lvl>
    <w:lvl w:ilvl="1" w:tentative="0">
      <w:start w:val="1"/>
      <w:numFmt w:val="lowerLetter"/>
      <w:lvlText w:val="%2)"/>
      <w:lvlJc w:val="left"/>
      <w:pPr>
        <w:tabs>
          <w:tab w:val="left" w:pos="1199"/>
        </w:tabs>
        <w:ind w:left="1199" w:hanging="420"/>
      </w:pPr>
    </w:lvl>
    <w:lvl w:ilvl="2" w:tentative="0">
      <w:start w:val="1"/>
      <w:numFmt w:val="lowerRoman"/>
      <w:lvlText w:val="%3."/>
      <w:lvlJc w:val="right"/>
      <w:pPr>
        <w:tabs>
          <w:tab w:val="left" w:pos="1619"/>
        </w:tabs>
        <w:ind w:left="1619" w:hanging="420"/>
      </w:pPr>
    </w:lvl>
    <w:lvl w:ilvl="3" w:tentative="0">
      <w:start w:val="1"/>
      <w:numFmt w:val="decimal"/>
      <w:lvlText w:val="%4."/>
      <w:lvlJc w:val="left"/>
      <w:pPr>
        <w:tabs>
          <w:tab w:val="left" w:pos="2039"/>
        </w:tabs>
        <w:ind w:left="2039" w:hanging="420"/>
      </w:pPr>
    </w:lvl>
    <w:lvl w:ilvl="4" w:tentative="0">
      <w:start w:val="1"/>
      <w:numFmt w:val="lowerLetter"/>
      <w:lvlText w:val="%5)"/>
      <w:lvlJc w:val="left"/>
      <w:pPr>
        <w:tabs>
          <w:tab w:val="left" w:pos="2459"/>
        </w:tabs>
        <w:ind w:left="2459" w:hanging="420"/>
      </w:pPr>
    </w:lvl>
    <w:lvl w:ilvl="5" w:tentative="0">
      <w:start w:val="1"/>
      <w:numFmt w:val="lowerRoman"/>
      <w:lvlText w:val="%6."/>
      <w:lvlJc w:val="right"/>
      <w:pPr>
        <w:tabs>
          <w:tab w:val="left" w:pos="2879"/>
        </w:tabs>
        <w:ind w:left="2879" w:hanging="420"/>
      </w:pPr>
    </w:lvl>
    <w:lvl w:ilvl="6" w:tentative="0">
      <w:start w:val="1"/>
      <w:numFmt w:val="decimal"/>
      <w:lvlText w:val="%7."/>
      <w:lvlJc w:val="left"/>
      <w:pPr>
        <w:tabs>
          <w:tab w:val="left" w:pos="3299"/>
        </w:tabs>
        <w:ind w:left="3299" w:hanging="420"/>
      </w:pPr>
    </w:lvl>
    <w:lvl w:ilvl="7" w:tentative="0">
      <w:start w:val="1"/>
      <w:numFmt w:val="lowerLetter"/>
      <w:lvlText w:val="%8)"/>
      <w:lvlJc w:val="left"/>
      <w:pPr>
        <w:tabs>
          <w:tab w:val="left" w:pos="3719"/>
        </w:tabs>
        <w:ind w:left="3719" w:hanging="420"/>
      </w:pPr>
    </w:lvl>
    <w:lvl w:ilvl="8" w:tentative="0">
      <w:start w:val="1"/>
      <w:numFmt w:val="lowerRoman"/>
      <w:lvlText w:val="%9."/>
      <w:lvlJc w:val="right"/>
      <w:pPr>
        <w:tabs>
          <w:tab w:val="left" w:pos="4139"/>
        </w:tabs>
        <w:ind w:left="4139" w:hanging="420"/>
      </w:pPr>
    </w:lvl>
  </w:abstractNum>
  <w:abstractNum w:abstractNumId="17">
    <w:nsid w:val="2EE830BE"/>
    <w:multiLevelType w:val="multilevel"/>
    <w:tmpl w:val="2EE830BE"/>
    <w:lvl w:ilvl="0" w:tentative="0">
      <w:start w:val="1"/>
      <w:numFmt w:val="decimal"/>
      <w:lvlText w:val="（%1）"/>
      <w:lvlJc w:val="left"/>
      <w:pPr>
        <w:tabs>
          <w:tab w:val="left" w:pos="1287"/>
        </w:tabs>
        <w:ind w:left="1287" w:hanging="720"/>
      </w:pPr>
      <w:rPr>
        <w:rFonts w:hint="default"/>
      </w:rPr>
    </w:lvl>
    <w:lvl w:ilvl="1" w:tentative="0">
      <w:start w:val="1"/>
      <w:numFmt w:val="lowerLetter"/>
      <w:lvlText w:val="%2)"/>
      <w:lvlJc w:val="left"/>
      <w:pPr>
        <w:tabs>
          <w:tab w:val="left" w:pos="1319"/>
        </w:tabs>
        <w:ind w:left="1319" w:hanging="420"/>
      </w:pPr>
    </w:lvl>
    <w:lvl w:ilvl="2" w:tentative="0">
      <w:start w:val="1"/>
      <w:numFmt w:val="lowerRoman"/>
      <w:lvlText w:val="%3."/>
      <w:lvlJc w:val="right"/>
      <w:pPr>
        <w:tabs>
          <w:tab w:val="left" w:pos="1739"/>
        </w:tabs>
        <w:ind w:left="1739" w:hanging="420"/>
      </w:pPr>
    </w:lvl>
    <w:lvl w:ilvl="3" w:tentative="0">
      <w:start w:val="1"/>
      <w:numFmt w:val="decimal"/>
      <w:lvlText w:val="%4."/>
      <w:lvlJc w:val="left"/>
      <w:pPr>
        <w:tabs>
          <w:tab w:val="left" w:pos="2159"/>
        </w:tabs>
        <w:ind w:left="2159" w:hanging="420"/>
      </w:pPr>
    </w:lvl>
    <w:lvl w:ilvl="4" w:tentative="0">
      <w:start w:val="1"/>
      <w:numFmt w:val="lowerLetter"/>
      <w:lvlText w:val="%5)"/>
      <w:lvlJc w:val="left"/>
      <w:pPr>
        <w:tabs>
          <w:tab w:val="left" w:pos="2579"/>
        </w:tabs>
        <w:ind w:left="2579" w:hanging="420"/>
      </w:pPr>
    </w:lvl>
    <w:lvl w:ilvl="5" w:tentative="0">
      <w:start w:val="1"/>
      <w:numFmt w:val="lowerRoman"/>
      <w:lvlText w:val="%6."/>
      <w:lvlJc w:val="right"/>
      <w:pPr>
        <w:tabs>
          <w:tab w:val="left" w:pos="2999"/>
        </w:tabs>
        <w:ind w:left="2999" w:hanging="420"/>
      </w:pPr>
    </w:lvl>
    <w:lvl w:ilvl="6" w:tentative="0">
      <w:start w:val="1"/>
      <w:numFmt w:val="decimal"/>
      <w:lvlText w:val="%7."/>
      <w:lvlJc w:val="left"/>
      <w:pPr>
        <w:tabs>
          <w:tab w:val="left" w:pos="3419"/>
        </w:tabs>
        <w:ind w:left="3419" w:hanging="420"/>
      </w:pPr>
    </w:lvl>
    <w:lvl w:ilvl="7" w:tentative="0">
      <w:start w:val="1"/>
      <w:numFmt w:val="lowerLetter"/>
      <w:lvlText w:val="%8)"/>
      <w:lvlJc w:val="left"/>
      <w:pPr>
        <w:tabs>
          <w:tab w:val="left" w:pos="3839"/>
        </w:tabs>
        <w:ind w:left="3839" w:hanging="420"/>
      </w:pPr>
    </w:lvl>
    <w:lvl w:ilvl="8" w:tentative="0">
      <w:start w:val="1"/>
      <w:numFmt w:val="lowerRoman"/>
      <w:lvlText w:val="%9."/>
      <w:lvlJc w:val="right"/>
      <w:pPr>
        <w:tabs>
          <w:tab w:val="left" w:pos="4259"/>
        </w:tabs>
        <w:ind w:left="4259" w:hanging="420"/>
      </w:pPr>
    </w:lvl>
  </w:abstractNum>
  <w:abstractNum w:abstractNumId="18">
    <w:nsid w:val="372A1672"/>
    <w:multiLevelType w:val="multilevel"/>
    <w:tmpl w:val="372A1672"/>
    <w:lvl w:ilvl="0" w:tentative="0">
      <w:start w:val="1"/>
      <w:numFmt w:val="decimal"/>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3AC00482"/>
    <w:multiLevelType w:val="multilevel"/>
    <w:tmpl w:val="3AC00482"/>
    <w:lvl w:ilvl="0" w:tentative="0">
      <w:start w:val="1"/>
      <w:numFmt w:val="decimal"/>
      <w:lvlText w:val="(%1)"/>
      <w:lvlJc w:val="left"/>
      <w:pPr>
        <w:tabs>
          <w:tab w:val="left" w:pos="425"/>
        </w:tabs>
        <w:ind w:left="425" w:hanging="425"/>
      </w:pPr>
      <w:rPr>
        <w:rFonts w:hint="eastAsia"/>
      </w:rPr>
    </w:lvl>
    <w:lvl w:ilvl="1" w:tentative="0">
      <w:start w:val="1"/>
      <w:numFmt w:val="decimal"/>
      <w:lvlText w:val="%2）"/>
      <w:lvlJc w:val="left"/>
      <w:pPr>
        <w:tabs>
          <w:tab w:val="left" w:pos="992"/>
        </w:tabs>
        <w:ind w:left="992" w:hanging="567"/>
      </w:pPr>
      <w:rPr>
        <w:rFonts w:hint="default" w:ascii="Arial Narrow" w:hAnsi="Arial Narrow"/>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0">
    <w:nsid w:val="3DBE6DF8"/>
    <w:multiLevelType w:val="multilevel"/>
    <w:tmpl w:val="3DBE6DF8"/>
    <w:lvl w:ilvl="0" w:tentative="0">
      <w:start w:val="1"/>
      <w:numFmt w:val="decimal"/>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432E045C"/>
    <w:multiLevelType w:val="multilevel"/>
    <w:tmpl w:val="432E045C"/>
    <w:lvl w:ilvl="0" w:tentative="0">
      <w:start w:val="1"/>
      <w:numFmt w:val="decimal"/>
      <w:lvlText w:val="(%1)"/>
      <w:lvlJc w:val="left"/>
      <w:pPr>
        <w:tabs>
          <w:tab w:val="left" w:pos="567"/>
        </w:tabs>
        <w:ind w:left="567" w:hanging="567"/>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455B7B6B"/>
    <w:multiLevelType w:val="multilevel"/>
    <w:tmpl w:val="455B7B6B"/>
    <w:lvl w:ilvl="0" w:tentative="0">
      <w:start w:val="1"/>
      <w:numFmt w:val="decimal"/>
      <w:lvlText w:val="（%1）"/>
      <w:lvlJc w:val="left"/>
      <w:pPr>
        <w:tabs>
          <w:tab w:val="left" w:pos="1004"/>
        </w:tabs>
        <w:ind w:left="1004" w:hanging="720"/>
      </w:pPr>
      <w:rPr>
        <w:rFonts w:hint="default"/>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23">
    <w:nsid w:val="46253479"/>
    <w:multiLevelType w:val="multilevel"/>
    <w:tmpl w:val="46253479"/>
    <w:lvl w:ilvl="0" w:tentative="0">
      <w:start w:val="1"/>
      <w:numFmt w:val="decimal"/>
      <w:lvlText w:val="E2.%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4">
    <w:nsid w:val="47472045"/>
    <w:multiLevelType w:val="multilevel"/>
    <w:tmpl w:val="47472045"/>
    <w:lvl w:ilvl="0" w:tentative="0">
      <w:start w:val="2"/>
      <w:numFmt w:val="bullet"/>
      <w:lvlText w:val="■"/>
      <w:lvlJc w:val="left"/>
      <w:pPr>
        <w:ind w:left="786" w:hanging="360"/>
      </w:pPr>
      <w:rPr>
        <w:rFonts w:hint="eastAsia" w:ascii="宋体" w:hAnsi="宋体" w:eastAsia="宋体" w:cs="Arial"/>
        <w:color w:val="auto"/>
      </w:rPr>
    </w:lvl>
    <w:lvl w:ilvl="1" w:tentative="0">
      <w:start w:val="1"/>
      <w:numFmt w:val="bullet"/>
      <w:lvlText w:val=""/>
      <w:lvlJc w:val="left"/>
      <w:pPr>
        <w:ind w:left="1266" w:hanging="420"/>
      </w:pPr>
      <w:rPr>
        <w:rFonts w:hint="default" w:ascii="Wingdings" w:hAnsi="Wingdings"/>
      </w:rPr>
    </w:lvl>
    <w:lvl w:ilvl="2" w:tentative="0">
      <w:start w:val="1"/>
      <w:numFmt w:val="bullet"/>
      <w:lvlText w:val=""/>
      <w:lvlJc w:val="left"/>
      <w:pPr>
        <w:ind w:left="1686" w:hanging="420"/>
      </w:pPr>
      <w:rPr>
        <w:rFonts w:hint="default" w:ascii="Wingdings" w:hAnsi="Wingdings"/>
      </w:rPr>
    </w:lvl>
    <w:lvl w:ilvl="3" w:tentative="0">
      <w:start w:val="1"/>
      <w:numFmt w:val="bullet"/>
      <w:lvlText w:val=""/>
      <w:lvlJc w:val="left"/>
      <w:pPr>
        <w:ind w:left="2106" w:hanging="420"/>
      </w:pPr>
      <w:rPr>
        <w:rFonts w:hint="default" w:ascii="Wingdings" w:hAnsi="Wingdings"/>
      </w:rPr>
    </w:lvl>
    <w:lvl w:ilvl="4" w:tentative="0">
      <w:start w:val="1"/>
      <w:numFmt w:val="bullet"/>
      <w:lvlText w:val=""/>
      <w:lvlJc w:val="left"/>
      <w:pPr>
        <w:ind w:left="2526" w:hanging="420"/>
      </w:pPr>
      <w:rPr>
        <w:rFonts w:hint="default" w:ascii="Wingdings" w:hAnsi="Wingdings"/>
      </w:rPr>
    </w:lvl>
    <w:lvl w:ilvl="5" w:tentative="0">
      <w:start w:val="1"/>
      <w:numFmt w:val="bullet"/>
      <w:lvlText w:val=""/>
      <w:lvlJc w:val="left"/>
      <w:pPr>
        <w:ind w:left="2946" w:hanging="420"/>
      </w:pPr>
      <w:rPr>
        <w:rFonts w:hint="default" w:ascii="Wingdings" w:hAnsi="Wingdings"/>
      </w:rPr>
    </w:lvl>
    <w:lvl w:ilvl="6" w:tentative="0">
      <w:start w:val="1"/>
      <w:numFmt w:val="bullet"/>
      <w:lvlText w:val=""/>
      <w:lvlJc w:val="left"/>
      <w:pPr>
        <w:ind w:left="3366" w:hanging="420"/>
      </w:pPr>
      <w:rPr>
        <w:rFonts w:hint="default" w:ascii="Wingdings" w:hAnsi="Wingdings"/>
      </w:rPr>
    </w:lvl>
    <w:lvl w:ilvl="7" w:tentative="0">
      <w:start w:val="1"/>
      <w:numFmt w:val="bullet"/>
      <w:lvlText w:val=""/>
      <w:lvlJc w:val="left"/>
      <w:pPr>
        <w:ind w:left="3786" w:hanging="420"/>
      </w:pPr>
      <w:rPr>
        <w:rFonts w:hint="default" w:ascii="Wingdings" w:hAnsi="Wingdings"/>
      </w:rPr>
    </w:lvl>
    <w:lvl w:ilvl="8" w:tentative="0">
      <w:start w:val="1"/>
      <w:numFmt w:val="bullet"/>
      <w:lvlText w:val=""/>
      <w:lvlJc w:val="left"/>
      <w:pPr>
        <w:ind w:left="4206" w:hanging="420"/>
      </w:pPr>
      <w:rPr>
        <w:rFonts w:hint="default" w:ascii="Wingdings" w:hAnsi="Wingdings"/>
      </w:rPr>
    </w:lvl>
  </w:abstractNum>
  <w:abstractNum w:abstractNumId="25">
    <w:nsid w:val="4A403ACF"/>
    <w:multiLevelType w:val="multilevel"/>
    <w:tmpl w:val="4A403ACF"/>
    <w:lvl w:ilvl="0" w:tentative="0">
      <w:start w:val="1"/>
      <w:numFmt w:val="decimal"/>
      <w:lvlText w:val="（%1）"/>
      <w:lvlJc w:val="left"/>
      <w:pPr>
        <w:tabs>
          <w:tab w:val="left" w:pos="1079"/>
        </w:tabs>
        <w:ind w:left="1079" w:hanging="720"/>
      </w:pPr>
      <w:rPr>
        <w:rFonts w:hint="default"/>
      </w:rPr>
    </w:lvl>
    <w:lvl w:ilvl="1" w:tentative="0">
      <w:start w:val="1"/>
      <w:numFmt w:val="lowerLetter"/>
      <w:lvlText w:val="%2)"/>
      <w:lvlJc w:val="left"/>
      <w:pPr>
        <w:tabs>
          <w:tab w:val="left" w:pos="1199"/>
        </w:tabs>
        <w:ind w:left="1199" w:hanging="420"/>
      </w:pPr>
    </w:lvl>
    <w:lvl w:ilvl="2" w:tentative="0">
      <w:start w:val="1"/>
      <w:numFmt w:val="lowerRoman"/>
      <w:lvlText w:val="%3."/>
      <w:lvlJc w:val="right"/>
      <w:pPr>
        <w:tabs>
          <w:tab w:val="left" w:pos="1619"/>
        </w:tabs>
        <w:ind w:left="1619" w:hanging="420"/>
      </w:pPr>
    </w:lvl>
    <w:lvl w:ilvl="3" w:tentative="0">
      <w:start w:val="1"/>
      <w:numFmt w:val="decimal"/>
      <w:lvlText w:val="%4."/>
      <w:lvlJc w:val="left"/>
      <w:pPr>
        <w:tabs>
          <w:tab w:val="left" w:pos="2039"/>
        </w:tabs>
        <w:ind w:left="2039" w:hanging="420"/>
      </w:pPr>
    </w:lvl>
    <w:lvl w:ilvl="4" w:tentative="0">
      <w:start w:val="1"/>
      <w:numFmt w:val="lowerLetter"/>
      <w:lvlText w:val="%5)"/>
      <w:lvlJc w:val="left"/>
      <w:pPr>
        <w:tabs>
          <w:tab w:val="left" w:pos="2459"/>
        </w:tabs>
        <w:ind w:left="2459" w:hanging="420"/>
      </w:pPr>
    </w:lvl>
    <w:lvl w:ilvl="5" w:tentative="0">
      <w:start w:val="1"/>
      <w:numFmt w:val="lowerRoman"/>
      <w:lvlText w:val="%6."/>
      <w:lvlJc w:val="right"/>
      <w:pPr>
        <w:tabs>
          <w:tab w:val="left" w:pos="2879"/>
        </w:tabs>
        <w:ind w:left="2879" w:hanging="420"/>
      </w:pPr>
    </w:lvl>
    <w:lvl w:ilvl="6" w:tentative="0">
      <w:start w:val="1"/>
      <w:numFmt w:val="decimal"/>
      <w:lvlText w:val="%7."/>
      <w:lvlJc w:val="left"/>
      <w:pPr>
        <w:tabs>
          <w:tab w:val="left" w:pos="3299"/>
        </w:tabs>
        <w:ind w:left="3299" w:hanging="420"/>
      </w:pPr>
    </w:lvl>
    <w:lvl w:ilvl="7" w:tentative="0">
      <w:start w:val="1"/>
      <w:numFmt w:val="lowerLetter"/>
      <w:lvlText w:val="%8)"/>
      <w:lvlJc w:val="left"/>
      <w:pPr>
        <w:tabs>
          <w:tab w:val="left" w:pos="3719"/>
        </w:tabs>
        <w:ind w:left="3719" w:hanging="420"/>
      </w:pPr>
    </w:lvl>
    <w:lvl w:ilvl="8" w:tentative="0">
      <w:start w:val="1"/>
      <w:numFmt w:val="lowerRoman"/>
      <w:lvlText w:val="%9."/>
      <w:lvlJc w:val="right"/>
      <w:pPr>
        <w:tabs>
          <w:tab w:val="left" w:pos="4139"/>
        </w:tabs>
        <w:ind w:left="4139" w:hanging="420"/>
      </w:pPr>
    </w:lvl>
  </w:abstractNum>
  <w:abstractNum w:abstractNumId="26">
    <w:nsid w:val="4D9B6DD5"/>
    <w:multiLevelType w:val="multilevel"/>
    <w:tmpl w:val="4D9B6DD5"/>
    <w:lvl w:ilvl="0" w:tentative="0">
      <w:start w:val="1"/>
      <w:numFmt w:val="decimal"/>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4EE1506C"/>
    <w:multiLevelType w:val="multilevel"/>
    <w:tmpl w:val="4EE1506C"/>
    <w:lvl w:ilvl="0" w:tentative="0">
      <w:start w:val="1"/>
      <w:numFmt w:val="decimal"/>
      <w:lvlText w:val="（%1）"/>
      <w:lvlJc w:val="left"/>
      <w:pPr>
        <w:tabs>
          <w:tab w:val="left" w:pos="720"/>
        </w:tabs>
        <w:ind w:left="720" w:hanging="7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53047527"/>
    <w:multiLevelType w:val="multilevel"/>
    <w:tmpl w:val="53047527"/>
    <w:lvl w:ilvl="0" w:tentative="0">
      <w:start w:val="1"/>
      <w:numFmt w:val="decimal"/>
      <w:lvlText w:val="（%1）"/>
      <w:lvlJc w:val="left"/>
      <w:pPr>
        <w:tabs>
          <w:tab w:val="left" w:pos="720"/>
        </w:tabs>
        <w:ind w:left="720" w:hanging="720"/>
      </w:pPr>
      <w:rPr>
        <w:rFonts w:hint="eastAsia"/>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5B010ABD"/>
    <w:multiLevelType w:val="multilevel"/>
    <w:tmpl w:val="5B010ABD"/>
    <w:lvl w:ilvl="0" w:tentative="0">
      <w:start w:val="1"/>
      <w:numFmt w:val="decimal"/>
      <w:lvlText w:val="（%1）"/>
      <w:lvlJc w:val="left"/>
      <w:pPr>
        <w:tabs>
          <w:tab w:val="left" w:pos="1199"/>
        </w:tabs>
        <w:ind w:left="1199" w:hanging="720"/>
      </w:pPr>
      <w:rPr>
        <w:rFonts w:hint="default"/>
      </w:rPr>
    </w:lvl>
    <w:lvl w:ilvl="1" w:tentative="0">
      <w:start w:val="1"/>
      <w:numFmt w:val="lowerLetter"/>
      <w:lvlText w:val="%2)"/>
      <w:lvlJc w:val="left"/>
      <w:pPr>
        <w:tabs>
          <w:tab w:val="left" w:pos="1319"/>
        </w:tabs>
        <w:ind w:left="1319" w:hanging="420"/>
      </w:pPr>
    </w:lvl>
    <w:lvl w:ilvl="2" w:tentative="0">
      <w:start w:val="1"/>
      <w:numFmt w:val="lowerRoman"/>
      <w:lvlText w:val="%3."/>
      <w:lvlJc w:val="right"/>
      <w:pPr>
        <w:tabs>
          <w:tab w:val="left" w:pos="1739"/>
        </w:tabs>
        <w:ind w:left="1739" w:hanging="420"/>
      </w:pPr>
    </w:lvl>
    <w:lvl w:ilvl="3" w:tentative="0">
      <w:start w:val="1"/>
      <w:numFmt w:val="decimal"/>
      <w:lvlText w:val="%4."/>
      <w:lvlJc w:val="left"/>
      <w:pPr>
        <w:tabs>
          <w:tab w:val="left" w:pos="2159"/>
        </w:tabs>
        <w:ind w:left="2159" w:hanging="420"/>
      </w:pPr>
    </w:lvl>
    <w:lvl w:ilvl="4" w:tentative="0">
      <w:start w:val="1"/>
      <w:numFmt w:val="lowerLetter"/>
      <w:lvlText w:val="%5)"/>
      <w:lvlJc w:val="left"/>
      <w:pPr>
        <w:tabs>
          <w:tab w:val="left" w:pos="2579"/>
        </w:tabs>
        <w:ind w:left="2579" w:hanging="420"/>
      </w:pPr>
    </w:lvl>
    <w:lvl w:ilvl="5" w:tentative="0">
      <w:start w:val="1"/>
      <w:numFmt w:val="lowerRoman"/>
      <w:lvlText w:val="%6."/>
      <w:lvlJc w:val="right"/>
      <w:pPr>
        <w:tabs>
          <w:tab w:val="left" w:pos="2999"/>
        </w:tabs>
        <w:ind w:left="2999" w:hanging="420"/>
      </w:pPr>
    </w:lvl>
    <w:lvl w:ilvl="6" w:tentative="0">
      <w:start w:val="1"/>
      <w:numFmt w:val="decimal"/>
      <w:lvlText w:val="%7."/>
      <w:lvlJc w:val="left"/>
      <w:pPr>
        <w:tabs>
          <w:tab w:val="left" w:pos="3419"/>
        </w:tabs>
        <w:ind w:left="3419" w:hanging="420"/>
      </w:pPr>
    </w:lvl>
    <w:lvl w:ilvl="7" w:tentative="0">
      <w:start w:val="1"/>
      <w:numFmt w:val="lowerLetter"/>
      <w:lvlText w:val="%8)"/>
      <w:lvlJc w:val="left"/>
      <w:pPr>
        <w:tabs>
          <w:tab w:val="left" w:pos="3839"/>
        </w:tabs>
        <w:ind w:left="3839" w:hanging="420"/>
      </w:pPr>
    </w:lvl>
    <w:lvl w:ilvl="8" w:tentative="0">
      <w:start w:val="1"/>
      <w:numFmt w:val="lowerRoman"/>
      <w:lvlText w:val="%9."/>
      <w:lvlJc w:val="right"/>
      <w:pPr>
        <w:tabs>
          <w:tab w:val="left" w:pos="4259"/>
        </w:tabs>
        <w:ind w:left="4259" w:hanging="420"/>
      </w:pPr>
    </w:lvl>
  </w:abstractNum>
  <w:abstractNum w:abstractNumId="30">
    <w:nsid w:val="5BA62E84"/>
    <w:multiLevelType w:val="multilevel"/>
    <w:tmpl w:val="5BA62E84"/>
    <w:lvl w:ilvl="0" w:tentative="0">
      <w:start w:val="1"/>
      <w:numFmt w:val="decimal"/>
      <w:lvlText w:val="（%1）"/>
      <w:lvlJc w:val="left"/>
      <w:pPr>
        <w:tabs>
          <w:tab w:val="left" w:pos="1199"/>
        </w:tabs>
        <w:ind w:left="1199" w:hanging="720"/>
      </w:pPr>
      <w:rPr>
        <w:rFonts w:hint="default"/>
      </w:rPr>
    </w:lvl>
    <w:lvl w:ilvl="1" w:tentative="0">
      <w:start w:val="1"/>
      <w:numFmt w:val="lowerLetter"/>
      <w:lvlText w:val="%2)"/>
      <w:lvlJc w:val="left"/>
      <w:pPr>
        <w:tabs>
          <w:tab w:val="left" w:pos="1319"/>
        </w:tabs>
        <w:ind w:left="1319" w:hanging="420"/>
      </w:pPr>
    </w:lvl>
    <w:lvl w:ilvl="2" w:tentative="0">
      <w:start w:val="1"/>
      <w:numFmt w:val="lowerRoman"/>
      <w:lvlText w:val="%3."/>
      <w:lvlJc w:val="right"/>
      <w:pPr>
        <w:tabs>
          <w:tab w:val="left" w:pos="1739"/>
        </w:tabs>
        <w:ind w:left="1739" w:hanging="420"/>
      </w:pPr>
    </w:lvl>
    <w:lvl w:ilvl="3" w:tentative="0">
      <w:start w:val="1"/>
      <w:numFmt w:val="decimal"/>
      <w:lvlText w:val="%4."/>
      <w:lvlJc w:val="left"/>
      <w:pPr>
        <w:tabs>
          <w:tab w:val="left" w:pos="2159"/>
        </w:tabs>
        <w:ind w:left="2159" w:hanging="420"/>
      </w:pPr>
    </w:lvl>
    <w:lvl w:ilvl="4" w:tentative="0">
      <w:start w:val="1"/>
      <w:numFmt w:val="lowerLetter"/>
      <w:lvlText w:val="%5)"/>
      <w:lvlJc w:val="left"/>
      <w:pPr>
        <w:tabs>
          <w:tab w:val="left" w:pos="2579"/>
        </w:tabs>
        <w:ind w:left="2579" w:hanging="420"/>
      </w:pPr>
    </w:lvl>
    <w:lvl w:ilvl="5" w:tentative="0">
      <w:start w:val="1"/>
      <w:numFmt w:val="lowerRoman"/>
      <w:lvlText w:val="%6."/>
      <w:lvlJc w:val="right"/>
      <w:pPr>
        <w:tabs>
          <w:tab w:val="left" w:pos="2999"/>
        </w:tabs>
        <w:ind w:left="2999" w:hanging="420"/>
      </w:pPr>
    </w:lvl>
    <w:lvl w:ilvl="6" w:tentative="0">
      <w:start w:val="1"/>
      <w:numFmt w:val="decimal"/>
      <w:lvlText w:val="%7."/>
      <w:lvlJc w:val="left"/>
      <w:pPr>
        <w:tabs>
          <w:tab w:val="left" w:pos="3419"/>
        </w:tabs>
        <w:ind w:left="3419" w:hanging="420"/>
      </w:pPr>
    </w:lvl>
    <w:lvl w:ilvl="7" w:tentative="0">
      <w:start w:val="1"/>
      <w:numFmt w:val="lowerLetter"/>
      <w:lvlText w:val="%8)"/>
      <w:lvlJc w:val="left"/>
      <w:pPr>
        <w:tabs>
          <w:tab w:val="left" w:pos="3839"/>
        </w:tabs>
        <w:ind w:left="3839" w:hanging="420"/>
      </w:pPr>
    </w:lvl>
    <w:lvl w:ilvl="8" w:tentative="0">
      <w:start w:val="1"/>
      <w:numFmt w:val="lowerRoman"/>
      <w:lvlText w:val="%9."/>
      <w:lvlJc w:val="right"/>
      <w:pPr>
        <w:tabs>
          <w:tab w:val="left" w:pos="4259"/>
        </w:tabs>
        <w:ind w:left="4259" w:hanging="420"/>
      </w:pPr>
    </w:lvl>
  </w:abstractNum>
  <w:abstractNum w:abstractNumId="31">
    <w:nsid w:val="5F3A0ABE"/>
    <w:multiLevelType w:val="multilevel"/>
    <w:tmpl w:val="5F3A0ABE"/>
    <w:lvl w:ilvl="0" w:tentative="0">
      <w:start w:val="1"/>
      <w:numFmt w:val="decimal"/>
      <w:lvlText w:val="（%1）"/>
      <w:lvlJc w:val="left"/>
      <w:pPr>
        <w:tabs>
          <w:tab w:val="left" w:pos="1193"/>
        </w:tabs>
        <w:ind w:left="1193" w:hanging="720"/>
      </w:pPr>
      <w:rPr>
        <w:rFonts w:hint="default"/>
      </w:rPr>
    </w:lvl>
    <w:lvl w:ilvl="1" w:tentative="0">
      <w:start w:val="1"/>
      <w:numFmt w:val="lowerLetter"/>
      <w:lvlText w:val="%2)"/>
      <w:lvlJc w:val="left"/>
      <w:pPr>
        <w:tabs>
          <w:tab w:val="left" w:pos="1313"/>
        </w:tabs>
        <w:ind w:left="1313" w:hanging="420"/>
      </w:pPr>
    </w:lvl>
    <w:lvl w:ilvl="2" w:tentative="0">
      <w:start w:val="1"/>
      <w:numFmt w:val="lowerRoman"/>
      <w:lvlText w:val="%3."/>
      <w:lvlJc w:val="right"/>
      <w:pPr>
        <w:tabs>
          <w:tab w:val="left" w:pos="1733"/>
        </w:tabs>
        <w:ind w:left="1733" w:hanging="420"/>
      </w:pPr>
    </w:lvl>
    <w:lvl w:ilvl="3" w:tentative="0">
      <w:start w:val="1"/>
      <w:numFmt w:val="decimal"/>
      <w:lvlText w:val="%4."/>
      <w:lvlJc w:val="left"/>
      <w:pPr>
        <w:tabs>
          <w:tab w:val="left" w:pos="2153"/>
        </w:tabs>
        <w:ind w:left="2153" w:hanging="420"/>
      </w:pPr>
    </w:lvl>
    <w:lvl w:ilvl="4" w:tentative="0">
      <w:start w:val="1"/>
      <w:numFmt w:val="lowerLetter"/>
      <w:lvlText w:val="%5)"/>
      <w:lvlJc w:val="left"/>
      <w:pPr>
        <w:tabs>
          <w:tab w:val="left" w:pos="2573"/>
        </w:tabs>
        <w:ind w:left="2573" w:hanging="420"/>
      </w:pPr>
    </w:lvl>
    <w:lvl w:ilvl="5" w:tentative="0">
      <w:start w:val="1"/>
      <w:numFmt w:val="lowerRoman"/>
      <w:lvlText w:val="%6."/>
      <w:lvlJc w:val="right"/>
      <w:pPr>
        <w:tabs>
          <w:tab w:val="left" w:pos="2993"/>
        </w:tabs>
        <w:ind w:left="2993" w:hanging="420"/>
      </w:pPr>
    </w:lvl>
    <w:lvl w:ilvl="6" w:tentative="0">
      <w:start w:val="1"/>
      <w:numFmt w:val="decimal"/>
      <w:lvlText w:val="%7."/>
      <w:lvlJc w:val="left"/>
      <w:pPr>
        <w:tabs>
          <w:tab w:val="left" w:pos="3413"/>
        </w:tabs>
        <w:ind w:left="3413" w:hanging="420"/>
      </w:pPr>
    </w:lvl>
    <w:lvl w:ilvl="7" w:tentative="0">
      <w:start w:val="1"/>
      <w:numFmt w:val="lowerLetter"/>
      <w:lvlText w:val="%8)"/>
      <w:lvlJc w:val="left"/>
      <w:pPr>
        <w:tabs>
          <w:tab w:val="left" w:pos="3833"/>
        </w:tabs>
        <w:ind w:left="3833" w:hanging="420"/>
      </w:pPr>
    </w:lvl>
    <w:lvl w:ilvl="8" w:tentative="0">
      <w:start w:val="1"/>
      <w:numFmt w:val="lowerRoman"/>
      <w:lvlText w:val="%9."/>
      <w:lvlJc w:val="right"/>
      <w:pPr>
        <w:tabs>
          <w:tab w:val="left" w:pos="4253"/>
        </w:tabs>
        <w:ind w:left="4253" w:hanging="420"/>
      </w:pPr>
    </w:lvl>
  </w:abstractNum>
  <w:abstractNum w:abstractNumId="32">
    <w:nsid w:val="601A0978"/>
    <w:multiLevelType w:val="multilevel"/>
    <w:tmpl w:val="601A0978"/>
    <w:lvl w:ilvl="0" w:tentative="0">
      <w:start w:val="1"/>
      <w:numFmt w:val="decimal"/>
      <w:lvlText w:val="（%1）"/>
      <w:lvlJc w:val="left"/>
      <w:pPr>
        <w:tabs>
          <w:tab w:val="left" w:pos="1199"/>
        </w:tabs>
        <w:ind w:left="1199" w:hanging="720"/>
      </w:pPr>
      <w:rPr>
        <w:rFonts w:hint="default"/>
      </w:rPr>
    </w:lvl>
    <w:lvl w:ilvl="1" w:tentative="0">
      <w:start w:val="1"/>
      <w:numFmt w:val="lowerLetter"/>
      <w:lvlText w:val="%2)"/>
      <w:lvlJc w:val="left"/>
      <w:pPr>
        <w:tabs>
          <w:tab w:val="left" w:pos="1319"/>
        </w:tabs>
        <w:ind w:left="1319" w:hanging="420"/>
      </w:pPr>
    </w:lvl>
    <w:lvl w:ilvl="2" w:tentative="0">
      <w:start w:val="1"/>
      <w:numFmt w:val="lowerRoman"/>
      <w:lvlText w:val="%3."/>
      <w:lvlJc w:val="right"/>
      <w:pPr>
        <w:tabs>
          <w:tab w:val="left" w:pos="1739"/>
        </w:tabs>
        <w:ind w:left="1739" w:hanging="420"/>
      </w:pPr>
    </w:lvl>
    <w:lvl w:ilvl="3" w:tentative="0">
      <w:start w:val="1"/>
      <w:numFmt w:val="decimal"/>
      <w:lvlText w:val="%4."/>
      <w:lvlJc w:val="left"/>
      <w:pPr>
        <w:tabs>
          <w:tab w:val="left" w:pos="2159"/>
        </w:tabs>
        <w:ind w:left="2159" w:hanging="420"/>
      </w:pPr>
    </w:lvl>
    <w:lvl w:ilvl="4" w:tentative="0">
      <w:start w:val="1"/>
      <w:numFmt w:val="lowerLetter"/>
      <w:lvlText w:val="%5)"/>
      <w:lvlJc w:val="left"/>
      <w:pPr>
        <w:tabs>
          <w:tab w:val="left" w:pos="2579"/>
        </w:tabs>
        <w:ind w:left="2579" w:hanging="420"/>
      </w:pPr>
    </w:lvl>
    <w:lvl w:ilvl="5" w:tentative="0">
      <w:start w:val="1"/>
      <w:numFmt w:val="lowerRoman"/>
      <w:lvlText w:val="%6."/>
      <w:lvlJc w:val="right"/>
      <w:pPr>
        <w:tabs>
          <w:tab w:val="left" w:pos="2999"/>
        </w:tabs>
        <w:ind w:left="2999" w:hanging="420"/>
      </w:pPr>
    </w:lvl>
    <w:lvl w:ilvl="6" w:tentative="0">
      <w:start w:val="1"/>
      <w:numFmt w:val="decimal"/>
      <w:lvlText w:val="%7."/>
      <w:lvlJc w:val="left"/>
      <w:pPr>
        <w:tabs>
          <w:tab w:val="left" w:pos="3419"/>
        </w:tabs>
        <w:ind w:left="3419" w:hanging="420"/>
      </w:pPr>
    </w:lvl>
    <w:lvl w:ilvl="7" w:tentative="0">
      <w:start w:val="1"/>
      <w:numFmt w:val="lowerLetter"/>
      <w:lvlText w:val="%8)"/>
      <w:lvlJc w:val="left"/>
      <w:pPr>
        <w:tabs>
          <w:tab w:val="left" w:pos="3839"/>
        </w:tabs>
        <w:ind w:left="3839" w:hanging="420"/>
      </w:pPr>
    </w:lvl>
    <w:lvl w:ilvl="8" w:tentative="0">
      <w:start w:val="1"/>
      <w:numFmt w:val="lowerRoman"/>
      <w:lvlText w:val="%9."/>
      <w:lvlJc w:val="right"/>
      <w:pPr>
        <w:tabs>
          <w:tab w:val="left" w:pos="4259"/>
        </w:tabs>
        <w:ind w:left="4259" w:hanging="420"/>
      </w:pPr>
    </w:lvl>
  </w:abstractNum>
  <w:abstractNum w:abstractNumId="33">
    <w:nsid w:val="619B3E95"/>
    <w:multiLevelType w:val="multilevel"/>
    <w:tmpl w:val="619B3E95"/>
    <w:lvl w:ilvl="0" w:tentative="0">
      <w:start w:val="1"/>
      <w:numFmt w:val="decimal"/>
      <w:lvlText w:val="（%1）"/>
      <w:lvlJc w:val="left"/>
      <w:pPr>
        <w:tabs>
          <w:tab w:val="left" w:pos="1079"/>
        </w:tabs>
        <w:ind w:left="1079" w:hanging="720"/>
      </w:pPr>
      <w:rPr>
        <w:rFonts w:hint="default"/>
      </w:rPr>
    </w:lvl>
    <w:lvl w:ilvl="1" w:tentative="0">
      <w:start w:val="1"/>
      <w:numFmt w:val="lowerLetter"/>
      <w:lvlText w:val="%2)"/>
      <w:lvlJc w:val="left"/>
      <w:pPr>
        <w:tabs>
          <w:tab w:val="left" w:pos="1199"/>
        </w:tabs>
        <w:ind w:left="1199" w:hanging="420"/>
      </w:pPr>
    </w:lvl>
    <w:lvl w:ilvl="2" w:tentative="0">
      <w:start w:val="1"/>
      <w:numFmt w:val="lowerRoman"/>
      <w:lvlText w:val="%3."/>
      <w:lvlJc w:val="right"/>
      <w:pPr>
        <w:tabs>
          <w:tab w:val="left" w:pos="1619"/>
        </w:tabs>
        <w:ind w:left="1619" w:hanging="420"/>
      </w:pPr>
    </w:lvl>
    <w:lvl w:ilvl="3" w:tentative="0">
      <w:start w:val="1"/>
      <w:numFmt w:val="decimal"/>
      <w:lvlText w:val="%4."/>
      <w:lvlJc w:val="left"/>
      <w:pPr>
        <w:tabs>
          <w:tab w:val="left" w:pos="2039"/>
        </w:tabs>
        <w:ind w:left="2039" w:hanging="420"/>
      </w:pPr>
    </w:lvl>
    <w:lvl w:ilvl="4" w:tentative="0">
      <w:start w:val="1"/>
      <w:numFmt w:val="lowerLetter"/>
      <w:lvlText w:val="%5)"/>
      <w:lvlJc w:val="left"/>
      <w:pPr>
        <w:tabs>
          <w:tab w:val="left" w:pos="2459"/>
        </w:tabs>
        <w:ind w:left="2459" w:hanging="420"/>
      </w:pPr>
    </w:lvl>
    <w:lvl w:ilvl="5" w:tentative="0">
      <w:start w:val="1"/>
      <w:numFmt w:val="lowerRoman"/>
      <w:lvlText w:val="%6."/>
      <w:lvlJc w:val="right"/>
      <w:pPr>
        <w:tabs>
          <w:tab w:val="left" w:pos="2879"/>
        </w:tabs>
        <w:ind w:left="2879" w:hanging="420"/>
      </w:pPr>
    </w:lvl>
    <w:lvl w:ilvl="6" w:tentative="0">
      <w:start w:val="1"/>
      <w:numFmt w:val="decimal"/>
      <w:lvlText w:val="%7."/>
      <w:lvlJc w:val="left"/>
      <w:pPr>
        <w:tabs>
          <w:tab w:val="left" w:pos="3299"/>
        </w:tabs>
        <w:ind w:left="3299" w:hanging="420"/>
      </w:pPr>
    </w:lvl>
    <w:lvl w:ilvl="7" w:tentative="0">
      <w:start w:val="1"/>
      <w:numFmt w:val="lowerLetter"/>
      <w:lvlText w:val="%8)"/>
      <w:lvlJc w:val="left"/>
      <w:pPr>
        <w:tabs>
          <w:tab w:val="left" w:pos="3719"/>
        </w:tabs>
        <w:ind w:left="3719" w:hanging="420"/>
      </w:pPr>
    </w:lvl>
    <w:lvl w:ilvl="8" w:tentative="0">
      <w:start w:val="1"/>
      <w:numFmt w:val="lowerRoman"/>
      <w:lvlText w:val="%9."/>
      <w:lvlJc w:val="right"/>
      <w:pPr>
        <w:tabs>
          <w:tab w:val="left" w:pos="4139"/>
        </w:tabs>
        <w:ind w:left="4139" w:hanging="420"/>
      </w:pPr>
    </w:lvl>
  </w:abstractNum>
  <w:abstractNum w:abstractNumId="34">
    <w:nsid w:val="69634B23"/>
    <w:multiLevelType w:val="multilevel"/>
    <w:tmpl w:val="69634B23"/>
    <w:lvl w:ilvl="0" w:tentative="0">
      <w:start w:val="1"/>
      <w:numFmt w:val="decimal"/>
      <w:lvlText w:val="（%1）"/>
      <w:lvlJc w:val="left"/>
      <w:pPr>
        <w:tabs>
          <w:tab w:val="left" w:pos="852"/>
        </w:tabs>
        <w:ind w:left="342" w:hanging="57"/>
      </w:pPr>
      <w:rPr>
        <w:rFonts w:hint="default"/>
      </w:rPr>
    </w:lvl>
    <w:lvl w:ilvl="1" w:tentative="0">
      <w:start w:val="1"/>
      <w:numFmt w:val="lowerLetter"/>
      <w:lvlText w:val="%2)"/>
      <w:lvlJc w:val="left"/>
      <w:pPr>
        <w:tabs>
          <w:tab w:val="left" w:pos="1125"/>
        </w:tabs>
        <w:ind w:left="1125" w:hanging="420"/>
      </w:pPr>
    </w:lvl>
    <w:lvl w:ilvl="2" w:tentative="0">
      <w:start w:val="1"/>
      <w:numFmt w:val="lowerRoman"/>
      <w:lvlText w:val="%3."/>
      <w:lvlJc w:val="right"/>
      <w:pPr>
        <w:tabs>
          <w:tab w:val="left" w:pos="1545"/>
        </w:tabs>
        <w:ind w:left="1545" w:hanging="420"/>
      </w:pPr>
    </w:lvl>
    <w:lvl w:ilvl="3" w:tentative="0">
      <w:start w:val="1"/>
      <w:numFmt w:val="decimal"/>
      <w:lvlText w:val="%4."/>
      <w:lvlJc w:val="left"/>
      <w:pPr>
        <w:tabs>
          <w:tab w:val="left" w:pos="1965"/>
        </w:tabs>
        <w:ind w:left="1965" w:hanging="420"/>
      </w:pPr>
    </w:lvl>
    <w:lvl w:ilvl="4" w:tentative="0">
      <w:start w:val="1"/>
      <w:numFmt w:val="lowerLetter"/>
      <w:lvlText w:val="%5)"/>
      <w:lvlJc w:val="left"/>
      <w:pPr>
        <w:tabs>
          <w:tab w:val="left" w:pos="2385"/>
        </w:tabs>
        <w:ind w:left="2385" w:hanging="420"/>
      </w:pPr>
    </w:lvl>
    <w:lvl w:ilvl="5" w:tentative="0">
      <w:start w:val="1"/>
      <w:numFmt w:val="lowerRoman"/>
      <w:lvlText w:val="%6."/>
      <w:lvlJc w:val="right"/>
      <w:pPr>
        <w:tabs>
          <w:tab w:val="left" w:pos="2805"/>
        </w:tabs>
        <w:ind w:left="2805" w:hanging="420"/>
      </w:pPr>
    </w:lvl>
    <w:lvl w:ilvl="6" w:tentative="0">
      <w:start w:val="1"/>
      <w:numFmt w:val="decimal"/>
      <w:lvlText w:val="%7."/>
      <w:lvlJc w:val="left"/>
      <w:pPr>
        <w:tabs>
          <w:tab w:val="left" w:pos="3225"/>
        </w:tabs>
        <w:ind w:left="3225" w:hanging="420"/>
      </w:pPr>
    </w:lvl>
    <w:lvl w:ilvl="7" w:tentative="0">
      <w:start w:val="1"/>
      <w:numFmt w:val="lowerLetter"/>
      <w:lvlText w:val="%8)"/>
      <w:lvlJc w:val="left"/>
      <w:pPr>
        <w:tabs>
          <w:tab w:val="left" w:pos="3645"/>
        </w:tabs>
        <w:ind w:left="3645" w:hanging="420"/>
      </w:pPr>
    </w:lvl>
    <w:lvl w:ilvl="8" w:tentative="0">
      <w:start w:val="1"/>
      <w:numFmt w:val="lowerRoman"/>
      <w:lvlText w:val="%9."/>
      <w:lvlJc w:val="right"/>
      <w:pPr>
        <w:tabs>
          <w:tab w:val="left" w:pos="4065"/>
        </w:tabs>
        <w:ind w:left="4065" w:hanging="420"/>
      </w:pPr>
    </w:lvl>
  </w:abstractNum>
  <w:abstractNum w:abstractNumId="35">
    <w:nsid w:val="6BD21615"/>
    <w:multiLevelType w:val="multilevel"/>
    <w:tmpl w:val="6BD21615"/>
    <w:lvl w:ilvl="0" w:tentative="0">
      <w:start w:val="1"/>
      <w:numFmt w:val="decimal"/>
      <w:lvlText w:val="（%1）"/>
      <w:lvlJc w:val="left"/>
      <w:pPr>
        <w:tabs>
          <w:tab w:val="left" w:pos="1125"/>
        </w:tabs>
        <w:ind w:left="1125" w:hanging="720"/>
      </w:pPr>
      <w:rPr>
        <w:rFonts w:hint="default"/>
      </w:rPr>
    </w:lvl>
    <w:lvl w:ilvl="1" w:tentative="0">
      <w:start w:val="1"/>
      <w:numFmt w:val="lowerLetter"/>
      <w:lvlText w:val="%2)"/>
      <w:lvlJc w:val="left"/>
      <w:pPr>
        <w:tabs>
          <w:tab w:val="left" w:pos="1245"/>
        </w:tabs>
        <w:ind w:left="1245" w:hanging="420"/>
      </w:pPr>
    </w:lvl>
    <w:lvl w:ilvl="2" w:tentative="0">
      <w:start w:val="1"/>
      <w:numFmt w:val="lowerRoman"/>
      <w:lvlText w:val="%3."/>
      <w:lvlJc w:val="right"/>
      <w:pPr>
        <w:tabs>
          <w:tab w:val="left" w:pos="1665"/>
        </w:tabs>
        <w:ind w:left="1665" w:hanging="420"/>
      </w:pPr>
    </w:lvl>
    <w:lvl w:ilvl="3" w:tentative="0">
      <w:start w:val="1"/>
      <w:numFmt w:val="decimal"/>
      <w:lvlText w:val="%4."/>
      <w:lvlJc w:val="left"/>
      <w:pPr>
        <w:tabs>
          <w:tab w:val="left" w:pos="2085"/>
        </w:tabs>
        <w:ind w:left="2085" w:hanging="420"/>
      </w:pPr>
    </w:lvl>
    <w:lvl w:ilvl="4" w:tentative="0">
      <w:start w:val="1"/>
      <w:numFmt w:val="lowerLetter"/>
      <w:lvlText w:val="%5)"/>
      <w:lvlJc w:val="left"/>
      <w:pPr>
        <w:tabs>
          <w:tab w:val="left" w:pos="2505"/>
        </w:tabs>
        <w:ind w:left="2505" w:hanging="420"/>
      </w:pPr>
    </w:lvl>
    <w:lvl w:ilvl="5" w:tentative="0">
      <w:start w:val="1"/>
      <w:numFmt w:val="lowerRoman"/>
      <w:lvlText w:val="%6."/>
      <w:lvlJc w:val="right"/>
      <w:pPr>
        <w:tabs>
          <w:tab w:val="left" w:pos="2925"/>
        </w:tabs>
        <w:ind w:left="2925" w:hanging="420"/>
      </w:pPr>
    </w:lvl>
    <w:lvl w:ilvl="6" w:tentative="0">
      <w:start w:val="1"/>
      <w:numFmt w:val="decimal"/>
      <w:lvlText w:val="%7."/>
      <w:lvlJc w:val="left"/>
      <w:pPr>
        <w:tabs>
          <w:tab w:val="left" w:pos="3345"/>
        </w:tabs>
        <w:ind w:left="3345" w:hanging="420"/>
      </w:pPr>
    </w:lvl>
    <w:lvl w:ilvl="7" w:tentative="0">
      <w:start w:val="1"/>
      <w:numFmt w:val="lowerLetter"/>
      <w:lvlText w:val="%8)"/>
      <w:lvlJc w:val="left"/>
      <w:pPr>
        <w:tabs>
          <w:tab w:val="left" w:pos="3765"/>
        </w:tabs>
        <w:ind w:left="3765" w:hanging="420"/>
      </w:pPr>
    </w:lvl>
    <w:lvl w:ilvl="8" w:tentative="0">
      <w:start w:val="1"/>
      <w:numFmt w:val="lowerRoman"/>
      <w:lvlText w:val="%9."/>
      <w:lvlJc w:val="right"/>
      <w:pPr>
        <w:tabs>
          <w:tab w:val="left" w:pos="4185"/>
        </w:tabs>
        <w:ind w:left="4185" w:hanging="420"/>
      </w:pPr>
    </w:lvl>
  </w:abstractNum>
  <w:abstractNum w:abstractNumId="36">
    <w:nsid w:val="6CEB3CC8"/>
    <w:multiLevelType w:val="multilevel"/>
    <w:tmpl w:val="6CEB3CC8"/>
    <w:lvl w:ilvl="0" w:tentative="0">
      <w:start w:val="1"/>
      <w:numFmt w:val="decimal"/>
      <w:lvlText w:val="（%1）"/>
      <w:lvlJc w:val="left"/>
      <w:pPr>
        <w:tabs>
          <w:tab w:val="left" w:pos="720"/>
        </w:tabs>
        <w:ind w:left="72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7">
    <w:nsid w:val="72591D07"/>
    <w:multiLevelType w:val="multilevel"/>
    <w:tmpl w:val="72591D07"/>
    <w:lvl w:ilvl="0" w:tentative="0">
      <w:start w:val="2"/>
      <w:numFmt w:val="bullet"/>
      <w:lvlText w:val="□"/>
      <w:lvlJc w:val="left"/>
      <w:pPr>
        <w:ind w:left="535" w:hanging="360"/>
      </w:pPr>
      <w:rPr>
        <w:rFonts w:hint="eastAsia" w:ascii="宋体" w:hAnsi="宋体" w:eastAsia="宋体" w:cs="Times New Roman"/>
      </w:rPr>
    </w:lvl>
    <w:lvl w:ilvl="1" w:tentative="0">
      <w:start w:val="1"/>
      <w:numFmt w:val="bullet"/>
      <w:lvlText w:val=""/>
      <w:lvlJc w:val="left"/>
      <w:pPr>
        <w:ind w:left="1015" w:hanging="420"/>
      </w:pPr>
      <w:rPr>
        <w:rFonts w:hint="default" w:ascii="Wingdings" w:hAnsi="Wingdings"/>
      </w:rPr>
    </w:lvl>
    <w:lvl w:ilvl="2" w:tentative="0">
      <w:start w:val="1"/>
      <w:numFmt w:val="bullet"/>
      <w:lvlText w:val=""/>
      <w:lvlJc w:val="left"/>
      <w:pPr>
        <w:ind w:left="1435" w:hanging="420"/>
      </w:pPr>
      <w:rPr>
        <w:rFonts w:hint="default" w:ascii="Wingdings" w:hAnsi="Wingdings"/>
      </w:rPr>
    </w:lvl>
    <w:lvl w:ilvl="3" w:tentative="0">
      <w:start w:val="1"/>
      <w:numFmt w:val="bullet"/>
      <w:lvlText w:val=""/>
      <w:lvlJc w:val="left"/>
      <w:pPr>
        <w:ind w:left="1855" w:hanging="420"/>
      </w:pPr>
      <w:rPr>
        <w:rFonts w:hint="default" w:ascii="Wingdings" w:hAnsi="Wingdings"/>
      </w:rPr>
    </w:lvl>
    <w:lvl w:ilvl="4" w:tentative="0">
      <w:start w:val="1"/>
      <w:numFmt w:val="bullet"/>
      <w:lvlText w:val=""/>
      <w:lvlJc w:val="left"/>
      <w:pPr>
        <w:ind w:left="2275" w:hanging="420"/>
      </w:pPr>
      <w:rPr>
        <w:rFonts w:hint="default" w:ascii="Wingdings" w:hAnsi="Wingdings"/>
      </w:rPr>
    </w:lvl>
    <w:lvl w:ilvl="5" w:tentative="0">
      <w:start w:val="1"/>
      <w:numFmt w:val="bullet"/>
      <w:lvlText w:val=""/>
      <w:lvlJc w:val="left"/>
      <w:pPr>
        <w:ind w:left="2695" w:hanging="420"/>
      </w:pPr>
      <w:rPr>
        <w:rFonts w:hint="default" w:ascii="Wingdings" w:hAnsi="Wingdings"/>
      </w:rPr>
    </w:lvl>
    <w:lvl w:ilvl="6" w:tentative="0">
      <w:start w:val="1"/>
      <w:numFmt w:val="bullet"/>
      <w:lvlText w:val=""/>
      <w:lvlJc w:val="left"/>
      <w:pPr>
        <w:ind w:left="3115" w:hanging="420"/>
      </w:pPr>
      <w:rPr>
        <w:rFonts w:hint="default" w:ascii="Wingdings" w:hAnsi="Wingdings"/>
      </w:rPr>
    </w:lvl>
    <w:lvl w:ilvl="7" w:tentative="0">
      <w:start w:val="1"/>
      <w:numFmt w:val="bullet"/>
      <w:lvlText w:val=""/>
      <w:lvlJc w:val="left"/>
      <w:pPr>
        <w:ind w:left="3535" w:hanging="420"/>
      </w:pPr>
      <w:rPr>
        <w:rFonts w:hint="default" w:ascii="Wingdings" w:hAnsi="Wingdings"/>
      </w:rPr>
    </w:lvl>
    <w:lvl w:ilvl="8" w:tentative="0">
      <w:start w:val="1"/>
      <w:numFmt w:val="bullet"/>
      <w:lvlText w:val=""/>
      <w:lvlJc w:val="left"/>
      <w:pPr>
        <w:ind w:left="3955" w:hanging="420"/>
      </w:pPr>
      <w:rPr>
        <w:rFonts w:hint="default" w:ascii="Wingdings" w:hAnsi="Wingdings"/>
      </w:rPr>
    </w:lvl>
  </w:abstractNum>
  <w:num w:numId="1">
    <w:abstractNumId w:val="11"/>
  </w:num>
  <w:num w:numId="2">
    <w:abstractNumId w:val="0"/>
  </w:num>
  <w:num w:numId="3">
    <w:abstractNumId w:val="37"/>
  </w:num>
  <w:num w:numId="4">
    <w:abstractNumId w:val="15"/>
  </w:num>
  <w:num w:numId="5">
    <w:abstractNumId w:val="12"/>
  </w:num>
  <w:num w:numId="6">
    <w:abstractNumId w:val="16"/>
  </w:num>
  <w:num w:numId="7">
    <w:abstractNumId w:val="22"/>
  </w:num>
  <w:num w:numId="8">
    <w:abstractNumId w:val="25"/>
  </w:num>
  <w:num w:numId="9">
    <w:abstractNumId w:val="33"/>
  </w:num>
  <w:num w:numId="10">
    <w:abstractNumId w:val="29"/>
  </w:num>
  <w:num w:numId="11">
    <w:abstractNumId w:val="14"/>
  </w:num>
  <w:num w:numId="12">
    <w:abstractNumId w:val="30"/>
  </w:num>
  <w:num w:numId="13">
    <w:abstractNumId w:val="8"/>
  </w:num>
  <w:num w:numId="14">
    <w:abstractNumId w:val="32"/>
  </w:num>
  <w:num w:numId="15">
    <w:abstractNumId w:val="17"/>
  </w:num>
  <w:num w:numId="16">
    <w:abstractNumId w:val="24"/>
  </w:num>
  <w:num w:numId="17">
    <w:abstractNumId w:val="31"/>
  </w:num>
  <w:num w:numId="18">
    <w:abstractNumId w:val="9"/>
  </w:num>
  <w:num w:numId="19">
    <w:abstractNumId w:val="23"/>
  </w:num>
  <w:num w:numId="20">
    <w:abstractNumId w:val="1"/>
  </w:num>
  <w:num w:numId="21">
    <w:abstractNumId w:val="2"/>
  </w:num>
  <w:num w:numId="22">
    <w:abstractNumId w:val="34"/>
  </w:num>
  <w:num w:numId="23">
    <w:abstractNumId w:val="10"/>
  </w:num>
  <w:num w:numId="24">
    <w:abstractNumId w:val="18"/>
  </w:num>
  <w:num w:numId="25">
    <w:abstractNumId w:val="20"/>
  </w:num>
  <w:num w:numId="26">
    <w:abstractNumId w:val="35"/>
  </w:num>
  <w:num w:numId="27">
    <w:abstractNumId w:val="21"/>
  </w:num>
  <w:num w:numId="28">
    <w:abstractNumId w:val="27"/>
  </w:num>
  <w:num w:numId="29">
    <w:abstractNumId w:val="28"/>
  </w:num>
  <w:num w:numId="30">
    <w:abstractNumId w:val="13"/>
  </w:num>
  <w:num w:numId="31">
    <w:abstractNumId w:val="7"/>
  </w:num>
  <w:num w:numId="32">
    <w:abstractNumId w:val="36"/>
  </w:num>
  <w:num w:numId="33">
    <w:abstractNumId w:val="26"/>
  </w:num>
  <w:num w:numId="34">
    <w:abstractNumId w:val="5"/>
  </w:num>
  <w:num w:numId="35">
    <w:abstractNumId w:val="4"/>
  </w:num>
  <w:num w:numId="36">
    <w:abstractNumId w:val="19"/>
  </w:num>
  <w:num w:numId="37">
    <w:abstractNumId w:val="6"/>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1F7"/>
    <w:rsid w:val="00026FB5"/>
    <w:rsid w:val="000328AC"/>
    <w:rsid w:val="0005613E"/>
    <w:rsid w:val="000B1F8E"/>
    <w:rsid w:val="000E3723"/>
    <w:rsid w:val="001029DC"/>
    <w:rsid w:val="00113ABE"/>
    <w:rsid w:val="001530A3"/>
    <w:rsid w:val="00164ED4"/>
    <w:rsid w:val="00185324"/>
    <w:rsid w:val="001E1099"/>
    <w:rsid w:val="001F7754"/>
    <w:rsid w:val="002225E3"/>
    <w:rsid w:val="00227CFD"/>
    <w:rsid w:val="00237B90"/>
    <w:rsid w:val="0025605A"/>
    <w:rsid w:val="002576F6"/>
    <w:rsid w:val="002846E3"/>
    <w:rsid w:val="002C63A8"/>
    <w:rsid w:val="002D6598"/>
    <w:rsid w:val="002F2FC1"/>
    <w:rsid w:val="00311529"/>
    <w:rsid w:val="00332924"/>
    <w:rsid w:val="0034201B"/>
    <w:rsid w:val="00394184"/>
    <w:rsid w:val="003A059C"/>
    <w:rsid w:val="003F742B"/>
    <w:rsid w:val="00401E56"/>
    <w:rsid w:val="004032C7"/>
    <w:rsid w:val="00423C69"/>
    <w:rsid w:val="004B150A"/>
    <w:rsid w:val="004C274E"/>
    <w:rsid w:val="004D0727"/>
    <w:rsid w:val="004E33AB"/>
    <w:rsid w:val="004E5C8B"/>
    <w:rsid w:val="00510A49"/>
    <w:rsid w:val="00516FF2"/>
    <w:rsid w:val="005224B5"/>
    <w:rsid w:val="00523258"/>
    <w:rsid w:val="005242FC"/>
    <w:rsid w:val="00540EB1"/>
    <w:rsid w:val="00553A50"/>
    <w:rsid w:val="005564B9"/>
    <w:rsid w:val="00575B77"/>
    <w:rsid w:val="005F437C"/>
    <w:rsid w:val="006000F7"/>
    <w:rsid w:val="00600F99"/>
    <w:rsid w:val="00602CD5"/>
    <w:rsid w:val="00634226"/>
    <w:rsid w:val="00637796"/>
    <w:rsid w:val="0066706D"/>
    <w:rsid w:val="00672D8D"/>
    <w:rsid w:val="006C648C"/>
    <w:rsid w:val="006D52AB"/>
    <w:rsid w:val="006E4A9E"/>
    <w:rsid w:val="0073732C"/>
    <w:rsid w:val="0076621C"/>
    <w:rsid w:val="00770A26"/>
    <w:rsid w:val="00793F70"/>
    <w:rsid w:val="007A3D58"/>
    <w:rsid w:val="007A5C15"/>
    <w:rsid w:val="007D41F1"/>
    <w:rsid w:val="007E0FFE"/>
    <w:rsid w:val="007E71B0"/>
    <w:rsid w:val="0080056F"/>
    <w:rsid w:val="00825FBF"/>
    <w:rsid w:val="008278C9"/>
    <w:rsid w:val="0083063D"/>
    <w:rsid w:val="008377F7"/>
    <w:rsid w:val="008415F1"/>
    <w:rsid w:val="00882A2A"/>
    <w:rsid w:val="008D3C6B"/>
    <w:rsid w:val="008D71FE"/>
    <w:rsid w:val="0091045D"/>
    <w:rsid w:val="009537B3"/>
    <w:rsid w:val="009578E4"/>
    <w:rsid w:val="009874C9"/>
    <w:rsid w:val="0099797F"/>
    <w:rsid w:val="009C6134"/>
    <w:rsid w:val="009D3A70"/>
    <w:rsid w:val="009D7F69"/>
    <w:rsid w:val="00A02597"/>
    <w:rsid w:val="00A551F7"/>
    <w:rsid w:val="00A71B8A"/>
    <w:rsid w:val="00A93A9B"/>
    <w:rsid w:val="00A97AA0"/>
    <w:rsid w:val="00AD476A"/>
    <w:rsid w:val="00AF5AC9"/>
    <w:rsid w:val="00B076B8"/>
    <w:rsid w:val="00B55692"/>
    <w:rsid w:val="00B62FD4"/>
    <w:rsid w:val="00B71069"/>
    <w:rsid w:val="00B84BB0"/>
    <w:rsid w:val="00BB5237"/>
    <w:rsid w:val="00C15306"/>
    <w:rsid w:val="00C26723"/>
    <w:rsid w:val="00C856B4"/>
    <w:rsid w:val="00CA7701"/>
    <w:rsid w:val="00CB41CB"/>
    <w:rsid w:val="00D0408E"/>
    <w:rsid w:val="00D044A1"/>
    <w:rsid w:val="00D24B35"/>
    <w:rsid w:val="00D96AF6"/>
    <w:rsid w:val="00DA537C"/>
    <w:rsid w:val="00E843E2"/>
    <w:rsid w:val="00E86B06"/>
    <w:rsid w:val="00E910D3"/>
    <w:rsid w:val="00EF3D81"/>
    <w:rsid w:val="00F73593"/>
    <w:rsid w:val="00F9689A"/>
    <w:rsid w:val="00FB148F"/>
    <w:rsid w:val="00FB1491"/>
    <w:rsid w:val="00FF1622"/>
    <w:rsid w:val="00FF5CCF"/>
    <w:rsid w:val="02E4156D"/>
    <w:rsid w:val="03150700"/>
    <w:rsid w:val="03594B41"/>
    <w:rsid w:val="036D04AC"/>
    <w:rsid w:val="03970BC6"/>
    <w:rsid w:val="04C07C39"/>
    <w:rsid w:val="05E02288"/>
    <w:rsid w:val="05FC1FC7"/>
    <w:rsid w:val="06845540"/>
    <w:rsid w:val="08212C26"/>
    <w:rsid w:val="08CA2DF3"/>
    <w:rsid w:val="08DB13BD"/>
    <w:rsid w:val="091C25E5"/>
    <w:rsid w:val="09B76024"/>
    <w:rsid w:val="0B221DA0"/>
    <w:rsid w:val="0BBC7E97"/>
    <w:rsid w:val="0C245C8B"/>
    <w:rsid w:val="0C5317EF"/>
    <w:rsid w:val="0F3A420C"/>
    <w:rsid w:val="0FA9755E"/>
    <w:rsid w:val="0FD4128E"/>
    <w:rsid w:val="1037312C"/>
    <w:rsid w:val="10430FA0"/>
    <w:rsid w:val="10B439B7"/>
    <w:rsid w:val="10DD4758"/>
    <w:rsid w:val="1120231C"/>
    <w:rsid w:val="11A7008F"/>
    <w:rsid w:val="120255E2"/>
    <w:rsid w:val="128931EE"/>
    <w:rsid w:val="12F7595A"/>
    <w:rsid w:val="15347136"/>
    <w:rsid w:val="17684E1F"/>
    <w:rsid w:val="19AE7AA1"/>
    <w:rsid w:val="1A86182B"/>
    <w:rsid w:val="1EDE544F"/>
    <w:rsid w:val="1F490439"/>
    <w:rsid w:val="1FC51BFE"/>
    <w:rsid w:val="21C20EB3"/>
    <w:rsid w:val="249B1C05"/>
    <w:rsid w:val="24AA3CC7"/>
    <w:rsid w:val="254B3826"/>
    <w:rsid w:val="272B6B51"/>
    <w:rsid w:val="2AA205AF"/>
    <w:rsid w:val="2AAB0A24"/>
    <w:rsid w:val="2C0A0DCA"/>
    <w:rsid w:val="2CD26359"/>
    <w:rsid w:val="2CFF0C51"/>
    <w:rsid w:val="2D0B0CAA"/>
    <w:rsid w:val="2DC57AC0"/>
    <w:rsid w:val="2E73516A"/>
    <w:rsid w:val="2E863378"/>
    <w:rsid w:val="2EAF7089"/>
    <w:rsid w:val="2FFF5D9B"/>
    <w:rsid w:val="30D1007E"/>
    <w:rsid w:val="31257115"/>
    <w:rsid w:val="314D0007"/>
    <w:rsid w:val="32B0733C"/>
    <w:rsid w:val="3332052C"/>
    <w:rsid w:val="33C573B4"/>
    <w:rsid w:val="34610D55"/>
    <w:rsid w:val="347E6A66"/>
    <w:rsid w:val="35F9178F"/>
    <w:rsid w:val="368E07EC"/>
    <w:rsid w:val="36E460F0"/>
    <w:rsid w:val="36E9113C"/>
    <w:rsid w:val="36FC6914"/>
    <w:rsid w:val="3A8C4311"/>
    <w:rsid w:val="3B0064AA"/>
    <w:rsid w:val="3B5A5E05"/>
    <w:rsid w:val="3C5F7499"/>
    <w:rsid w:val="3D0414A4"/>
    <w:rsid w:val="3D7D770C"/>
    <w:rsid w:val="3E822BFC"/>
    <w:rsid w:val="3EBB4C1C"/>
    <w:rsid w:val="402B53A4"/>
    <w:rsid w:val="410D7762"/>
    <w:rsid w:val="411126E8"/>
    <w:rsid w:val="412B7BB4"/>
    <w:rsid w:val="416E6B1F"/>
    <w:rsid w:val="41E70B02"/>
    <w:rsid w:val="422B4ED6"/>
    <w:rsid w:val="4253465A"/>
    <w:rsid w:val="42DE6F76"/>
    <w:rsid w:val="43AF209E"/>
    <w:rsid w:val="447A7806"/>
    <w:rsid w:val="456C515E"/>
    <w:rsid w:val="45F77806"/>
    <w:rsid w:val="46AB0B90"/>
    <w:rsid w:val="48684F34"/>
    <w:rsid w:val="489D1D50"/>
    <w:rsid w:val="498A2B55"/>
    <w:rsid w:val="4B1E7E02"/>
    <w:rsid w:val="4BBF71F0"/>
    <w:rsid w:val="4CAE5C12"/>
    <w:rsid w:val="4CCC6CAE"/>
    <w:rsid w:val="4D672114"/>
    <w:rsid w:val="4E101635"/>
    <w:rsid w:val="4E891938"/>
    <w:rsid w:val="4EA66DC1"/>
    <w:rsid w:val="50DA3322"/>
    <w:rsid w:val="510B2A47"/>
    <w:rsid w:val="512D10B9"/>
    <w:rsid w:val="516D1FDC"/>
    <w:rsid w:val="53DF7930"/>
    <w:rsid w:val="561B6C50"/>
    <w:rsid w:val="564A347C"/>
    <w:rsid w:val="56773A0A"/>
    <w:rsid w:val="57F35CD5"/>
    <w:rsid w:val="5805490E"/>
    <w:rsid w:val="585E30A6"/>
    <w:rsid w:val="58942DD8"/>
    <w:rsid w:val="59096C31"/>
    <w:rsid w:val="59CB72CA"/>
    <w:rsid w:val="5A63486A"/>
    <w:rsid w:val="5ADC08D6"/>
    <w:rsid w:val="5BF84F6C"/>
    <w:rsid w:val="5DD42344"/>
    <w:rsid w:val="5E4E73B1"/>
    <w:rsid w:val="5EB246EE"/>
    <w:rsid w:val="5EFB44BD"/>
    <w:rsid w:val="5FC01892"/>
    <w:rsid w:val="5FE722CF"/>
    <w:rsid w:val="60390708"/>
    <w:rsid w:val="62B40268"/>
    <w:rsid w:val="638F55C7"/>
    <w:rsid w:val="63C02A8B"/>
    <w:rsid w:val="644C2550"/>
    <w:rsid w:val="65D65CF3"/>
    <w:rsid w:val="66395E0A"/>
    <w:rsid w:val="667A66C5"/>
    <w:rsid w:val="670C6852"/>
    <w:rsid w:val="67540F24"/>
    <w:rsid w:val="685D586C"/>
    <w:rsid w:val="68EE6CCE"/>
    <w:rsid w:val="68F52C4E"/>
    <w:rsid w:val="692442BE"/>
    <w:rsid w:val="6B143FBF"/>
    <w:rsid w:val="6C0C30E3"/>
    <w:rsid w:val="6C974997"/>
    <w:rsid w:val="6EA648D7"/>
    <w:rsid w:val="6FA0513C"/>
    <w:rsid w:val="711E389E"/>
    <w:rsid w:val="75D0712C"/>
    <w:rsid w:val="77420443"/>
    <w:rsid w:val="77674AD1"/>
    <w:rsid w:val="786F3FD2"/>
    <w:rsid w:val="78926E5A"/>
    <w:rsid w:val="7AEC73D5"/>
    <w:rsid w:val="7B3C5C35"/>
    <w:rsid w:val="7CB35C6E"/>
    <w:rsid w:val="7D7E36F8"/>
    <w:rsid w:val="7DE61840"/>
    <w:rsid w:val="7EFB4F7C"/>
    <w:rsid w:val="7F8770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uiPriority="99"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qFormat="1"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kern w:val="2"/>
      <w:sz w:val="21"/>
      <w:szCs w:val="24"/>
      <w:lang w:val="en-US" w:eastAsia="zh-CN" w:bidi="ar-SA"/>
    </w:rPr>
  </w:style>
  <w:style w:type="paragraph" w:styleId="2">
    <w:name w:val="heading 1"/>
    <w:basedOn w:val="1"/>
    <w:next w:val="1"/>
    <w:link w:val="63"/>
    <w:qFormat/>
    <w:uiPriority w:val="9"/>
    <w:pPr>
      <w:keepNext/>
      <w:keepLines/>
      <w:spacing w:before="340" w:after="330" w:line="578" w:lineRule="auto"/>
      <w:outlineLvl w:val="0"/>
    </w:pPr>
    <w:rPr>
      <w:rFonts w:ascii="Times New Roman" w:hAnsi="Times New Roman" w:cs="Times New Roman"/>
      <w:b/>
      <w:bCs/>
      <w:kern w:val="44"/>
      <w:sz w:val="44"/>
      <w:szCs w:val="44"/>
    </w:rPr>
  </w:style>
  <w:style w:type="paragraph" w:styleId="3">
    <w:name w:val="heading 2"/>
    <w:basedOn w:val="1"/>
    <w:next w:val="1"/>
    <w:link w:val="64"/>
    <w:qFormat/>
    <w:uiPriority w:val="0"/>
    <w:pPr>
      <w:keepNext/>
      <w:keepLines/>
      <w:spacing w:before="260" w:after="260" w:line="416" w:lineRule="auto"/>
      <w:outlineLvl w:val="1"/>
    </w:pPr>
    <w:rPr>
      <w:rFonts w:ascii="Arial" w:hAnsi="Arial" w:eastAsia="黑体" w:cs="Times New Roman"/>
      <w:b/>
      <w:bCs/>
      <w:sz w:val="48"/>
      <w:szCs w:val="32"/>
    </w:rPr>
  </w:style>
  <w:style w:type="paragraph" w:styleId="4">
    <w:name w:val="heading 3"/>
    <w:basedOn w:val="1"/>
    <w:next w:val="1"/>
    <w:link w:val="65"/>
    <w:qFormat/>
    <w:uiPriority w:val="0"/>
    <w:pPr>
      <w:keepNext/>
      <w:keepLines/>
      <w:spacing w:before="260" w:after="260" w:line="416" w:lineRule="auto"/>
      <w:outlineLvl w:val="2"/>
    </w:pPr>
    <w:rPr>
      <w:rFonts w:ascii="Times New Roman" w:hAnsi="Times New Roman" w:cs="Times New Roman"/>
      <w:b/>
      <w:bCs/>
      <w:sz w:val="32"/>
      <w:szCs w:val="32"/>
    </w:rPr>
  </w:style>
  <w:style w:type="paragraph" w:styleId="5">
    <w:name w:val="heading 4"/>
    <w:basedOn w:val="1"/>
    <w:next w:val="1"/>
    <w:link w:val="66"/>
    <w:qFormat/>
    <w:uiPriority w:val="0"/>
    <w:pPr>
      <w:keepNext/>
      <w:keepLines/>
      <w:adjustRightInd w:val="0"/>
      <w:spacing w:before="280" w:after="290" w:line="376" w:lineRule="atLeast"/>
      <w:textAlignment w:val="baseline"/>
      <w:outlineLvl w:val="3"/>
    </w:pPr>
    <w:rPr>
      <w:rFonts w:ascii="Arial" w:hAnsi="Arial" w:eastAsia="黑体" w:cs="Times New Roman"/>
      <w:b/>
      <w:kern w:val="0"/>
      <w:sz w:val="28"/>
      <w:szCs w:val="20"/>
    </w:rPr>
  </w:style>
  <w:style w:type="paragraph" w:styleId="6">
    <w:name w:val="heading 5"/>
    <w:basedOn w:val="1"/>
    <w:next w:val="1"/>
    <w:link w:val="67"/>
    <w:qFormat/>
    <w:uiPriority w:val="0"/>
    <w:pPr>
      <w:keepNext/>
      <w:keepLines/>
      <w:adjustRightInd w:val="0"/>
      <w:spacing w:before="280" w:after="290" w:line="376" w:lineRule="atLeast"/>
      <w:textAlignment w:val="baseline"/>
      <w:outlineLvl w:val="4"/>
    </w:pPr>
    <w:rPr>
      <w:rFonts w:ascii="Times New Roman" w:hAnsi="Times New Roman" w:cs="Times New Roman"/>
      <w:b/>
      <w:kern w:val="0"/>
      <w:sz w:val="28"/>
      <w:szCs w:val="20"/>
    </w:rPr>
  </w:style>
  <w:style w:type="paragraph" w:styleId="7">
    <w:name w:val="heading 6"/>
    <w:basedOn w:val="1"/>
    <w:next w:val="1"/>
    <w:link w:val="68"/>
    <w:qFormat/>
    <w:uiPriority w:val="0"/>
    <w:pPr>
      <w:keepNext/>
      <w:keepLines/>
      <w:adjustRightInd w:val="0"/>
      <w:spacing w:before="240" w:after="64" w:line="320" w:lineRule="atLeast"/>
      <w:textAlignment w:val="baseline"/>
      <w:outlineLvl w:val="5"/>
    </w:pPr>
    <w:rPr>
      <w:rFonts w:ascii="Arial" w:hAnsi="Arial" w:eastAsia="黑体" w:cs="Times New Roman"/>
      <w:b/>
      <w:kern w:val="0"/>
      <w:sz w:val="24"/>
      <w:szCs w:val="20"/>
    </w:rPr>
  </w:style>
  <w:style w:type="paragraph" w:styleId="8">
    <w:name w:val="heading 7"/>
    <w:basedOn w:val="1"/>
    <w:next w:val="1"/>
    <w:link w:val="69"/>
    <w:qFormat/>
    <w:uiPriority w:val="0"/>
    <w:pPr>
      <w:keepNext/>
      <w:keepLines/>
      <w:adjustRightInd w:val="0"/>
      <w:spacing w:before="240" w:after="64" w:line="320" w:lineRule="atLeast"/>
      <w:textAlignment w:val="baseline"/>
      <w:outlineLvl w:val="6"/>
    </w:pPr>
    <w:rPr>
      <w:rFonts w:ascii="Times New Roman" w:hAnsi="Times New Roman" w:cs="Times New Roman"/>
      <w:b/>
      <w:kern w:val="0"/>
      <w:sz w:val="24"/>
      <w:szCs w:val="20"/>
    </w:rPr>
  </w:style>
  <w:style w:type="paragraph" w:styleId="9">
    <w:name w:val="heading 8"/>
    <w:basedOn w:val="1"/>
    <w:next w:val="1"/>
    <w:link w:val="70"/>
    <w:qFormat/>
    <w:uiPriority w:val="0"/>
    <w:pPr>
      <w:keepNext/>
      <w:keepLines/>
      <w:adjustRightInd w:val="0"/>
      <w:spacing w:before="240" w:after="64" w:line="320" w:lineRule="atLeast"/>
      <w:textAlignment w:val="baseline"/>
      <w:outlineLvl w:val="7"/>
    </w:pPr>
    <w:rPr>
      <w:rFonts w:ascii="Arial" w:hAnsi="Arial" w:eastAsia="黑体" w:cs="Times New Roman"/>
      <w:kern w:val="0"/>
      <w:sz w:val="24"/>
      <w:szCs w:val="20"/>
    </w:rPr>
  </w:style>
  <w:style w:type="paragraph" w:styleId="10">
    <w:name w:val="heading 9"/>
    <w:basedOn w:val="1"/>
    <w:next w:val="1"/>
    <w:link w:val="71"/>
    <w:qFormat/>
    <w:uiPriority w:val="0"/>
    <w:pPr>
      <w:keepNext/>
      <w:keepLines/>
      <w:adjustRightInd w:val="0"/>
      <w:spacing w:before="240" w:after="64" w:line="320" w:lineRule="atLeast"/>
      <w:textAlignment w:val="baseline"/>
      <w:outlineLvl w:val="8"/>
    </w:pPr>
    <w:rPr>
      <w:rFonts w:ascii="Arial" w:hAnsi="Arial" w:eastAsia="黑体" w:cs="Times New Roman"/>
      <w:kern w:val="0"/>
      <w:szCs w:val="20"/>
    </w:rPr>
  </w:style>
  <w:style w:type="character" w:default="1" w:styleId="53">
    <w:name w:val="Default Paragraph Font"/>
    <w:semiHidden/>
    <w:unhideWhenUsed/>
    <w:qFormat/>
    <w:uiPriority w:val="1"/>
  </w:style>
  <w:style w:type="table" w:default="1" w:styleId="50">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ind w:left="2520" w:leftChars="1200"/>
    </w:pPr>
    <w:rPr>
      <w:rFonts w:ascii="Calibri" w:hAnsi="Calibri" w:cs="Times New Roman"/>
      <w:szCs w:val="22"/>
    </w:rPr>
  </w:style>
  <w:style w:type="paragraph" w:styleId="12">
    <w:name w:val="Normal Indent"/>
    <w:basedOn w:val="1"/>
    <w:link w:val="159"/>
    <w:qFormat/>
    <w:uiPriority w:val="0"/>
    <w:pPr>
      <w:ind w:firstLine="420" w:firstLineChars="200"/>
    </w:pPr>
    <w:rPr>
      <w:rFonts w:asciiTheme="minorHAnsi" w:hAnsiTheme="minorHAnsi" w:eastAsiaTheme="minorEastAsia" w:cstheme="minorBidi"/>
    </w:rPr>
  </w:style>
  <w:style w:type="paragraph" w:styleId="13">
    <w:name w:val="caption"/>
    <w:basedOn w:val="1"/>
    <w:next w:val="1"/>
    <w:qFormat/>
    <w:uiPriority w:val="0"/>
    <w:pPr>
      <w:adjustRightInd w:val="0"/>
      <w:spacing w:before="152" w:after="160" w:line="360" w:lineRule="atLeast"/>
      <w:jc w:val="left"/>
      <w:textAlignment w:val="baseline"/>
    </w:pPr>
    <w:rPr>
      <w:rFonts w:ascii="Arial" w:hAnsi="Arial" w:eastAsia="黑体" w:cs="Times New Roman"/>
      <w:kern w:val="0"/>
      <w:sz w:val="24"/>
    </w:rPr>
  </w:style>
  <w:style w:type="paragraph" w:styleId="14">
    <w:name w:val="index 5"/>
    <w:basedOn w:val="1"/>
    <w:next w:val="1"/>
    <w:qFormat/>
    <w:uiPriority w:val="0"/>
    <w:pPr>
      <w:ind w:left="800" w:leftChars="800"/>
    </w:pPr>
    <w:rPr>
      <w:rFonts w:ascii="Times New Roman" w:hAnsi="Times New Roman" w:cs="Times New Roman"/>
    </w:rPr>
  </w:style>
  <w:style w:type="paragraph" w:styleId="15">
    <w:name w:val="List Bullet"/>
    <w:basedOn w:val="1"/>
    <w:qFormat/>
    <w:uiPriority w:val="0"/>
    <w:pPr>
      <w:tabs>
        <w:tab w:val="left" w:pos="360"/>
        <w:tab w:val="left" w:pos="1079"/>
      </w:tabs>
      <w:ind w:left="360" w:hanging="720"/>
    </w:pPr>
    <w:rPr>
      <w:rFonts w:ascii="Times New Roman" w:hAnsi="Times New Roman" w:eastAsia="楷体_GB2312" w:cs="Times New Roman"/>
      <w:sz w:val="24"/>
      <w:szCs w:val="20"/>
    </w:rPr>
  </w:style>
  <w:style w:type="paragraph" w:styleId="16">
    <w:name w:val="Document Map"/>
    <w:basedOn w:val="1"/>
    <w:link w:val="84"/>
    <w:qFormat/>
    <w:uiPriority w:val="0"/>
    <w:pPr>
      <w:shd w:val="clear" w:color="auto" w:fill="000080"/>
    </w:pPr>
    <w:rPr>
      <w:rFonts w:asciiTheme="minorHAnsi" w:hAnsiTheme="minorHAnsi" w:eastAsiaTheme="minorEastAsia" w:cstheme="minorBidi"/>
    </w:rPr>
  </w:style>
  <w:style w:type="paragraph" w:styleId="17">
    <w:name w:val="toa heading"/>
    <w:basedOn w:val="1"/>
    <w:next w:val="1"/>
    <w:qFormat/>
    <w:uiPriority w:val="0"/>
    <w:pPr>
      <w:spacing w:before="120"/>
    </w:pPr>
    <w:rPr>
      <w:rFonts w:ascii="Arial" w:hAnsi="Arial" w:cs="Times New Roman"/>
      <w:sz w:val="24"/>
    </w:rPr>
  </w:style>
  <w:style w:type="paragraph" w:styleId="18">
    <w:name w:val="annotation text"/>
    <w:basedOn w:val="1"/>
    <w:link w:val="74"/>
    <w:qFormat/>
    <w:uiPriority w:val="0"/>
    <w:pPr>
      <w:jc w:val="left"/>
    </w:pPr>
    <w:rPr>
      <w:rFonts w:asciiTheme="minorHAnsi" w:hAnsiTheme="minorHAnsi" w:eastAsiaTheme="minorEastAsia" w:cstheme="minorBidi"/>
    </w:rPr>
  </w:style>
  <w:style w:type="paragraph" w:styleId="19">
    <w:name w:val="Body Text 3"/>
    <w:basedOn w:val="1"/>
    <w:link w:val="76"/>
    <w:qFormat/>
    <w:uiPriority w:val="0"/>
    <w:pPr>
      <w:spacing w:after="120"/>
    </w:pPr>
    <w:rPr>
      <w:rFonts w:asciiTheme="minorHAnsi" w:hAnsiTheme="minorHAnsi" w:eastAsiaTheme="minorEastAsia" w:cstheme="minorBidi"/>
      <w:sz w:val="16"/>
      <w:szCs w:val="16"/>
    </w:rPr>
  </w:style>
  <w:style w:type="paragraph" w:styleId="20">
    <w:name w:val="Body Text"/>
    <w:basedOn w:val="1"/>
    <w:link w:val="92"/>
    <w:qFormat/>
    <w:uiPriority w:val="0"/>
    <w:rPr>
      <w:rFonts w:ascii="Times New Roman" w:hAnsi="Times New Roman" w:eastAsia="黑体" w:cs="Times New Roman"/>
      <w:sz w:val="36"/>
    </w:rPr>
  </w:style>
  <w:style w:type="paragraph" w:styleId="21">
    <w:name w:val="Body Text Indent"/>
    <w:basedOn w:val="1"/>
    <w:link w:val="112"/>
    <w:qFormat/>
    <w:uiPriority w:val="0"/>
    <w:pPr>
      <w:spacing w:after="120"/>
      <w:ind w:left="420" w:leftChars="200"/>
    </w:pPr>
    <w:rPr>
      <w:rFonts w:asciiTheme="minorHAnsi" w:hAnsiTheme="minorHAnsi" w:eastAsiaTheme="minorEastAsia" w:cstheme="minorBidi"/>
    </w:rPr>
  </w:style>
  <w:style w:type="paragraph" w:styleId="22">
    <w:name w:val="List 2"/>
    <w:basedOn w:val="1"/>
    <w:qFormat/>
    <w:uiPriority w:val="0"/>
    <w:pPr>
      <w:adjustRightInd w:val="0"/>
      <w:spacing w:line="360" w:lineRule="atLeast"/>
      <w:ind w:left="100" w:leftChars="200" w:hanging="200" w:hangingChars="200"/>
      <w:jc w:val="left"/>
      <w:textAlignment w:val="baseline"/>
    </w:pPr>
    <w:rPr>
      <w:rFonts w:hAnsi="Times New Roman" w:cs="Times New Roman"/>
      <w:kern w:val="0"/>
      <w:sz w:val="24"/>
    </w:rPr>
  </w:style>
  <w:style w:type="paragraph" w:styleId="23">
    <w:name w:val="List Continue"/>
    <w:basedOn w:val="1"/>
    <w:qFormat/>
    <w:uiPriority w:val="0"/>
    <w:pPr>
      <w:adjustRightInd w:val="0"/>
      <w:spacing w:after="120" w:line="360" w:lineRule="atLeast"/>
      <w:ind w:left="420" w:leftChars="200"/>
      <w:jc w:val="left"/>
      <w:textAlignment w:val="baseline"/>
    </w:pPr>
    <w:rPr>
      <w:rFonts w:hAnsi="Times New Roman" w:cs="Times New Roman"/>
      <w:kern w:val="0"/>
      <w:sz w:val="24"/>
    </w:rPr>
  </w:style>
  <w:style w:type="paragraph" w:styleId="24">
    <w:name w:val="Block Text"/>
    <w:basedOn w:val="1"/>
    <w:qFormat/>
    <w:uiPriority w:val="0"/>
    <w:pPr>
      <w:spacing w:after="120"/>
      <w:ind w:left="1440" w:leftChars="700" w:right="1440" w:rightChars="700"/>
    </w:pPr>
    <w:rPr>
      <w:rFonts w:ascii="Times New Roman" w:hAnsi="Times New Roman" w:cs="Times New Roman"/>
    </w:rPr>
  </w:style>
  <w:style w:type="paragraph" w:styleId="25">
    <w:name w:val="toc 5"/>
    <w:basedOn w:val="1"/>
    <w:next w:val="1"/>
    <w:qFormat/>
    <w:uiPriority w:val="39"/>
    <w:pPr>
      <w:ind w:left="1680" w:leftChars="800"/>
    </w:pPr>
    <w:rPr>
      <w:rFonts w:ascii="Times New Roman" w:hAnsi="Times New Roman" w:cs="Times New Roman"/>
    </w:rPr>
  </w:style>
  <w:style w:type="paragraph" w:styleId="26">
    <w:name w:val="toc 3"/>
    <w:basedOn w:val="1"/>
    <w:next w:val="1"/>
    <w:qFormat/>
    <w:uiPriority w:val="39"/>
    <w:pPr>
      <w:tabs>
        <w:tab w:val="left" w:pos="1680"/>
        <w:tab w:val="right" w:leader="dot" w:pos="8302"/>
      </w:tabs>
      <w:ind w:left="840" w:leftChars="400"/>
    </w:pPr>
    <w:rPr>
      <w:rFonts w:cs="Times New Roman"/>
      <w:color w:val="000000"/>
      <w:szCs w:val="21"/>
    </w:rPr>
  </w:style>
  <w:style w:type="paragraph" w:styleId="27">
    <w:name w:val="Plain Text"/>
    <w:basedOn w:val="1"/>
    <w:link w:val="124"/>
    <w:qFormat/>
    <w:uiPriority w:val="0"/>
    <w:rPr>
      <w:rFonts w:hAnsi="Courier New" w:cs="Courier New" w:eastAsiaTheme="minorEastAsia"/>
      <w:szCs w:val="21"/>
    </w:rPr>
  </w:style>
  <w:style w:type="paragraph" w:styleId="28">
    <w:name w:val="toc 8"/>
    <w:basedOn w:val="1"/>
    <w:next w:val="1"/>
    <w:unhideWhenUsed/>
    <w:qFormat/>
    <w:uiPriority w:val="39"/>
    <w:pPr>
      <w:ind w:left="2940" w:leftChars="1400"/>
    </w:pPr>
    <w:rPr>
      <w:rFonts w:ascii="Calibri" w:hAnsi="Calibri" w:cs="Times New Roman"/>
      <w:szCs w:val="22"/>
    </w:rPr>
  </w:style>
  <w:style w:type="paragraph" w:styleId="29">
    <w:name w:val="Date"/>
    <w:basedOn w:val="1"/>
    <w:next w:val="1"/>
    <w:link w:val="120"/>
    <w:qFormat/>
    <w:uiPriority w:val="0"/>
    <w:pPr>
      <w:adjustRightInd w:val="0"/>
      <w:spacing w:line="360" w:lineRule="atLeast"/>
    </w:pPr>
    <w:rPr>
      <w:rFonts w:hAnsiTheme="minorHAnsi" w:eastAsiaTheme="minorEastAsia" w:cstheme="minorBidi"/>
      <w:sz w:val="24"/>
      <w:szCs w:val="22"/>
    </w:rPr>
  </w:style>
  <w:style w:type="paragraph" w:styleId="30">
    <w:name w:val="Body Text Indent 2"/>
    <w:basedOn w:val="1"/>
    <w:link w:val="118"/>
    <w:qFormat/>
    <w:uiPriority w:val="0"/>
    <w:pPr>
      <w:spacing w:after="120" w:line="480" w:lineRule="auto"/>
      <w:ind w:left="420" w:leftChars="200"/>
    </w:pPr>
    <w:rPr>
      <w:rFonts w:asciiTheme="minorHAnsi" w:hAnsiTheme="minorHAnsi" w:eastAsiaTheme="minorEastAsia" w:cstheme="minorBidi"/>
    </w:rPr>
  </w:style>
  <w:style w:type="paragraph" w:styleId="31">
    <w:name w:val="endnote text"/>
    <w:basedOn w:val="1"/>
    <w:link w:val="149"/>
    <w:qFormat/>
    <w:uiPriority w:val="0"/>
    <w:pPr>
      <w:jc w:val="left"/>
    </w:pPr>
    <w:rPr>
      <w:rFonts w:ascii="CG Times (W1)" w:hAnsi="CG Times (W1)" w:eastAsiaTheme="minorEastAsia" w:cstheme="minorBidi"/>
      <w:szCs w:val="22"/>
    </w:rPr>
  </w:style>
  <w:style w:type="paragraph" w:styleId="32">
    <w:name w:val="Balloon Text"/>
    <w:basedOn w:val="1"/>
    <w:link w:val="72"/>
    <w:qFormat/>
    <w:uiPriority w:val="0"/>
    <w:rPr>
      <w:rFonts w:ascii="Times New Roman" w:hAnsi="Times New Roman" w:cs="Times New Roman"/>
      <w:sz w:val="18"/>
      <w:szCs w:val="18"/>
    </w:rPr>
  </w:style>
  <w:style w:type="paragraph" w:styleId="33">
    <w:name w:val="footer"/>
    <w:basedOn w:val="1"/>
    <w:link w:val="62"/>
    <w:unhideWhenUsed/>
    <w:qFormat/>
    <w:uiPriority w:val="99"/>
    <w:pPr>
      <w:tabs>
        <w:tab w:val="center" w:pos="4153"/>
        <w:tab w:val="right" w:pos="8306"/>
      </w:tabs>
      <w:snapToGrid w:val="0"/>
      <w:jc w:val="left"/>
    </w:pPr>
    <w:rPr>
      <w:sz w:val="18"/>
      <w:szCs w:val="18"/>
    </w:rPr>
  </w:style>
  <w:style w:type="paragraph" w:styleId="34">
    <w:name w:val="header"/>
    <w:basedOn w:val="1"/>
    <w:link w:val="61"/>
    <w:unhideWhenUsed/>
    <w:qFormat/>
    <w:uiPriority w:val="99"/>
    <w:pPr>
      <w:pBdr>
        <w:bottom w:val="single" w:color="auto" w:sz="6" w:space="1"/>
      </w:pBdr>
      <w:tabs>
        <w:tab w:val="center" w:pos="4153"/>
        <w:tab w:val="right" w:pos="8306"/>
      </w:tabs>
      <w:snapToGrid w:val="0"/>
      <w:jc w:val="center"/>
    </w:pPr>
    <w:rPr>
      <w:sz w:val="18"/>
      <w:szCs w:val="18"/>
    </w:rPr>
  </w:style>
  <w:style w:type="paragraph" w:styleId="35">
    <w:name w:val="toc 1"/>
    <w:basedOn w:val="1"/>
    <w:next w:val="1"/>
    <w:qFormat/>
    <w:uiPriority w:val="39"/>
    <w:pPr>
      <w:tabs>
        <w:tab w:val="right" w:leader="dot" w:pos="8302"/>
      </w:tabs>
      <w:spacing w:line="440" w:lineRule="exact"/>
      <w:jc w:val="left"/>
    </w:pPr>
    <w:rPr>
      <w:rFonts w:cs="Times New Roman"/>
      <w:color w:val="000000"/>
      <w:szCs w:val="21"/>
    </w:rPr>
  </w:style>
  <w:style w:type="paragraph" w:styleId="36">
    <w:name w:val="toc 4"/>
    <w:basedOn w:val="1"/>
    <w:next w:val="1"/>
    <w:qFormat/>
    <w:uiPriority w:val="39"/>
    <w:pPr>
      <w:ind w:left="1260" w:leftChars="600"/>
    </w:pPr>
    <w:rPr>
      <w:rFonts w:ascii="Times New Roman" w:hAnsi="Times New Roman" w:cs="Times New Roman"/>
    </w:rPr>
  </w:style>
  <w:style w:type="paragraph" w:styleId="37">
    <w:name w:val="List"/>
    <w:basedOn w:val="1"/>
    <w:qFormat/>
    <w:uiPriority w:val="0"/>
    <w:pPr>
      <w:adjustRightInd w:val="0"/>
      <w:spacing w:line="360" w:lineRule="atLeast"/>
      <w:ind w:left="420" w:hanging="420"/>
      <w:jc w:val="left"/>
    </w:pPr>
    <w:rPr>
      <w:rFonts w:hint="eastAsia" w:hAnsi="Times New Roman" w:cs="Times New Roman"/>
      <w:kern w:val="0"/>
      <w:sz w:val="24"/>
      <w:szCs w:val="20"/>
    </w:rPr>
  </w:style>
  <w:style w:type="paragraph" w:styleId="38">
    <w:name w:val="footnote text"/>
    <w:basedOn w:val="1"/>
    <w:link w:val="87"/>
    <w:qFormat/>
    <w:uiPriority w:val="0"/>
    <w:pPr>
      <w:snapToGrid w:val="0"/>
      <w:jc w:val="left"/>
    </w:pPr>
    <w:rPr>
      <w:rFonts w:asciiTheme="minorHAnsi" w:hAnsiTheme="minorHAnsi" w:eastAsiaTheme="minorEastAsia" w:cstheme="minorBidi"/>
      <w:sz w:val="18"/>
      <w:szCs w:val="18"/>
    </w:rPr>
  </w:style>
  <w:style w:type="paragraph" w:styleId="39">
    <w:name w:val="toc 6"/>
    <w:basedOn w:val="1"/>
    <w:next w:val="1"/>
    <w:unhideWhenUsed/>
    <w:qFormat/>
    <w:uiPriority w:val="39"/>
    <w:pPr>
      <w:ind w:left="2100" w:leftChars="1000"/>
    </w:pPr>
    <w:rPr>
      <w:rFonts w:ascii="Calibri" w:hAnsi="Calibri" w:cs="Times New Roman"/>
      <w:szCs w:val="22"/>
    </w:rPr>
  </w:style>
  <w:style w:type="paragraph" w:styleId="40">
    <w:name w:val="Body Text Indent 3"/>
    <w:basedOn w:val="1"/>
    <w:link w:val="152"/>
    <w:qFormat/>
    <w:uiPriority w:val="0"/>
    <w:pPr>
      <w:spacing w:after="120"/>
      <w:ind w:left="420" w:leftChars="200"/>
    </w:pPr>
    <w:rPr>
      <w:rFonts w:asciiTheme="minorHAnsi" w:hAnsiTheme="minorHAnsi" w:eastAsiaTheme="minorEastAsia" w:cstheme="minorBidi"/>
      <w:sz w:val="16"/>
      <w:szCs w:val="16"/>
    </w:rPr>
  </w:style>
  <w:style w:type="paragraph" w:styleId="41">
    <w:name w:val="table of figures"/>
    <w:basedOn w:val="1"/>
    <w:next w:val="1"/>
    <w:qFormat/>
    <w:uiPriority w:val="0"/>
    <w:pPr>
      <w:ind w:left="840" w:leftChars="200" w:hanging="420" w:hangingChars="200"/>
    </w:pPr>
    <w:rPr>
      <w:rFonts w:ascii="Times New Roman" w:hAnsi="Times New Roman" w:cs="Times New Roman"/>
    </w:rPr>
  </w:style>
  <w:style w:type="paragraph" w:styleId="42">
    <w:name w:val="toc 2"/>
    <w:basedOn w:val="1"/>
    <w:next w:val="1"/>
    <w:qFormat/>
    <w:uiPriority w:val="39"/>
    <w:pPr>
      <w:tabs>
        <w:tab w:val="right" w:leader="dot" w:pos="8302"/>
      </w:tabs>
      <w:ind w:left="420" w:leftChars="200"/>
    </w:pPr>
    <w:rPr>
      <w:rFonts w:ascii="黑体" w:hAnsi="黑体" w:eastAsia="黑体" w:cs="Times New Roman"/>
    </w:rPr>
  </w:style>
  <w:style w:type="paragraph" w:styleId="43">
    <w:name w:val="toc 9"/>
    <w:basedOn w:val="1"/>
    <w:next w:val="1"/>
    <w:unhideWhenUsed/>
    <w:qFormat/>
    <w:uiPriority w:val="39"/>
    <w:pPr>
      <w:ind w:left="3360" w:leftChars="1600"/>
    </w:pPr>
    <w:rPr>
      <w:rFonts w:ascii="Calibri" w:hAnsi="Calibri" w:cs="Times New Roman"/>
      <w:szCs w:val="22"/>
    </w:rPr>
  </w:style>
  <w:style w:type="paragraph" w:styleId="44">
    <w:name w:val="Body Text 2"/>
    <w:basedOn w:val="1"/>
    <w:link w:val="102"/>
    <w:qFormat/>
    <w:uiPriority w:val="0"/>
    <w:pPr>
      <w:jc w:val="center"/>
    </w:pPr>
    <w:rPr>
      <w:rFonts w:eastAsia="黑体" w:asciiTheme="minorHAnsi" w:hAnsiTheme="minorHAnsi" w:cstheme="minorBidi"/>
      <w:bCs/>
      <w:sz w:val="72"/>
    </w:rPr>
  </w:style>
  <w:style w:type="paragraph" w:styleId="45">
    <w:name w:val="HTML Preformatted"/>
    <w:basedOn w:val="1"/>
    <w:link w:val="14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eastAsiaTheme="minorEastAsia" w:cstheme="minorBidi"/>
      <w:sz w:val="24"/>
    </w:rPr>
  </w:style>
  <w:style w:type="paragraph" w:styleId="46">
    <w:name w:val="Normal (Web)"/>
    <w:basedOn w:val="1"/>
    <w:qFormat/>
    <w:uiPriority w:val="0"/>
    <w:pPr>
      <w:widowControl/>
      <w:spacing w:before="100" w:beforeAutospacing="1" w:after="100" w:afterAutospacing="1"/>
      <w:jc w:val="left"/>
    </w:pPr>
    <w:rPr>
      <w:rFonts w:cs="Times New Roman"/>
      <w:color w:val="000000"/>
      <w:kern w:val="0"/>
      <w:sz w:val="24"/>
    </w:rPr>
  </w:style>
  <w:style w:type="paragraph" w:styleId="47">
    <w:name w:val="index 1"/>
    <w:basedOn w:val="1"/>
    <w:next w:val="1"/>
    <w:qFormat/>
    <w:uiPriority w:val="0"/>
    <w:pPr>
      <w:spacing w:line="220" w:lineRule="exact"/>
      <w:jc w:val="center"/>
    </w:pPr>
    <w:rPr>
      <w:rFonts w:ascii="仿宋_GB2312" w:hAnsi="Times New Roman" w:eastAsia="仿宋_GB2312" w:cs="Times New Roman"/>
      <w:szCs w:val="21"/>
    </w:rPr>
  </w:style>
  <w:style w:type="paragraph" w:styleId="48">
    <w:name w:val="Title"/>
    <w:basedOn w:val="1"/>
    <w:link w:val="79"/>
    <w:qFormat/>
    <w:uiPriority w:val="0"/>
    <w:pPr>
      <w:adjustRightInd w:val="0"/>
      <w:spacing w:before="240" w:after="60" w:line="360" w:lineRule="atLeast"/>
      <w:jc w:val="center"/>
      <w:outlineLvl w:val="0"/>
    </w:pPr>
    <w:rPr>
      <w:rFonts w:ascii="Arial" w:hAnsi="Arial" w:eastAsiaTheme="minorEastAsia" w:cstheme="minorBidi"/>
      <w:b/>
      <w:sz w:val="32"/>
      <w:szCs w:val="22"/>
    </w:rPr>
  </w:style>
  <w:style w:type="paragraph" w:styleId="49">
    <w:name w:val="annotation subject"/>
    <w:basedOn w:val="18"/>
    <w:next w:val="18"/>
    <w:link w:val="161"/>
    <w:qFormat/>
    <w:uiPriority w:val="0"/>
    <w:rPr>
      <w:b/>
      <w:bCs/>
    </w:rPr>
  </w:style>
  <w:style w:type="table" w:styleId="51">
    <w:name w:val="Table Grid"/>
    <w:basedOn w:val="5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52">
    <w:name w:val="Table Theme"/>
    <w:basedOn w:val="5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4">
    <w:name w:val="Strong"/>
    <w:qFormat/>
    <w:uiPriority w:val="0"/>
    <w:rPr>
      <w:b/>
      <w:bCs/>
    </w:rPr>
  </w:style>
  <w:style w:type="character" w:styleId="55">
    <w:name w:val="page number"/>
    <w:basedOn w:val="53"/>
    <w:qFormat/>
    <w:uiPriority w:val="0"/>
  </w:style>
  <w:style w:type="character" w:styleId="56">
    <w:name w:val="FollowedHyperlink"/>
    <w:qFormat/>
    <w:uiPriority w:val="99"/>
    <w:rPr>
      <w:color w:val="800080"/>
      <w:u w:val="single"/>
    </w:rPr>
  </w:style>
  <w:style w:type="character" w:styleId="57">
    <w:name w:val="HTML Typewriter"/>
    <w:qFormat/>
    <w:uiPriority w:val="0"/>
    <w:rPr>
      <w:rFonts w:ascii="宋体" w:hAnsi="宋体" w:eastAsia="宋体" w:cs="宋体"/>
      <w:sz w:val="18"/>
      <w:szCs w:val="18"/>
    </w:rPr>
  </w:style>
  <w:style w:type="character" w:styleId="58">
    <w:name w:val="Hyperlink"/>
    <w:qFormat/>
    <w:uiPriority w:val="99"/>
    <w:rPr>
      <w:color w:val="0000FF"/>
      <w:u w:val="single"/>
    </w:rPr>
  </w:style>
  <w:style w:type="character" w:styleId="59">
    <w:name w:val="annotation reference"/>
    <w:qFormat/>
    <w:uiPriority w:val="0"/>
    <w:rPr>
      <w:sz w:val="21"/>
      <w:szCs w:val="21"/>
    </w:rPr>
  </w:style>
  <w:style w:type="character" w:styleId="60">
    <w:name w:val="footnote reference"/>
    <w:qFormat/>
    <w:uiPriority w:val="0"/>
    <w:rPr>
      <w:vertAlign w:val="superscript"/>
    </w:rPr>
  </w:style>
  <w:style w:type="character" w:customStyle="1" w:styleId="61">
    <w:name w:val="页眉 字符"/>
    <w:basedOn w:val="53"/>
    <w:link w:val="34"/>
    <w:qFormat/>
    <w:uiPriority w:val="99"/>
    <w:rPr>
      <w:sz w:val="18"/>
      <w:szCs w:val="18"/>
    </w:rPr>
  </w:style>
  <w:style w:type="character" w:customStyle="1" w:styleId="62">
    <w:name w:val="页脚 字符"/>
    <w:basedOn w:val="53"/>
    <w:link w:val="33"/>
    <w:qFormat/>
    <w:uiPriority w:val="99"/>
    <w:rPr>
      <w:sz w:val="18"/>
      <w:szCs w:val="18"/>
    </w:rPr>
  </w:style>
  <w:style w:type="character" w:customStyle="1" w:styleId="63">
    <w:name w:val="标题 1 字符"/>
    <w:basedOn w:val="53"/>
    <w:link w:val="2"/>
    <w:qFormat/>
    <w:uiPriority w:val="9"/>
    <w:rPr>
      <w:rFonts w:ascii="Times New Roman" w:hAnsi="Times New Roman" w:eastAsia="宋体" w:cs="Times New Roman"/>
      <w:b/>
      <w:bCs/>
      <w:kern w:val="44"/>
      <w:sz w:val="44"/>
      <w:szCs w:val="44"/>
    </w:rPr>
  </w:style>
  <w:style w:type="character" w:customStyle="1" w:styleId="64">
    <w:name w:val="标题 2 字符"/>
    <w:basedOn w:val="53"/>
    <w:link w:val="3"/>
    <w:qFormat/>
    <w:uiPriority w:val="0"/>
    <w:rPr>
      <w:rFonts w:ascii="Arial" w:hAnsi="Arial" w:eastAsia="黑体" w:cs="Times New Roman"/>
      <w:b/>
      <w:bCs/>
      <w:sz w:val="48"/>
      <w:szCs w:val="32"/>
    </w:rPr>
  </w:style>
  <w:style w:type="character" w:customStyle="1" w:styleId="65">
    <w:name w:val="标题 3 字符"/>
    <w:basedOn w:val="53"/>
    <w:link w:val="4"/>
    <w:qFormat/>
    <w:uiPriority w:val="0"/>
    <w:rPr>
      <w:rFonts w:ascii="Times New Roman" w:hAnsi="Times New Roman" w:eastAsia="宋体" w:cs="Times New Roman"/>
      <w:b/>
      <w:bCs/>
      <w:sz w:val="32"/>
      <w:szCs w:val="32"/>
    </w:rPr>
  </w:style>
  <w:style w:type="character" w:customStyle="1" w:styleId="66">
    <w:name w:val="标题 4 字符"/>
    <w:basedOn w:val="53"/>
    <w:link w:val="5"/>
    <w:qFormat/>
    <w:uiPriority w:val="0"/>
    <w:rPr>
      <w:rFonts w:ascii="Arial" w:hAnsi="Arial" w:eastAsia="黑体" w:cs="Times New Roman"/>
      <w:b/>
      <w:kern w:val="0"/>
      <w:sz w:val="28"/>
      <w:szCs w:val="20"/>
    </w:rPr>
  </w:style>
  <w:style w:type="character" w:customStyle="1" w:styleId="67">
    <w:name w:val="标题 5 字符"/>
    <w:basedOn w:val="53"/>
    <w:link w:val="6"/>
    <w:qFormat/>
    <w:uiPriority w:val="0"/>
    <w:rPr>
      <w:rFonts w:ascii="Times New Roman" w:hAnsi="Times New Roman" w:eastAsia="宋体" w:cs="Times New Roman"/>
      <w:b/>
      <w:kern w:val="0"/>
      <w:sz w:val="28"/>
      <w:szCs w:val="20"/>
    </w:rPr>
  </w:style>
  <w:style w:type="character" w:customStyle="1" w:styleId="68">
    <w:name w:val="标题 6 字符"/>
    <w:basedOn w:val="53"/>
    <w:link w:val="7"/>
    <w:qFormat/>
    <w:uiPriority w:val="0"/>
    <w:rPr>
      <w:rFonts w:ascii="Arial" w:hAnsi="Arial" w:eastAsia="黑体" w:cs="Times New Roman"/>
      <w:b/>
      <w:kern w:val="0"/>
      <w:sz w:val="24"/>
      <w:szCs w:val="20"/>
    </w:rPr>
  </w:style>
  <w:style w:type="character" w:customStyle="1" w:styleId="69">
    <w:name w:val="标题 7 字符"/>
    <w:basedOn w:val="53"/>
    <w:link w:val="8"/>
    <w:qFormat/>
    <w:uiPriority w:val="0"/>
    <w:rPr>
      <w:rFonts w:ascii="Times New Roman" w:hAnsi="Times New Roman" w:eastAsia="宋体" w:cs="Times New Roman"/>
      <w:b/>
      <w:kern w:val="0"/>
      <w:sz w:val="24"/>
      <w:szCs w:val="20"/>
    </w:rPr>
  </w:style>
  <w:style w:type="character" w:customStyle="1" w:styleId="70">
    <w:name w:val="标题 8 字符"/>
    <w:basedOn w:val="53"/>
    <w:link w:val="9"/>
    <w:qFormat/>
    <w:uiPriority w:val="0"/>
    <w:rPr>
      <w:rFonts w:ascii="Arial" w:hAnsi="Arial" w:eastAsia="黑体" w:cs="Times New Roman"/>
      <w:kern w:val="0"/>
      <w:sz w:val="24"/>
      <w:szCs w:val="20"/>
    </w:rPr>
  </w:style>
  <w:style w:type="character" w:customStyle="1" w:styleId="71">
    <w:name w:val="标题 9 字符"/>
    <w:basedOn w:val="53"/>
    <w:link w:val="10"/>
    <w:qFormat/>
    <w:uiPriority w:val="0"/>
    <w:rPr>
      <w:rFonts w:ascii="Arial" w:hAnsi="Arial" w:eastAsia="黑体" w:cs="Times New Roman"/>
      <w:kern w:val="0"/>
      <w:szCs w:val="20"/>
    </w:rPr>
  </w:style>
  <w:style w:type="character" w:customStyle="1" w:styleId="72">
    <w:name w:val="批注框文本 字符"/>
    <w:basedOn w:val="53"/>
    <w:link w:val="32"/>
    <w:qFormat/>
    <w:uiPriority w:val="0"/>
    <w:rPr>
      <w:rFonts w:ascii="Times New Roman" w:hAnsi="Times New Roman" w:eastAsia="宋体" w:cs="Times New Roman"/>
      <w:sz w:val="18"/>
      <w:szCs w:val="18"/>
    </w:rPr>
  </w:style>
  <w:style w:type="character" w:customStyle="1" w:styleId="73">
    <w:name w:val="批注文字 Char"/>
    <w:qFormat/>
    <w:uiPriority w:val="0"/>
    <w:rPr>
      <w:szCs w:val="24"/>
    </w:rPr>
  </w:style>
  <w:style w:type="character" w:customStyle="1" w:styleId="74">
    <w:name w:val="批注文字 字符"/>
    <w:basedOn w:val="53"/>
    <w:link w:val="18"/>
    <w:qFormat/>
    <w:uiPriority w:val="0"/>
    <w:rPr>
      <w:rFonts w:ascii="宋体" w:hAnsi="宋体" w:eastAsia="宋体" w:cs="宋体"/>
      <w:szCs w:val="24"/>
    </w:rPr>
  </w:style>
  <w:style w:type="character" w:customStyle="1" w:styleId="75">
    <w:name w:val="正文文本 3 Char"/>
    <w:qFormat/>
    <w:uiPriority w:val="0"/>
    <w:rPr>
      <w:sz w:val="16"/>
      <w:szCs w:val="16"/>
    </w:rPr>
  </w:style>
  <w:style w:type="character" w:customStyle="1" w:styleId="76">
    <w:name w:val="正文文本 3 字符"/>
    <w:basedOn w:val="53"/>
    <w:link w:val="19"/>
    <w:qFormat/>
    <w:uiPriority w:val="0"/>
    <w:rPr>
      <w:rFonts w:ascii="宋体" w:hAnsi="宋体" w:eastAsia="宋体" w:cs="宋体"/>
      <w:sz w:val="16"/>
      <w:szCs w:val="16"/>
    </w:rPr>
  </w:style>
  <w:style w:type="paragraph" w:customStyle="1" w:styleId="77">
    <w:name w:val="3"/>
    <w:basedOn w:val="1"/>
    <w:next w:val="19"/>
    <w:qFormat/>
    <w:uiPriority w:val="0"/>
    <w:rPr>
      <w:rFonts w:hAnsi="Times New Roman" w:cs="Times New Roman"/>
      <w:sz w:val="24"/>
      <w:szCs w:val="20"/>
    </w:rPr>
  </w:style>
  <w:style w:type="character" w:customStyle="1" w:styleId="78">
    <w:name w:val="标题 Char"/>
    <w:qFormat/>
    <w:uiPriority w:val="0"/>
    <w:rPr>
      <w:rFonts w:ascii="Arial" w:hAnsi="Arial"/>
      <w:b/>
      <w:sz w:val="32"/>
    </w:rPr>
  </w:style>
  <w:style w:type="character" w:customStyle="1" w:styleId="79">
    <w:name w:val="标题 字符"/>
    <w:basedOn w:val="53"/>
    <w:link w:val="48"/>
    <w:qFormat/>
    <w:uiPriority w:val="0"/>
    <w:rPr>
      <w:rFonts w:eastAsia="宋体" w:asciiTheme="majorHAnsi" w:hAnsiTheme="majorHAnsi" w:cstheme="majorBidi"/>
      <w:b/>
      <w:bCs/>
      <w:sz w:val="32"/>
      <w:szCs w:val="32"/>
    </w:rPr>
  </w:style>
  <w:style w:type="character" w:customStyle="1" w:styleId="80">
    <w:name w:val="样式 粉红"/>
    <w:qFormat/>
    <w:uiPriority w:val="0"/>
    <w:rPr>
      <w:color w:val="auto"/>
      <w:u w:val="none"/>
    </w:rPr>
  </w:style>
  <w:style w:type="character" w:customStyle="1" w:styleId="81">
    <w:name w:val="Char Char13"/>
    <w:qFormat/>
    <w:uiPriority w:val="0"/>
    <w:rPr>
      <w:rFonts w:ascii="Times New Roman" w:hAnsi="Times New Roman" w:eastAsia="宋体" w:cs="Times New Roman"/>
      <w:szCs w:val="20"/>
    </w:rPr>
  </w:style>
  <w:style w:type="character" w:customStyle="1" w:styleId="82">
    <w:name w:val="Char Char7"/>
    <w:qFormat/>
    <w:uiPriority w:val="0"/>
    <w:rPr>
      <w:kern w:val="2"/>
      <w:sz w:val="21"/>
    </w:rPr>
  </w:style>
  <w:style w:type="character" w:customStyle="1" w:styleId="83">
    <w:name w:val="文档结构图 Char"/>
    <w:qFormat/>
    <w:uiPriority w:val="0"/>
    <w:rPr>
      <w:szCs w:val="24"/>
      <w:shd w:val="clear" w:color="auto" w:fill="000080"/>
    </w:rPr>
  </w:style>
  <w:style w:type="character" w:customStyle="1" w:styleId="84">
    <w:name w:val="文档结构图 字符"/>
    <w:basedOn w:val="53"/>
    <w:link w:val="16"/>
    <w:qFormat/>
    <w:uiPriority w:val="0"/>
    <w:rPr>
      <w:rFonts w:ascii="宋体" w:hAnsi="宋体" w:eastAsia="宋体" w:cs="宋体"/>
      <w:sz w:val="18"/>
      <w:szCs w:val="18"/>
    </w:rPr>
  </w:style>
  <w:style w:type="character" w:customStyle="1" w:styleId="85">
    <w:name w:val="textcontents"/>
    <w:qFormat/>
    <w:uiPriority w:val="0"/>
  </w:style>
  <w:style w:type="character" w:customStyle="1" w:styleId="86">
    <w:name w:val="脚注文本 Char"/>
    <w:qFormat/>
    <w:uiPriority w:val="0"/>
    <w:rPr>
      <w:sz w:val="18"/>
      <w:szCs w:val="18"/>
    </w:rPr>
  </w:style>
  <w:style w:type="character" w:customStyle="1" w:styleId="87">
    <w:name w:val="脚注文本 字符"/>
    <w:basedOn w:val="53"/>
    <w:link w:val="38"/>
    <w:qFormat/>
    <w:uiPriority w:val="0"/>
    <w:rPr>
      <w:rFonts w:ascii="宋体" w:hAnsi="宋体" w:eastAsia="宋体" w:cs="宋体"/>
      <w:sz w:val="18"/>
      <w:szCs w:val="18"/>
    </w:rPr>
  </w:style>
  <w:style w:type="character" w:customStyle="1" w:styleId="88">
    <w:name w:val="列表段落 字符"/>
    <w:link w:val="89"/>
    <w:qFormat/>
    <w:uiPriority w:val="34"/>
    <w:rPr>
      <w:szCs w:val="24"/>
    </w:rPr>
  </w:style>
  <w:style w:type="paragraph" w:styleId="89">
    <w:name w:val="List Paragraph"/>
    <w:basedOn w:val="1"/>
    <w:link w:val="88"/>
    <w:qFormat/>
    <w:uiPriority w:val="34"/>
    <w:pPr>
      <w:ind w:firstLine="420" w:firstLineChars="200"/>
    </w:pPr>
    <w:rPr>
      <w:rFonts w:asciiTheme="minorHAnsi" w:hAnsiTheme="minorHAnsi" w:eastAsiaTheme="minorEastAsia" w:cstheme="minorBidi"/>
    </w:rPr>
  </w:style>
  <w:style w:type="character" w:customStyle="1" w:styleId="90">
    <w:name w:val="样式 正文文本 + (西文) Arial (中文) 黑体 五号 加粗 黑色 Char"/>
    <w:link w:val="91"/>
    <w:qFormat/>
    <w:uiPriority w:val="0"/>
    <w:rPr>
      <w:rFonts w:ascii="Arial" w:hAnsi="Arial"/>
      <w:b/>
      <w:bCs/>
      <w:color w:val="000000"/>
      <w:sz w:val="24"/>
    </w:rPr>
  </w:style>
  <w:style w:type="paragraph" w:customStyle="1" w:styleId="91">
    <w:name w:val="样式 正文文本 + (西文) Arial (中文) 黑体 五号 加粗 黑色"/>
    <w:basedOn w:val="20"/>
    <w:link w:val="90"/>
    <w:qFormat/>
    <w:uiPriority w:val="0"/>
    <w:pPr>
      <w:adjustRightInd w:val="0"/>
      <w:ind w:right="-120"/>
      <w:jc w:val="left"/>
    </w:pPr>
    <w:rPr>
      <w:rFonts w:ascii="Arial" w:hAnsi="Arial" w:eastAsiaTheme="minorEastAsia" w:cstheme="minorBidi"/>
      <w:b/>
      <w:bCs/>
      <w:color w:val="000000"/>
      <w:sz w:val="24"/>
      <w:szCs w:val="22"/>
    </w:rPr>
  </w:style>
  <w:style w:type="character" w:customStyle="1" w:styleId="92">
    <w:name w:val="正文文本 字符"/>
    <w:basedOn w:val="53"/>
    <w:link w:val="20"/>
    <w:qFormat/>
    <w:uiPriority w:val="0"/>
    <w:rPr>
      <w:rFonts w:ascii="Times New Roman" w:hAnsi="Times New Roman" w:eastAsia="黑体" w:cs="Times New Roman"/>
      <w:sz w:val="36"/>
      <w:szCs w:val="24"/>
    </w:rPr>
  </w:style>
  <w:style w:type="character" w:customStyle="1" w:styleId="93">
    <w:name w:val="无编号正文 Char"/>
    <w:link w:val="94"/>
    <w:qFormat/>
    <w:uiPriority w:val="0"/>
    <w:rPr>
      <w:rFonts w:ascii="宋体" w:hAnsi="宋体"/>
      <w:sz w:val="24"/>
    </w:rPr>
  </w:style>
  <w:style w:type="paragraph" w:customStyle="1" w:styleId="94">
    <w:name w:val="无编号正文"/>
    <w:basedOn w:val="20"/>
    <w:next w:val="1"/>
    <w:link w:val="93"/>
    <w:qFormat/>
    <w:uiPriority w:val="0"/>
    <w:pPr>
      <w:spacing w:line="360" w:lineRule="auto"/>
      <w:ind w:left="200" w:leftChars="200" w:firstLine="200" w:firstLineChars="200"/>
    </w:pPr>
    <w:rPr>
      <w:rFonts w:ascii="宋体" w:hAnsi="宋体" w:eastAsiaTheme="minorEastAsia" w:cstheme="minorBidi"/>
      <w:sz w:val="24"/>
      <w:szCs w:val="22"/>
    </w:rPr>
  </w:style>
  <w:style w:type="character" w:customStyle="1" w:styleId="95">
    <w:name w:val="opr-jigou-danpoi-address-l"/>
    <w:qFormat/>
    <w:uiPriority w:val="99"/>
    <w:rPr>
      <w:rFonts w:hint="default" w:ascii="Times New Roman" w:hAnsi="Times New Roman" w:cs="Times New Roman"/>
    </w:rPr>
  </w:style>
  <w:style w:type="character" w:customStyle="1" w:styleId="96">
    <w:name w:val="WW-Zeilennummer"/>
    <w:qFormat/>
    <w:uiPriority w:val="0"/>
    <w:rPr>
      <w:rFonts w:ascii="Arial" w:hAnsi="Arial"/>
      <w:sz w:val="18"/>
    </w:rPr>
  </w:style>
  <w:style w:type="character" w:customStyle="1" w:styleId="97">
    <w:name w:val="5级段落 Char Char"/>
    <w:link w:val="98"/>
    <w:qFormat/>
    <w:uiPriority w:val="0"/>
    <w:rPr>
      <w:rFonts w:ascii="宋体" w:hAnsi="宋体"/>
      <w:sz w:val="28"/>
      <w:szCs w:val="24"/>
    </w:rPr>
  </w:style>
  <w:style w:type="paragraph" w:customStyle="1" w:styleId="98">
    <w:name w:val="5级段落 Char"/>
    <w:basedOn w:val="99"/>
    <w:link w:val="97"/>
    <w:qFormat/>
    <w:uiPriority w:val="0"/>
    <w:pPr>
      <w:ind w:left="900" w:firstLine="0" w:firstLineChars="0"/>
    </w:pPr>
    <w:rPr>
      <w:rFonts w:eastAsiaTheme="minorEastAsia" w:cstheme="minorBidi"/>
    </w:rPr>
  </w:style>
  <w:style w:type="paragraph" w:customStyle="1" w:styleId="99">
    <w:name w:val="段落 Char"/>
    <w:basedOn w:val="1"/>
    <w:link w:val="100"/>
    <w:qFormat/>
    <w:uiPriority w:val="0"/>
    <w:pPr>
      <w:spacing w:line="600" w:lineRule="exact"/>
      <w:ind w:firstLine="200" w:firstLineChars="200"/>
    </w:pPr>
    <w:rPr>
      <w:rFonts w:cs="Times New Roman"/>
      <w:sz w:val="28"/>
    </w:rPr>
  </w:style>
  <w:style w:type="character" w:customStyle="1" w:styleId="100">
    <w:name w:val="段落 Char Char"/>
    <w:link w:val="99"/>
    <w:qFormat/>
    <w:uiPriority w:val="0"/>
    <w:rPr>
      <w:rFonts w:ascii="宋体" w:hAnsi="宋体" w:eastAsia="宋体" w:cs="Times New Roman"/>
      <w:sz w:val="28"/>
      <w:szCs w:val="24"/>
    </w:rPr>
  </w:style>
  <w:style w:type="character" w:customStyle="1" w:styleId="101">
    <w:name w:val="正文文本 2 Char"/>
    <w:qFormat/>
    <w:uiPriority w:val="0"/>
    <w:rPr>
      <w:rFonts w:eastAsia="黑体"/>
      <w:bCs/>
      <w:sz w:val="72"/>
      <w:szCs w:val="24"/>
    </w:rPr>
  </w:style>
  <w:style w:type="character" w:customStyle="1" w:styleId="102">
    <w:name w:val="正文文本 2 字符"/>
    <w:basedOn w:val="53"/>
    <w:link w:val="44"/>
    <w:qFormat/>
    <w:uiPriority w:val="0"/>
    <w:rPr>
      <w:rFonts w:ascii="宋体" w:hAnsi="宋体" w:eastAsia="宋体" w:cs="宋体"/>
      <w:szCs w:val="24"/>
    </w:rPr>
  </w:style>
  <w:style w:type="character" w:customStyle="1" w:styleId="103">
    <w:name w:val="纯文本 Char1"/>
    <w:qFormat/>
    <w:locked/>
    <w:uiPriority w:val="0"/>
    <w:rPr>
      <w:rFonts w:ascii="宋体" w:hAnsi="Courier New" w:eastAsia="宋体"/>
      <w:sz w:val="21"/>
      <w:lang w:val="en-US" w:eastAsia="zh-CN" w:bidi="ar-SA"/>
    </w:rPr>
  </w:style>
  <w:style w:type="character" w:customStyle="1" w:styleId="104">
    <w:name w:val="样式 正文文本 2 + (西文) Arial (中文) 黑体 五号 加粗 黑色 Char"/>
    <w:link w:val="105"/>
    <w:qFormat/>
    <w:uiPriority w:val="0"/>
    <w:rPr>
      <w:rFonts w:ascii="Arial" w:hAnsi="Arial"/>
      <w:b/>
      <w:bCs/>
      <w:color w:val="000000"/>
      <w:szCs w:val="24"/>
    </w:rPr>
  </w:style>
  <w:style w:type="paragraph" w:customStyle="1" w:styleId="105">
    <w:name w:val="样式 正文文本 2 + (西文) Arial (中文) 黑体 五号 加粗 黑色"/>
    <w:basedOn w:val="44"/>
    <w:link w:val="104"/>
    <w:qFormat/>
    <w:uiPriority w:val="0"/>
    <w:pPr>
      <w:spacing w:line="300" w:lineRule="auto"/>
      <w:jc w:val="both"/>
    </w:pPr>
    <w:rPr>
      <w:rFonts w:ascii="Arial" w:hAnsi="Arial" w:eastAsiaTheme="minorEastAsia"/>
      <w:b/>
      <w:color w:val="000000"/>
      <w:sz w:val="21"/>
    </w:rPr>
  </w:style>
  <w:style w:type="character" w:customStyle="1" w:styleId="106">
    <w:name w:val="font161"/>
    <w:qFormat/>
    <w:uiPriority w:val="0"/>
    <w:rPr>
      <w:b/>
      <w:bCs/>
      <w:sz w:val="32"/>
      <w:szCs w:val="32"/>
    </w:rPr>
  </w:style>
  <w:style w:type="character" w:customStyle="1" w:styleId="107">
    <w:name w:val="样式 正文文本 + (西文) Arial (中文) 黑体 五号 黑色 Char"/>
    <w:link w:val="108"/>
    <w:qFormat/>
    <w:uiPriority w:val="0"/>
    <w:rPr>
      <w:rFonts w:ascii="Arial" w:hAnsi="Arial"/>
      <w:color w:val="000000"/>
      <w:sz w:val="24"/>
    </w:rPr>
  </w:style>
  <w:style w:type="paragraph" w:customStyle="1" w:styleId="108">
    <w:name w:val="样式 正文文本 + (西文) Arial (中文) 黑体 五号 黑色"/>
    <w:basedOn w:val="20"/>
    <w:link w:val="107"/>
    <w:qFormat/>
    <w:uiPriority w:val="0"/>
    <w:pPr>
      <w:adjustRightInd w:val="0"/>
      <w:ind w:right="-120"/>
      <w:jc w:val="left"/>
    </w:pPr>
    <w:rPr>
      <w:rFonts w:ascii="Arial" w:hAnsi="Arial" w:eastAsiaTheme="minorEastAsia" w:cstheme="minorBidi"/>
      <w:color w:val="000000"/>
      <w:sz w:val="24"/>
      <w:szCs w:val="22"/>
    </w:rPr>
  </w:style>
  <w:style w:type="character" w:customStyle="1" w:styleId="109">
    <w:name w:val="无空格段落 Char Char"/>
    <w:link w:val="110"/>
    <w:qFormat/>
    <w:uiPriority w:val="0"/>
    <w:rPr>
      <w:rFonts w:ascii="宋体" w:hAnsi="宋体"/>
      <w:sz w:val="28"/>
      <w:szCs w:val="28"/>
    </w:rPr>
  </w:style>
  <w:style w:type="paragraph" w:customStyle="1" w:styleId="110">
    <w:name w:val="无空格段落 Char"/>
    <w:basedOn w:val="99"/>
    <w:link w:val="109"/>
    <w:qFormat/>
    <w:uiPriority w:val="0"/>
    <w:pPr>
      <w:ind w:firstLine="0" w:firstLineChars="0"/>
    </w:pPr>
    <w:rPr>
      <w:rFonts w:eastAsiaTheme="minorEastAsia" w:cstheme="minorBidi"/>
      <w:szCs w:val="28"/>
    </w:rPr>
  </w:style>
  <w:style w:type="character" w:customStyle="1" w:styleId="111">
    <w:name w:val="正文文本缩进 Char"/>
    <w:qFormat/>
    <w:locked/>
    <w:uiPriority w:val="0"/>
    <w:rPr>
      <w:szCs w:val="24"/>
    </w:rPr>
  </w:style>
  <w:style w:type="character" w:customStyle="1" w:styleId="112">
    <w:name w:val="正文文本缩进 字符"/>
    <w:basedOn w:val="53"/>
    <w:link w:val="21"/>
    <w:semiHidden/>
    <w:qFormat/>
    <w:uiPriority w:val="99"/>
    <w:rPr>
      <w:rFonts w:ascii="宋体" w:hAnsi="宋体" w:eastAsia="宋体" w:cs="宋体"/>
      <w:szCs w:val="24"/>
    </w:rPr>
  </w:style>
  <w:style w:type="character" w:customStyle="1" w:styleId="113">
    <w:name w:val="样式一"/>
    <w:qFormat/>
    <w:uiPriority w:val="0"/>
    <w:rPr>
      <w:rFonts w:ascii="宋体" w:hAnsi="宋体"/>
      <w:b/>
      <w:bCs/>
      <w:color w:val="000000"/>
      <w:sz w:val="36"/>
    </w:rPr>
  </w:style>
  <w:style w:type="character" w:customStyle="1" w:styleId="114">
    <w:name w:val="样式 正文文本 + (西文) Arial (中文) 黑体 五号 加粗 Char"/>
    <w:link w:val="115"/>
    <w:qFormat/>
    <w:uiPriority w:val="0"/>
    <w:rPr>
      <w:rFonts w:ascii="Arial" w:hAnsi="Arial"/>
      <w:b/>
      <w:bCs/>
      <w:sz w:val="24"/>
    </w:rPr>
  </w:style>
  <w:style w:type="paragraph" w:customStyle="1" w:styleId="115">
    <w:name w:val="样式 正文文本 + (西文) Arial (中文) 黑体 五号 加粗"/>
    <w:basedOn w:val="20"/>
    <w:link w:val="114"/>
    <w:qFormat/>
    <w:uiPriority w:val="0"/>
    <w:pPr>
      <w:adjustRightInd w:val="0"/>
      <w:ind w:right="-120"/>
      <w:jc w:val="left"/>
    </w:pPr>
    <w:rPr>
      <w:rFonts w:ascii="Arial" w:hAnsi="Arial" w:eastAsiaTheme="minorEastAsia" w:cstheme="minorBidi"/>
      <w:b/>
      <w:bCs/>
      <w:sz w:val="24"/>
      <w:szCs w:val="22"/>
    </w:rPr>
  </w:style>
  <w:style w:type="character" w:customStyle="1" w:styleId="116">
    <w:name w:val="search_content1"/>
    <w:qFormat/>
    <w:uiPriority w:val="0"/>
    <w:rPr>
      <w:sz w:val="20"/>
      <w:szCs w:val="20"/>
    </w:rPr>
  </w:style>
  <w:style w:type="character" w:customStyle="1" w:styleId="117">
    <w:name w:val="正文文本缩进 2 Char"/>
    <w:qFormat/>
    <w:uiPriority w:val="0"/>
    <w:rPr>
      <w:szCs w:val="24"/>
    </w:rPr>
  </w:style>
  <w:style w:type="character" w:customStyle="1" w:styleId="118">
    <w:name w:val="正文文本缩进 2 字符"/>
    <w:basedOn w:val="53"/>
    <w:link w:val="30"/>
    <w:qFormat/>
    <w:uiPriority w:val="0"/>
    <w:rPr>
      <w:rFonts w:ascii="宋体" w:hAnsi="宋体" w:eastAsia="宋体" w:cs="宋体"/>
      <w:szCs w:val="24"/>
    </w:rPr>
  </w:style>
  <w:style w:type="character" w:customStyle="1" w:styleId="119">
    <w:name w:val="日期 Char"/>
    <w:qFormat/>
    <w:uiPriority w:val="0"/>
    <w:rPr>
      <w:rFonts w:ascii="宋体"/>
      <w:sz w:val="24"/>
    </w:rPr>
  </w:style>
  <w:style w:type="character" w:customStyle="1" w:styleId="120">
    <w:name w:val="日期 字符"/>
    <w:basedOn w:val="53"/>
    <w:link w:val="29"/>
    <w:qFormat/>
    <w:uiPriority w:val="0"/>
    <w:rPr>
      <w:rFonts w:ascii="宋体" w:hAnsi="宋体" w:eastAsia="宋体" w:cs="宋体"/>
      <w:szCs w:val="24"/>
    </w:rPr>
  </w:style>
  <w:style w:type="character" w:customStyle="1" w:styleId="121">
    <w:name w:val="样式 摘要 + 非加粗 Char"/>
    <w:link w:val="122"/>
    <w:qFormat/>
    <w:uiPriority w:val="0"/>
    <w:rPr>
      <w:rFonts w:ascii="Arial" w:hAnsi="Arial"/>
      <w:szCs w:val="21"/>
    </w:rPr>
  </w:style>
  <w:style w:type="paragraph" w:customStyle="1" w:styleId="122">
    <w:name w:val="样式 摘要 + 非加粗"/>
    <w:basedOn w:val="1"/>
    <w:link w:val="121"/>
    <w:qFormat/>
    <w:uiPriority w:val="0"/>
    <w:pPr>
      <w:widowControl/>
      <w:tabs>
        <w:tab w:val="left" w:pos="907"/>
      </w:tabs>
      <w:autoSpaceDE w:val="0"/>
      <w:autoSpaceDN w:val="0"/>
      <w:adjustRightInd w:val="0"/>
      <w:spacing w:line="360" w:lineRule="auto"/>
      <w:ind w:left="879" w:hanging="879" w:firstLineChars="200"/>
    </w:pPr>
    <w:rPr>
      <w:rFonts w:ascii="Arial" w:hAnsi="Arial" w:eastAsiaTheme="minorEastAsia" w:cstheme="minorBidi"/>
      <w:szCs w:val="21"/>
    </w:rPr>
  </w:style>
  <w:style w:type="character" w:customStyle="1" w:styleId="123">
    <w:name w:val="纯文本 Char"/>
    <w:qFormat/>
    <w:uiPriority w:val="0"/>
    <w:rPr>
      <w:rFonts w:ascii="宋体" w:hAnsi="Courier New" w:cs="Courier New"/>
      <w:szCs w:val="21"/>
    </w:rPr>
  </w:style>
  <w:style w:type="character" w:customStyle="1" w:styleId="124">
    <w:name w:val="纯文本 字符"/>
    <w:basedOn w:val="53"/>
    <w:link w:val="27"/>
    <w:qFormat/>
    <w:uiPriority w:val="0"/>
    <w:rPr>
      <w:rFonts w:ascii="宋体" w:hAnsi="Courier New" w:eastAsia="宋体" w:cs="Courier New"/>
      <w:szCs w:val="21"/>
    </w:rPr>
  </w:style>
  <w:style w:type="character" w:customStyle="1" w:styleId="125">
    <w:name w:val="样式 日期 + (西文) Arial (中文) 黑体 加粗 Char"/>
    <w:link w:val="126"/>
    <w:qFormat/>
    <w:uiPriority w:val="0"/>
    <w:rPr>
      <w:rFonts w:ascii="Arial" w:hAnsi="Arial"/>
      <w:b/>
      <w:bCs/>
      <w:sz w:val="24"/>
    </w:rPr>
  </w:style>
  <w:style w:type="paragraph" w:customStyle="1" w:styleId="126">
    <w:name w:val="样式 日期 + (西文) Arial (中文) 黑体 加粗"/>
    <w:basedOn w:val="29"/>
    <w:link w:val="125"/>
    <w:qFormat/>
    <w:uiPriority w:val="0"/>
    <w:pPr>
      <w:adjustRightInd/>
      <w:spacing w:line="240" w:lineRule="auto"/>
    </w:pPr>
    <w:rPr>
      <w:rFonts w:ascii="Arial" w:hAnsi="Arial"/>
      <w:b/>
      <w:bCs/>
    </w:rPr>
  </w:style>
  <w:style w:type="character" w:customStyle="1" w:styleId="127">
    <w:name w:val="Char Char"/>
    <w:qFormat/>
    <w:uiPriority w:val="0"/>
    <w:rPr>
      <w:rFonts w:ascii="Arial" w:hAnsi="Arial" w:eastAsia="黑体"/>
      <w:b/>
      <w:bCs/>
      <w:kern w:val="2"/>
      <w:sz w:val="32"/>
      <w:szCs w:val="32"/>
      <w:lang w:val="en-US" w:eastAsia="zh-CN" w:bidi="ar-SA"/>
    </w:rPr>
  </w:style>
  <w:style w:type="character" w:customStyle="1" w:styleId="128">
    <w:name w:val="日期 Char Char"/>
    <w:qFormat/>
    <w:uiPriority w:val="0"/>
    <w:rPr>
      <w:rFonts w:ascii="宋体" w:eastAsia="宋体"/>
      <w:sz w:val="24"/>
      <w:szCs w:val="24"/>
      <w:lang w:val="en-US" w:eastAsia="zh-CN" w:bidi="ar-SA"/>
    </w:rPr>
  </w:style>
  <w:style w:type="character" w:customStyle="1" w:styleId="129">
    <w:name w:val="4级段落 Char Char"/>
    <w:link w:val="130"/>
    <w:qFormat/>
    <w:uiPriority w:val="0"/>
    <w:rPr>
      <w:rFonts w:ascii="宋体" w:hAnsi="宋体"/>
      <w:sz w:val="28"/>
      <w:szCs w:val="24"/>
    </w:rPr>
  </w:style>
  <w:style w:type="paragraph" w:customStyle="1" w:styleId="130">
    <w:name w:val="4级段落 Char"/>
    <w:basedOn w:val="99"/>
    <w:link w:val="129"/>
    <w:qFormat/>
    <w:uiPriority w:val="0"/>
    <w:pPr>
      <w:ind w:left="845" w:hanging="420" w:firstLineChars="0"/>
    </w:pPr>
    <w:rPr>
      <w:rFonts w:eastAsiaTheme="minorEastAsia" w:cstheme="minorBidi"/>
    </w:rPr>
  </w:style>
  <w:style w:type="character" w:customStyle="1" w:styleId="131">
    <w:name w:val="正文 Char1"/>
    <w:link w:val="132"/>
    <w:qFormat/>
    <w:uiPriority w:val="0"/>
    <w:rPr>
      <w:sz w:val="24"/>
    </w:rPr>
  </w:style>
  <w:style w:type="paragraph" w:customStyle="1" w:styleId="132">
    <w:name w:val="正文21"/>
    <w:basedOn w:val="1"/>
    <w:link w:val="131"/>
    <w:qFormat/>
    <w:uiPriority w:val="0"/>
    <w:pPr>
      <w:spacing w:line="360" w:lineRule="auto"/>
      <w:ind w:firstLine="566" w:firstLineChars="236"/>
    </w:pPr>
    <w:rPr>
      <w:rFonts w:asciiTheme="minorHAnsi" w:hAnsiTheme="minorHAnsi" w:eastAsiaTheme="minorEastAsia" w:cstheme="minorBidi"/>
      <w:sz w:val="24"/>
      <w:szCs w:val="22"/>
    </w:rPr>
  </w:style>
  <w:style w:type="character" w:customStyle="1" w:styleId="133">
    <w:name w:val="3级段落 Char Char"/>
    <w:link w:val="134"/>
    <w:qFormat/>
    <w:uiPriority w:val="0"/>
    <w:rPr>
      <w:b/>
      <w:sz w:val="28"/>
      <w:szCs w:val="24"/>
    </w:rPr>
  </w:style>
  <w:style w:type="paragraph" w:customStyle="1" w:styleId="134">
    <w:name w:val="3级段落 Char"/>
    <w:basedOn w:val="1"/>
    <w:link w:val="133"/>
    <w:qFormat/>
    <w:uiPriority w:val="0"/>
    <w:pPr>
      <w:spacing w:before="240" w:line="600" w:lineRule="exact"/>
      <w:ind w:left="720" w:hanging="720"/>
      <w:outlineLvl w:val="2"/>
    </w:pPr>
    <w:rPr>
      <w:rFonts w:asciiTheme="minorHAnsi" w:hAnsiTheme="minorHAnsi" w:eastAsiaTheme="minorEastAsia" w:cstheme="minorBidi"/>
      <w:b/>
      <w:sz w:val="28"/>
    </w:rPr>
  </w:style>
  <w:style w:type="character" w:customStyle="1" w:styleId="135">
    <w:name w:val="二级标题"/>
    <w:qFormat/>
    <w:uiPriority w:val="0"/>
    <w:rPr>
      <w:rFonts w:ascii="宋体" w:hAnsi="宋体" w:eastAsia="黑体"/>
      <w:sz w:val="28"/>
    </w:rPr>
  </w:style>
  <w:style w:type="character" w:customStyle="1" w:styleId="136">
    <w:name w:val="样式 正文文本 + (西文) Arial (中文) 宋体 五号 黑色 Char"/>
    <w:link w:val="137"/>
    <w:qFormat/>
    <w:uiPriority w:val="0"/>
    <w:rPr>
      <w:rFonts w:ascii="Arial" w:hAnsi="Arial"/>
      <w:color w:val="000000"/>
      <w:sz w:val="24"/>
    </w:rPr>
  </w:style>
  <w:style w:type="paragraph" w:customStyle="1" w:styleId="137">
    <w:name w:val="样式 正文文本 + (西文) Arial (中文) 宋体 五号 黑色"/>
    <w:basedOn w:val="20"/>
    <w:link w:val="136"/>
    <w:qFormat/>
    <w:uiPriority w:val="0"/>
    <w:pPr>
      <w:adjustRightInd w:val="0"/>
      <w:ind w:right="-120"/>
      <w:jc w:val="left"/>
    </w:pPr>
    <w:rPr>
      <w:rFonts w:ascii="Arial" w:hAnsi="Arial" w:eastAsiaTheme="minorEastAsia" w:cstheme="minorBidi"/>
      <w:color w:val="000000"/>
      <w:sz w:val="24"/>
      <w:szCs w:val="22"/>
    </w:rPr>
  </w:style>
  <w:style w:type="character" w:customStyle="1" w:styleId="138">
    <w:name w:val="正文 Char"/>
    <w:link w:val="139"/>
    <w:qFormat/>
    <w:uiPriority w:val="0"/>
    <w:rPr>
      <w:rFonts w:ascii="宋体"/>
      <w:sz w:val="24"/>
    </w:rPr>
  </w:style>
  <w:style w:type="paragraph" w:customStyle="1" w:styleId="139">
    <w:name w:val="正文1"/>
    <w:basedOn w:val="1"/>
    <w:link w:val="138"/>
    <w:qFormat/>
    <w:uiPriority w:val="0"/>
    <w:pPr>
      <w:adjustRightInd w:val="0"/>
      <w:spacing w:line="410" w:lineRule="atLeast"/>
      <w:textAlignment w:val="baseline"/>
    </w:pPr>
    <w:rPr>
      <w:rFonts w:hAnsiTheme="minorHAnsi" w:eastAsiaTheme="minorEastAsia" w:cstheme="minorBidi"/>
      <w:sz w:val="24"/>
      <w:szCs w:val="22"/>
    </w:rPr>
  </w:style>
  <w:style w:type="character" w:customStyle="1" w:styleId="140">
    <w:name w:val="样式c Char"/>
    <w:link w:val="141"/>
    <w:qFormat/>
    <w:locked/>
    <w:uiPriority w:val="0"/>
    <w:rPr>
      <w:spacing w:val="8"/>
    </w:rPr>
  </w:style>
  <w:style w:type="paragraph" w:customStyle="1" w:styleId="141">
    <w:name w:val="样式c"/>
    <w:basedOn w:val="142"/>
    <w:link w:val="140"/>
    <w:qFormat/>
    <w:uiPriority w:val="0"/>
    <w:pPr>
      <w:ind w:left="3600" w:hanging="720"/>
    </w:pPr>
    <w:rPr>
      <w:rFonts w:asciiTheme="minorHAnsi" w:hAnsiTheme="minorHAnsi" w:eastAsiaTheme="minorEastAsia" w:cstheme="minorBidi"/>
    </w:rPr>
  </w:style>
  <w:style w:type="paragraph" w:customStyle="1" w:styleId="142">
    <w:name w:val="样式b"/>
    <w:basedOn w:val="143"/>
    <w:link w:val="145"/>
    <w:qFormat/>
    <w:uiPriority w:val="0"/>
    <w:pPr>
      <w:ind w:left="2880"/>
    </w:pPr>
  </w:style>
  <w:style w:type="paragraph" w:customStyle="1" w:styleId="143">
    <w:name w:val="样式a"/>
    <w:basedOn w:val="1"/>
    <w:link w:val="144"/>
    <w:qFormat/>
    <w:uiPriority w:val="0"/>
    <w:pPr>
      <w:widowControl/>
      <w:spacing w:beforeLines="25" w:afterLines="25" w:line="360" w:lineRule="auto"/>
      <w:ind w:left="2149" w:right="206" w:rightChars="98" w:hanging="731"/>
    </w:pPr>
    <w:rPr>
      <w:rFonts w:ascii="Times New Roman" w:hAnsi="Times New Roman" w:cs="Times New Roman"/>
      <w:spacing w:val="8"/>
      <w:szCs w:val="22"/>
    </w:rPr>
  </w:style>
  <w:style w:type="character" w:customStyle="1" w:styleId="144">
    <w:name w:val="样式a Char"/>
    <w:link w:val="143"/>
    <w:qFormat/>
    <w:locked/>
    <w:uiPriority w:val="0"/>
    <w:rPr>
      <w:rFonts w:ascii="Times New Roman" w:hAnsi="Times New Roman" w:eastAsia="宋体" w:cs="Times New Roman"/>
      <w:spacing w:val="8"/>
    </w:rPr>
  </w:style>
  <w:style w:type="character" w:customStyle="1" w:styleId="145">
    <w:name w:val="样式b Char"/>
    <w:link w:val="142"/>
    <w:qFormat/>
    <w:locked/>
    <w:uiPriority w:val="0"/>
    <w:rPr>
      <w:rFonts w:ascii="Times New Roman" w:hAnsi="Times New Roman" w:eastAsia="宋体" w:cs="Times New Roman"/>
      <w:spacing w:val="8"/>
    </w:rPr>
  </w:style>
  <w:style w:type="character" w:customStyle="1" w:styleId="146">
    <w:name w:val="HTML 预设格式 Char"/>
    <w:qFormat/>
    <w:uiPriority w:val="99"/>
    <w:rPr>
      <w:rFonts w:ascii="宋体" w:hAnsi="宋体"/>
      <w:sz w:val="24"/>
      <w:szCs w:val="24"/>
    </w:rPr>
  </w:style>
  <w:style w:type="character" w:customStyle="1" w:styleId="147">
    <w:name w:val="HTML 预设格式 字符"/>
    <w:basedOn w:val="53"/>
    <w:link w:val="45"/>
    <w:qFormat/>
    <w:uiPriority w:val="0"/>
    <w:rPr>
      <w:rFonts w:ascii="Courier New" w:hAnsi="Courier New" w:eastAsia="宋体" w:cs="Courier New"/>
      <w:sz w:val="20"/>
      <w:szCs w:val="20"/>
    </w:rPr>
  </w:style>
  <w:style w:type="character" w:customStyle="1" w:styleId="148">
    <w:name w:val="尾注文本 Char"/>
    <w:qFormat/>
    <w:uiPriority w:val="0"/>
    <w:rPr>
      <w:rFonts w:ascii="CG Times (W1)" w:hAnsi="CG Times (W1)"/>
    </w:rPr>
  </w:style>
  <w:style w:type="character" w:customStyle="1" w:styleId="149">
    <w:name w:val="尾注文本 字符"/>
    <w:basedOn w:val="53"/>
    <w:link w:val="31"/>
    <w:qFormat/>
    <w:uiPriority w:val="0"/>
    <w:rPr>
      <w:rFonts w:ascii="宋体" w:hAnsi="宋体" w:eastAsia="宋体" w:cs="宋体"/>
      <w:szCs w:val="24"/>
    </w:rPr>
  </w:style>
  <w:style w:type="character" w:customStyle="1" w:styleId="150">
    <w:name w:val="正文文本 2 Char Char"/>
    <w:qFormat/>
    <w:uiPriority w:val="0"/>
    <w:rPr>
      <w:rFonts w:ascii="宋体" w:hAnsi="宋体" w:eastAsia="宋体"/>
      <w:color w:val="000000"/>
      <w:kern w:val="2"/>
      <w:sz w:val="28"/>
      <w:szCs w:val="24"/>
      <w:lang w:val="en-US" w:eastAsia="zh-CN" w:bidi="ar-SA"/>
    </w:rPr>
  </w:style>
  <w:style w:type="character" w:customStyle="1" w:styleId="151">
    <w:name w:val="正文文本缩进 3 Char"/>
    <w:qFormat/>
    <w:uiPriority w:val="0"/>
    <w:rPr>
      <w:sz w:val="16"/>
      <w:szCs w:val="16"/>
    </w:rPr>
  </w:style>
  <w:style w:type="character" w:customStyle="1" w:styleId="152">
    <w:name w:val="正文文本缩进 3 字符"/>
    <w:basedOn w:val="53"/>
    <w:link w:val="40"/>
    <w:qFormat/>
    <w:uiPriority w:val="0"/>
    <w:rPr>
      <w:rFonts w:ascii="宋体" w:hAnsi="宋体" w:eastAsia="宋体" w:cs="宋体"/>
      <w:sz w:val="16"/>
      <w:szCs w:val="16"/>
    </w:rPr>
  </w:style>
  <w:style w:type="character" w:customStyle="1" w:styleId="153">
    <w:name w:val="样式二"/>
    <w:qFormat/>
    <w:uiPriority w:val="0"/>
  </w:style>
  <w:style w:type="character" w:customStyle="1" w:styleId="154">
    <w:name w:val="Report List 1 Char"/>
    <w:link w:val="155"/>
    <w:qFormat/>
    <w:uiPriority w:val="0"/>
    <w:rPr>
      <w:rFonts w:ascii="Arial" w:hAnsi="Arial" w:eastAsia="Times New Roman"/>
      <w:lang w:val="en-GB" w:eastAsia="en-US"/>
    </w:rPr>
  </w:style>
  <w:style w:type="paragraph" w:customStyle="1" w:styleId="155">
    <w:name w:val="Report List 1"/>
    <w:basedOn w:val="37"/>
    <w:link w:val="154"/>
    <w:qFormat/>
    <w:uiPriority w:val="0"/>
    <w:pPr>
      <w:widowControl/>
      <w:tabs>
        <w:tab w:val="left" w:pos="1610"/>
      </w:tabs>
      <w:adjustRightInd/>
      <w:spacing w:after="138" w:line="260" w:lineRule="atLeast"/>
      <w:ind w:left="1610" w:firstLine="0"/>
    </w:pPr>
    <w:rPr>
      <w:rFonts w:hint="default" w:ascii="Arial" w:hAnsi="Arial" w:eastAsia="Times New Roman" w:cstheme="minorBidi"/>
      <w:kern w:val="2"/>
      <w:sz w:val="21"/>
      <w:szCs w:val="22"/>
      <w:lang w:val="en-GB" w:eastAsia="en-US"/>
    </w:rPr>
  </w:style>
  <w:style w:type="character" w:customStyle="1" w:styleId="156">
    <w:name w:val="d1 Char Char"/>
    <w:link w:val="157"/>
    <w:qFormat/>
    <w:uiPriority w:val="0"/>
    <w:rPr>
      <w:rFonts w:ascii="宋体" w:hAnsi="宋体"/>
      <w:sz w:val="24"/>
      <w:szCs w:val="24"/>
    </w:rPr>
  </w:style>
  <w:style w:type="paragraph" w:customStyle="1" w:styleId="157">
    <w:name w:val="d1 Char"/>
    <w:basedOn w:val="1"/>
    <w:link w:val="156"/>
    <w:qFormat/>
    <w:uiPriority w:val="0"/>
    <w:pPr>
      <w:adjustRightInd w:val="0"/>
      <w:snapToGrid w:val="0"/>
      <w:spacing w:afterLines="50"/>
      <w:ind w:firstLine="490" w:firstLineChars="204"/>
      <w:jc w:val="left"/>
      <w:textAlignment w:val="baseline"/>
    </w:pPr>
    <w:rPr>
      <w:rFonts w:eastAsiaTheme="minorEastAsia" w:cstheme="minorBidi"/>
      <w:sz w:val="24"/>
    </w:rPr>
  </w:style>
  <w:style w:type="character" w:customStyle="1" w:styleId="158">
    <w:name w:val="Char Char1"/>
    <w:qFormat/>
    <w:uiPriority w:val="0"/>
    <w:rPr>
      <w:rFonts w:eastAsia="宋体"/>
      <w:kern w:val="2"/>
      <w:sz w:val="24"/>
      <w:lang w:val="en-US" w:eastAsia="zh-CN" w:bidi="ar-SA"/>
    </w:rPr>
  </w:style>
  <w:style w:type="character" w:customStyle="1" w:styleId="159">
    <w:name w:val="正文缩进 字符"/>
    <w:link w:val="12"/>
    <w:qFormat/>
    <w:uiPriority w:val="0"/>
    <w:rPr>
      <w:szCs w:val="24"/>
    </w:rPr>
  </w:style>
  <w:style w:type="character" w:customStyle="1" w:styleId="160">
    <w:name w:val="批注主题 Char"/>
    <w:qFormat/>
    <w:uiPriority w:val="0"/>
    <w:rPr>
      <w:b/>
      <w:bCs/>
      <w:szCs w:val="24"/>
    </w:rPr>
  </w:style>
  <w:style w:type="character" w:customStyle="1" w:styleId="161">
    <w:name w:val="批注主题 字符"/>
    <w:basedOn w:val="74"/>
    <w:link w:val="49"/>
    <w:qFormat/>
    <w:uiPriority w:val="0"/>
    <w:rPr>
      <w:rFonts w:ascii="宋体" w:hAnsi="宋体" w:eastAsia="宋体" w:cs="宋体"/>
      <w:b/>
      <w:bCs/>
      <w:szCs w:val="24"/>
    </w:rPr>
  </w:style>
  <w:style w:type="character" w:customStyle="1" w:styleId="162">
    <w:name w:val="样式 正文文本 2 + (西文) Arial (中文) 黑体 五号 加粗1 Char"/>
    <w:link w:val="163"/>
    <w:qFormat/>
    <w:uiPriority w:val="0"/>
    <w:rPr>
      <w:rFonts w:ascii="Arial" w:hAnsi="Arial"/>
      <w:b/>
      <w:bCs/>
      <w:szCs w:val="24"/>
    </w:rPr>
  </w:style>
  <w:style w:type="paragraph" w:customStyle="1" w:styleId="163">
    <w:name w:val="样式 正文文本 2 + (西文) Arial (中文) 黑体 五号 加粗1"/>
    <w:basedOn w:val="44"/>
    <w:link w:val="162"/>
    <w:qFormat/>
    <w:uiPriority w:val="0"/>
    <w:pPr>
      <w:spacing w:line="300" w:lineRule="auto"/>
      <w:jc w:val="both"/>
    </w:pPr>
    <w:rPr>
      <w:rFonts w:ascii="Arial" w:hAnsi="Arial" w:eastAsiaTheme="minorEastAsia"/>
      <w:b/>
      <w:sz w:val="21"/>
    </w:rPr>
  </w:style>
  <w:style w:type="character" w:customStyle="1" w:styleId="164">
    <w:name w:val="Char Char Char Char1"/>
    <w:qFormat/>
    <w:uiPriority w:val="0"/>
    <w:rPr>
      <w:rFonts w:ascii="宋体" w:eastAsia="宋体"/>
      <w:kern w:val="2"/>
      <w:sz w:val="24"/>
      <w:lang w:val="en-US" w:eastAsia="zh-CN" w:bidi="ar-SA"/>
    </w:rPr>
  </w:style>
  <w:style w:type="character" w:customStyle="1" w:styleId="165">
    <w:name w:val="middle1"/>
    <w:qFormat/>
    <w:uiPriority w:val="0"/>
    <w:rPr>
      <w:rFonts w:hint="default"/>
      <w:sz w:val="21"/>
    </w:rPr>
  </w:style>
  <w:style w:type="character" w:customStyle="1" w:styleId="166">
    <w:name w:val="mg1"/>
    <w:qFormat/>
    <w:uiPriority w:val="0"/>
    <w:rPr>
      <w:color w:val="000000"/>
      <w:spacing w:val="5"/>
      <w:sz w:val="18"/>
      <w:szCs w:val="18"/>
    </w:rPr>
  </w:style>
  <w:style w:type="character" w:customStyle="1" w:styleId="167">
    <w:name w:val="样式 正文文本 2 + (西文) Arial (中文) 黑体 五号 加粗 Char"/>
    <w:link w:val="168"/>
    <w:qFormat/>
    <w:uiPriority w:val="0"/>
    <w:rPr>
      <w:rFonts w:ascii="Arial" w:hAnsi="Arial"/>
      <w:b/>
      <w:bCs/>
      <w:szCs w:val="24"/>
    </w:rPr>
  </w:style>
  <w:style w:type="paragraph" w:customStyle="1" w:styleId="168">
    <w:name w:val="样式 正文文本 2 + (西文) Arial (中文) 黑体 五号 加粗"/>
    <w:basedOn w:val="44"/>
    <w:link w:val="167"/>
    <w:qFormat/>
    <w:uiPriority w:val="0"/>
    <w:pPr>
      <w:spacing w:line="300" w:lineRule="auto"/>
      <w:jc w:val="both"/>
    </w:pPr>
    <w:rPr>
      <w:rFonts w:ascii="Arial" w:hAnsi="Arial" w:eastAsiaTheme="minorEastAsia"/>
      <w:b/>
      <w:sz w:val="21"/>
    </w:rPr>
  </w:style>
  <w:style w:type="character" w:customStyle="1" w:styleId="169">
    <w:name w:val="无编号正文 Char Char"/>
    <w:qFormat/>
    <w:uiPriority w:val="0"/>
    <w:rPr>
      <w:rFonts w:ascii="宋体" w:hAnsi="宋体" w:eastAsia="宋体"/>
      <w:sz w:val="24"/>
      <w:lang w:val="en-US" w:eastAsia="zh-CN" w:bidi="ar-SA"/>
    </w:rPr>
  </w:style>
  <w:style w:type="paragraph" w:customStyle="1" w:styleId="170">
    <w:name w:val="文档标题"/>
    <w:basedOn w:val="1"/>
    <w:qFormat/>
    <w:uiPriority w:val="0"/>
    <w:pPr>
      <w:tabs>
        <w:tab w:val="left" w:pos="0"/>
      </w:tabs>
      <w:autoSpaceDE w:val="0"/>
      <w:autoSpaceDN w:val="0"/>
      <w:adjustRightInd w:val="0"/>
      <w:spacing w:before="300" w:after="300" w:line="360" w:lineRule="auto"/>
      <w:jc w:val="center"/>
    </w:pPr>
    <w:rPr>
      <w:rFonts w:ascii="Arial" w:hAnsi="Arial" w:eastAsia="黑体" w:cs="Times New Roman"/>
      <w:snapToGrid w:val="0"/>
      <w:kern w:val="0"/>
      <w:sz w:val="36"/>
      <w:szCs w:val="36"/>
    </w:rPr>
  </w:style>
  <w:style w:type="paragraph" w:customStyle="1" w:styleId="171">
    <w:name w:val="font8"/>
    <w:basedOn w:val="1"/>
    <w:qFormat/>
    <w:uiPriority w:val="0"/>
    <w:pPr>
      <w:widowControl/>
      <w:spacing w:before="100" w:beforeAutospacing="1" w:after="100" w:afterAutospacing="1"/>
      <w:jc w:val="left"/>
    </w:pPr>
    <w:rPr>
      <w:rFonts w:ascii="Times New Roman" w:hAnsi="Times New Roman" w:cs="Times New Roman"/>
      <w:b/>
      <w:bCs/>
      <w:color w:val="000000"/>
      <w:kern w:val="0"/>
      <w:sz w:val="20"/>
      <w:szCs w:val="20"/>
    </w:rPr>
  </w:style>
  <w:style w:type="paragraph" w:customStyle="1" w:styleId="172">
    <w:name w:val="CM5"/>
    <w:basedOn w:val="173"/>
    <w:next w:val="173"/>
    <w:qFormat/>
    <w:uiPriority w:val="0"/>
  </w:style>
  <w:style w:type="paragraph" w:customStyle="1" w:styleId="173">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174">
    <w:name w:val="CM18"/>
    <w:basedOn w:val="173"/>
    <w:next w:val="173"/>
    <w:qFormat/>
    <w:uiPriority w:val="0"/>
  </w:style>
  <w:style w:type="paragraph" w:customStyle="1" w:styleId="175">
    <w:name w:val="1"/>
    <w:basedOn w:val="1"/>
    <w:next w:val="1"/>
    <w:qFormat/>
    <w:uiPriority w:val="0"/>
    <w:rPr>
      <w:rFonts w:ascii="Times New Roman" w:hAnsi="Times New Roman" w:cs="Times New Roman"/>
    </w:rPr>
  </w:style>
  <w:style w:type="paragraph" w:customStyle="1" w:styleId="176">
    <w:name w:val="金安桥正文"/>
    <w:basedOn w:val="21"/>
    <w:qFormat/>
    <w:uiPriority w:val="0"/>
    <w:pPr>
      <w:adjustRightInd w:val="0"/>
      <w:spacing w:after="0" w:line="300" w:lineRule="auto"/>
      <w:ind w:left="0" w:leftChars="0" w:firstLine="200" w:firstLineChars="200"/>
      <w:jc w:val="left"/>
    </w:pPr>
    <w:rPr>
      <w:kern w:val="0"/>
      <w:sz w:val="24"/>
      <w:szCs w:val="20"/>
    </w:rPr>
  </w:style>
  <w:style w:type="paragraph" w:customStyle="1" w:styleId="177">
    <w:name w:val="CM8"/>
    <w:basedOn w:val="173"/>
    <w:next w:val="173"/>
    <w:qFormat/>
    <w:uiPriority w:val="0"/>
  </w:style>
  <w:style w:type="paragraph" w:customStyle="1" w:styleId="178">
    <w:name w:val="Char Char Char1 Char"/>
    <w:basedOn w:val="16"/>
    <w:qFormat/>
    <w:uiPriority w:val="0"/>
    <w:pPr>
      <w:tabs>
        <w:tab w:val="left" w:pos="425"/>
      </w:tabs>
      <w:spacing w:line="360" w:lineRule="auto"/>
      <w:ind w:left="425" w:hanging="425"/>
    </w:pPr>
    <w:rPr>
      <w:rFonts w:ascii="Tahoma" w:hAnsi="Tahoma"/>
      <w:kern w:val="0"/>
      <w:sz w:val="32"/>
    </w:rPr>
  </w:style>
  <w:style w:type="paragraph" w:customStyle="1" w:styleId="179">
    <w:name w:val="样式 标题 1 + (符号) 黑体 二号"/>
    <w:basedOn w:val="1"/>
    <w:qFormat/>
    <w:uiPriority w:val="0"/>
    <w:pPr>
      <w:tabs>
        <w:tab w:val="left" w:pos="630"/>
      </w:tabs>
      <w:ind w:left="630" w:hanging="420"/>
    </w:pPr>
    <w:rPr>
      <w:rFonts w:ascii="Times New Roman" w:hAnsi="Times New Roman" w:cs="Times New Roman"/>
    </w:rPr>
  </w:style>
  <w:style w:type="paragraph" w:customStyle="1" w:styleId="180">
    <w:name w:val="列出段落1"/>
    <w:basedOn w:val="1"/>
    <w:qFormat/>
    <w:uiPriority w:val="0"/>
    <w:pPr>
      <w:ind w:firstLine="420" w:firstLineChars="200"/>
    </w:pPr>
    <w:rPr>
      <w:rFonts w:ascii="Times New Roman" w:hAnsi="Times New Roman" w:cs="Times New Roman"/>
    </w:rPr>
  </w:style>
  <w:style w:type="paragraph" w:customStyle="1" w:styleId="181">
    <w:name w:val="正文（首行不缩进）"/>
    <w:basedOn w:val="1"/>
    <w:qFormat/>
    <w:uiPriority w:val="0"/>
    <w:pPr>
      <w:autoSpaceDE w:val="0"/>
      <w:autoSpaceDN w:val="0"/>
      <w:adjustRightInd w:val="0"/>
      <w:spacing w:line="360" w:lineRule="auto"/>
      <w:jc w:val="left"/>
    </w:pPr>
    <w:rPr>
      <w:rFonts w:ascii="Times New Roman" w:hAnsi="Times New Roman" w:cs="Times New Roman"/>
      <w:snapToGrid w:val="0"/>
      <w:kern w:val="0"/>
      <w:szCs w:val="21"/>
    </w:rPr>
  </w:style>
  <w:style w:type="paragraph" w:customStyle="1" w:styleId="182">
    <w:name w:val="标书正文"/>
    <w:basedOn w:val="1"/>
    <w:qFormat/>
    <w:uiPriority w:val="0"/>
    <w:pPr>
      <w:spacing w:line="360" w:lineRule="auto"/>
      <w:ind w:firstLine="480" w:firstLineChars="200"/>
    </w:pPr>
    <w:rPr>
      <w:rFonts w:cs="Times New Roman"/>
      <w:sz w:val="24"/>
    </w:rPr>
  </w:style>
  <w:style w:type="paragraph" w:customStyle="1" w:styleId="183">
    <w:name w:val="段落1"/>
    <w:basedOn w:val="1"/>
    <w:qFormat/>
    <w:uiPriority w:val="0"/>
    <w:pPr>
      <w:spacing w:line="500" w:lineRule="exact"/>
      <w:ind w:firstLine="630"/>
    </w:pPr>
    <w:rPr>
      <w:rFonts w:ascii="Times New Roman" w:hAnsi="Times New Roman" w:cs="Times New Roman"/>
      <w:sz w:val="28"/>
      <w:szCs w:val="20"/>
    </w:rPr>
  </w:style>
  <w:style w:type="paragraph" w:customStyle="1" w:styleId="184">
    <w:name w:val="XW正文"/>
    <w:basedOn w:val="21"/>
    <w:qFormat/>
    <w:uiPriority w:val="0"/>
    <w:pPr>
      <w:adjustRightInd w:val="0"/>
      <w:snapToGrid w:val="0"/>
      <w:spacing w:after="0" w:line="300" w:lineRule="auto"/>
      <w:ind w:left="0" w:leftChars="0" w:firstLine="520" w:firstLineChars="200"/>
      <w:jc w:val="left"/>
    </w:pPr>
    <w:rPr>
      <w:kern w:val="0"/>
    </w:rPr>
  </w:style>
  <w:style w:type="paragraph" w:customStyle="1" w:styleId="185">
    <w:name w:val="CM31"/>
    <w:basedOn w:val="173"/>
    <w:next w:val="173"/>
    <w:qFormat/>
    <w:uiPriority w:val="0"/>
  </w:style>
  <w:style w:type="character" w:customStyle="1" w:styleId="186">
    <w:name w:val="正文文本 2 Char2"/>
    <w:basedOn w:val="53"/>
    <w:qFormat/>
    <w:uiPriority w:val="0"/>
    <w:rPr>
      <w:rFonts w:ascii="宋体" w:hAnsi="宋体" w:cs="宋体"/>
      <w:kern w:val="2"/>
      <w:sz w:val="21"/>
      <w:szCs w:val="24"/>
    </w:rPr>
  </w:style>
  <w:style w:type="paragraph" w:customStyle="1" w:styleId="187">
    <w:name w:val="xl74"/>
    <w:basedOn w:val="1"/>
    <w:qFormat/>
    <w:uiPriority w:val="0"/>
    <w:pPr>
      <w:widowControl/>
      <w:spacing w:before="100" w:beforeAutospacing="1" w:after="100" w:afterAutospacing="1"/>
      <w:jc w:val="center"/>
    </w:pPr>
    <w:rPr>
      <w:kern w:val="0"/>
      <w:sz w:val="20"/>
      <w:szCs w:val="20"/>
    </w:rPr>
  </w:style>
  <w:style w:type="paragraph" w:customStyle="1" w:styleId="188">
    <w:name w:val="xl31"/>
    <w:basedOn w:val="1"/>
    <w:qFormat/>
    <w:uiPriority w:val="0"/>
    <w:pPr>
      <w:widowControl/>
      <w:shd w:val="clear" w:color="FFFFFF" w:fill="FFFFFF"/>
      <w:spacing w:before="100" w:beforeAutospacing="1" w:after="100" w:afterAutospacing="1"/>
      <w:jc w:val="right"/>
      <w:textAlignment w:val="center"/>
    </w:pPr>
    <w:rPr>
      <w:rFonts w:ascii="Arial Unicode MS" w:hAnsi="Arial Unicode MS" w:eastAsia="Arial Unicode MS" w:cs="Arial Unicode MS"/>
      <w:color w:val="000000"/>
      <w:kern w:val="0"/>
      <w:sz w:val="24"/>
    </w:rPr>
  </w:style>
  <w:style w:type="paragraph" w:customStyle="1" w:styleId="189">
    <w:name w:val="[Basic Paragraph]"/>
    <w:basedOn w:val="1"/>
    <w:qFormat/>
    <w:uiPriority w:val="0"/>
    <w:pPr>
      <w:widowControl/>
      <w:autoSpaceDE w:val="0"/>
      <w:autoSpaceDN w:val="0"/>
      <w:adjustRightInd w:val="0"/>
      <w:spacing w:line="288" w:lineRule="auto"/>
      <w:jc w:val="left"/>
      <w:textAlignment w:val="center"/>
    </w:pPr>
    <w:rPr>
      <w:rFonts w:ascii="Times New Roman" w:hAnsi="Times New Roman" w:cs="Times New Roman"/>
      <w:color w:val="000000"/>
      <w:kern w:val="0"/>
      <w:sz w:val="24"/>
      <w:lang w:eastAsia="en-GB"/>
    </w:rPr>
  </w:style>
  <w:style w:type="paragraph" w:customStyle="1" w:styleId="190">
    <w:name w:val="说明正文"/>
    <w:basedOn w:val="1"/>
    <w:qFormat/>
    <w:uiPriority w:val="0"/>
    <w:pPr>
      <w:spacing w:line="520" w:lineRule="exact"/>
      <w:ind w:left="420"/>
    </w:pPr>
    <w:rPr>
      <w:rFonts w:ascii="Times New Roman" w:hAnsi="Times New Roman" w:cs="Times New Roman"/>
      <w:sz w:val="24"/>
    </w:rPr>
  </w:style>
  <w:style w:type="paragraph" w:customStyle="1" w:styleId="191">
    <w:name w:val="样式3"/>
    <w:basedOn w:val="179"/>
    <w:qFormat/>
    <w:uiPriority w:val="0"/>
    <w:pPr>
      <w:tabs>
        <w:tab w:val="left" w:pos="425"/>
        <w:tab w:val="clear" w:pos="630"/>
      </w:tabs>
      <w:ind w:left="425" w:right="23" w:rightChars="11" w:hanging="425"/>
    </w:pPr>
    <w:rPr>
      <w:rFonts w:hAnsi="宋体"/>
      <w:bCs/>
      <w:sz w:val="24"/>
    </w:rPr>
  </w:style>
  <w:style w:type="paragraph" w:customStyle="1" w:styleId="192">
    <w:name w:val="style0"/>
    <w:basedOn w:val="1"/>
    <w:qFormat/>
    <w:uiPriority w:val="0"/>
    <w:pPr>
      <w:widowControl/>
      <w:spacing w:before="100" w:beforeAutospacing="1" w:after="100" w:afterAutospacing="1"/>
      <w:ind w:left="181" w:leftChars="78" w:right="-106"/>
      <w:textAlignment w:val="bottom"/>
    </w:pPr>
    <w:rPr>
      <w:rFonts w:ascii="Times New Roman" w:hAnsi="Times New Roman" w:cs="Times New Roman"/>
      <w:bCs/>
      <w:kern w:val="0"/>
      <w:sz w:val="24"/>
    </w:rPr>
  </w:style>
  <w:style w:type="paragraph" w:customStyle="1" w:styleId="193">
    <w:name w:val="11Block"/>
    <w:basedOn w:val="1"/>
    <w:qFormat/>
    <w:uiPriority w:val="0"/>
    <w:pPr>
      <w:widowControl/>
      <w:overflowPunct w:val="0"/>
      <w:autoSpaceDE w:val="0"/>
      <w:autoSpaceDN w:val="0"/>
      <w:adjustRightInd w:val="0"/>
      <w:spacing w:line="300" w:lineRule="exact"/>
      <w:textAlignment w:val="baseline"/>
    </w:pPr>
    <w:rPr>
      <w:rFonts w:ascii="Arial" w:hAnsi="Arial" w:cs="Times New Roman"/>
      <w:kern w:val="0"/>
      <w:sz w:val="22"/>
      <w:szCs w:val="20"/>
      <w:lang w:val="de-DE" w:eastAsia="de-DE"/>
    </w:rPr>
  </w:style>
  <w:style w:type="paragraph" w:customStyle="1" w:styleId="194">
    <w:name w:val="CM24"/>
    <w:basedOn w:val="173"/>
    <w:next w:val="173"/>
    <w:qFormat/>
    <w:uiPriority w:val="0"/>
    <w:pPr>
      <w:spacing w:line="360" w:lineRule="atLeast"/>
    </w:pPr>
    <w:rPr>
      <w:rFonts w:ascii=".a....ì." w:hAnsi="Times New Roman" w:eastAsia=".a....ì." w:cs="Times New Roman"/>
      <w:color w:val="auto"/>
    </w:rPr>
  </w:style>
  <w:style w:type="paragraph" w:customStyle="1" w:styleId="195">
    <w:name w:val="说明书正文"/>
    <w:basedOn w:val="1"/>
    <w:qFormat/>
    <w:uiPriority w:val="0"/>
    <w:pPr>
      <w:spacing w:before="156" w:after="156" w:line="520" w:lineRule="exact"/>
      <w:ind w:firstLine="480" w:firstLineChars="200"/>
    </w:pPr>
    <w:rPr>
      <w:rFonts w:ascii="Times New Roman" w:hAnsi="Times New Roman"/>
      <w:sz w:val="24"/>
      <w:szCs w:val="20"/>
    </w:rPr>
  </w:style>
  <w:style w:type="paragraph" w:customStyle="1" w:styleId="196">
    <w:name w:val="CM35"/>
    <w:basedOn w:val="173"/>
    <w:next w:val="173"/>
    <w:qFormat/>
    <w:uiPriority w:val="0"/>
    <w:rPr>
      <w:rFonts w:ascii=".a....ì." w:hAnsi="Times New Roman" w:eastAsia=".a....ì." w:cs="Times New Roman"/>
      <w:color w:val="auto"/>
    </w:rPr>
  </w:style>
  <w:style w:type="paragraph" w:styleId="197">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198">
    <w:name w:val="表格题注"/>
    <w:next w:val="1"/>
    <w:qFormat/>
    <w:uiPriority w:val="0"/>
    <w:pPr>
      <w:keepLines/>
      <w:spacing w:beforeLines="100"/>
      <w:ind w:left="1089" w:hanging="369"/>
      <w:jc w:val="center"/>
    </w:pPr>
    <w:rPr>
      <w:rFonts w:ascii="Arial" w:hAnsi="Arial" w:eastAsia="宋体" w:cs="Times New Roman"/>
      <w:sz w:val="18"/>
      <w:szCs w:val="18"/>
      <w:lang w:val="en-US" w:eastAsia="zh-CN" w:bidi="ar-SA"/>
    </w:rPr>
  </w:style>
  <w:style w:type="paragraph" w:customStyle="1" w:styleId="199">
    <w:name w:val="样式 标题 3 + (中文) 黑体 小四 非加粗 段前: 7.8 磅 段后: 0 磅 行距: 固定值 20 磅"/>
    <w:basedOn w:val="4"/>
    <w:qFormat/>
    <w:uiPriority w:val="0"/>
    <w:pPr>
      <w:spacing w:before="0" w:after="0" w:line="400" w:lineRule="exact"/>
    </w:pPr>
    <w:rPr>
      <w:rFonts w:eastAsia="黑体"/>
      <w:b w:val="0"/>
      <w:bCs w:val="0"/>
      <w:sz w:val="24"/>
      <w:szCs w:val="20"/>
    </w:rPr>
  </w:style>
  <w:style w:type="paragraph" w:customStyle="1" w:styleId="200">
    <w:name w:val="1 Char Char Char Char"/>
    <w:basedOn w:val="1"/>
    <w:qFormat/>
    <w:uiPriority w:val="0"/>
    <w:rPr>
      <w:rFonts w:ascii="Tahoma" w:hAnsi="Tahoma" w:cs="Times New Roman"/>
      <w:sz w:val="24"/>
      <w:szCs w:val="20"/>
    </w:rPr>
  </w:style>
  <w:style w:type="paragraph" w:customStyle="1" w:styleId="201">
    <w:name w:val="正文2"/>
    <w:qFormat/>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character" w:customStyle="1" w:styleId="202">
    <w:name w:val="正文文本 Char3"/>
    <w:basedOn w:val="53"/>
    <w:qFormat/>
    <w:uiPriority w:val="0"/>
    <w:rPr>
      <w:rFonts w:ascii="宋体" w:hAnsi="宋体" w:cs="宋体"/>
      <w:kern w:val="2"/>
      <w:sz w:val="21"/>
      <w:szCs w:val="24"/>
    </w:rPr>
  </w:style>
  <w:style w:type="paragraph" w:customStyle="1" w:styleId="203">
    <w:name w:val="Char Char Char1"/>
    <w:basedOn w:val="16"/>
    <w:qFormat/>
    <w:uiPriority w:val="0"/>
    <w:rPr>
      <w:rFonts w:ascii="Tahoma" w:hAnsi="Tahoma"/>
      <w:sz w:val="24"/>
    </w:rPr>
  </w:style>
  <w:style w:type="paragraph" w:customStyle="1" w:styleId="204">
    <w:name w:val="font7"/>
    <w:basedOn w:val="1"/>
    <w:qFormat/>
    <w:uiPriority w:val="0"/>
    <w:pPr>
      <w:widowControl/>
      <w:spacing w:before="100" w:beforeAutospacing="1" w:after="100" w:afterAutospacing="1"/>
      <w:jc w:val="left"/>
    </w:pPr>
    <w:rPr>
      <w:kern w:val="0"/>
      <w:sz w:val="24"/>
    </w:rPr>
  </w:style>
  <w:style w:type="paragraph" w:customStyle="1" w:styleId="205">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kern w:val="0"/>
      <w:sz w:val="20"/>
      <w:szCs w:val="20"/>
    </w:rPr>
  </w:style>
  <w:style w:type="paragraph" w:customStyle="1" w:styleId="206">
    <w:name w:val="样式 标题 2 + (西文) 方正书宋简体 (中文) 方正黑体简体 非加粗 黑色 行距: 固定值 15 磅1"/>
    <w:basedOn w:val="3"/>
    <w:qFormat/>
    <w:uiPriority w:val="0"/>
    <w:pPr>
      <w:spacing w:before="0" w:after="0" w:line="300" w:lineRule="exact"/>
      <w:jc w:val="left"/>
    </w:pPr>
    <w:rPr>
      <w:rFonts w:ascii="方正书宋简体" w:hAnsi="宋体" w:eastAsia="方正小标宋简体" w:cs="宋体"/>
      <w:b w:val="0"/>
      <w:bCs w:val="0"/>
      <w:color w:val="000000"/>
      <w:sz w:val="21"/>
      <w:szCs w:val="20"/>
    </w:rPr>
  </w:style>
  <w:style w:type="paragraph" w:customStyle="1" w:styleId="207">
    <w:name w:val="样式2"/>
    <w:basedOn w:val="1"/>
    <w:qFormat/>
    <w:uiPriority w:val="0"/>
    <w:pPr>
      <w:tabs>
        <w:tab w:val="left" w:pos="992"/>
      </w:tabs>
      <w:spacing w:line="480" w:lineRule="auto"/>
      <w:ind w:left="992" w:right="23" w:rightChars="11" w:hanging="567"/>
    </w:pPr>
    <w:rPr>
      <w:rFonts w:ascii="Times New Roman" w:cs="Times New Roman"/>
      <w:bCs/>
      <w:sz w:val="24"/>
    </w:rPr>
  </w:style>
  <w:style w:type="paragraph" w:customStyle="1" w:styleId="208">
    <w:name w:val="2"/>
    <w:basedOn w:val="1"/>
    <w:next w:val="21"/>
    <w:qFormat/>
    <w:uiPriority w:val="0"/>
    <w:pPr>
      <w:ind w:left="432"/>
    </w:pPr>
    <w:rPr>
      <w:rFonts w:ascii="Times New Roman" w:hAnsi="Times New Roman" w:cs="Times New Roman"/>
      <w:szCs w:val="20"/>
    </w:rPr>
  </w:style>
  <w:style w:type="paragraph" w:customStyle="1" w:styleId="209">
    <w:name w:val="青岛正文"/>
    <w:basedOn w:val="1"/>
    <w:qFormat/>
    <w:uiPriority w:val="0"/>
    <w:pPr>
      <w:spacing w:line="360" w:lineRule="auto"/>
    </w:pPr>
    <w:rPr>
      <w:rFonts w:ascii="Times New Roman" w:hAnsi="Times New Roman" w:cs="Times New Roman"/>
      <w:sz w:val="28"/>
    </w:rPr>
  </w:style>
  <w:style w:type="paragraph" w:customStyle="1" w:styleId="210">
    <w:name w:val="xl40"/>
    <w:basedOn w:val="1"/>
    <w:qFormat/>
    <w:uiPriority w:val="0"/>
    <w:pPr>
      <w:widowControl/>
      <w:pBdr>
        <w:top w:val="single" w:color="000000" w:sz="4" w:space="0"/>
        <w:left w:val="single" w:color="000000" w:sz="4" w:space="0"/>
        <w:bottom w:val="single" w:color="000000" w:sz="8"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11">
    <w:name w:val="xl72"/>
    <w:basedOn w:val="1"/>
    <w:qFormat/>
    <w:uiPriority w:val="0"/>
    <w:pPr>
      <w:widowControl/>
      <w:spacing w:before="100" w:beforeAutospacing="1" w:after="100" w:afterAutospacing="1"/>
      <w:jc w:val="center"/>
    </w:pPr>
    <w:rPr>
      <w:kern w:val="0"/>
      <w:sz w:val="20"/>
      <w:szCs w:val="20"/>
    </w:rPr>
  </w:style>
  <w:style w:type="character" w:customStyle="1" w:styleId="212">
    <w:name w:val="正文文本缩进 Char3"/>
    <w:basedOn w:val="53"/>
    <w:qFormat/>
    <w:uiPriority w:val="0"/>
    <w:rPr>
      <w:rFonts w:ascii="宋体" w:hAnsi="宋体" w:cs="宋体"/>
      <w:kern w:val="2"/>
      <w:sz w:val="21"/>
      <w:szCs w:val="24"/>
    </w:rPr>
  </w:style>
  <w:style w:type="paragraph" w:customStyle="1" w:styleId="213">
    <w:name w:val="d1"/>
    <w:basedOn w:val="1"/>
    <w:qFormat/>
    <w:uiPriority w:val="0"/>
    <w:pPr>
      <w:adjustRightInd w:val="0"/>
      <w:snapToGrid w:val="0"/>
      <w:spacing w:afterLines="50"/>
      <w:ind w:firstLine="490" w:firstLineChars="204"/>
      <w:jc w:val="left"/>
      <w:textAlignment w:val="baseline"/>
    </w:pPr>
    <w:rPr>
      <w:rFonts w:cs="Times New Roman"/>
      <w:sz w:val="24"/>
    </w:rPr>
  </w:style>
  <w:style w:type="paragraph" w:customStyle="1" w:styleId="214">
    <w:name w:val="xl80"/>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pPr>
    <w:rPr>
      <w:b/>
      <w:bCs/>
      <w:kern w:val="0"/>
      <w:sz w:val="20"/>
      <w:szCs w:val="20"/>
    </w:rPr>
  </w:style>
  <w:style w:type="paragraph" w:customStyle="1" w:styleId="215">
    <w:name w:val="Char3"/>
    <w:basedOn w:val="16"/>
    <w:qFormat/>
    <w:uiPriority w:val="0"/>
    <w:pPr>
      <w:adjustRightInd w:val="0"/>
      <w:spacing w:line="436" w:lineRule="exact"/>
      <w:ind w:left="357"/>
      <w:jc w:val="left"/>
      <w:textAlignment w:val="baseline"/>
      <w:outlineLvl w:val="3"/>
    </w:pPr>
    <w:rPr>
      <w:rFonts w:ascii="宋体"/>
      <w:kern w:val="0"/>
      <w:sz w:val="24"/>
    </w:rPr>
  </w:style>
  <w:style w:type="paragraph" w:customStyle="1" w:styleId="216">
    <w:name w:val="Char Char3"/>
    <w:basedOn w:val="1"/>
    <w:qFormat/>
    <w:uiPriority w:val="0"/>
    <w:rPr>
      <w:rFonts w:ascii="仿宋_GB2312" w:hAnsi="Times New Roman" w:eastAsia="仿宋_GB2312" w:cs="Times New Roman"/>
      <w:b/>
      <w:sz w:val="32"/>
      <w:szCs w:val="32"/>
    </w:rPr>
  </w:style>
  <w:style w:type="paragraph" w:customStyle="1" w:styleId="217">
    <w:name w:val="Para---"/>
    <w:qFormat/>
    <w:uiPriority w:val="0"/>
    <w:pPr>
      <w:keepNext/>
      <w:tabs>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1728" w:hanging="576"/>
    </w:pPr>
    <w:rPr>
      <w:rFonts w:ascii="Arial" w:hAnsi="Arial" w:eastAsia="宋体" w:cs="Times New Roman"/>
      <w:lang w:val="en-US" w:eastAsia="en-US" w:bidi="ar-SA"/>
    </w:rPr>
  </w:style>
  <w:style w:type="paragraph" w:customStyle="1" w:styleId="218">
    <w:name w:val="样式 标题 2标题 21H2 CharH2 Char CharH2标题 2 Char + (西文) 宋体 小四 倾..."/>
    <w:basedOn w:val="1"/>
    <w:qFormat/>
    <w:uiPriority w:val="0"/>
    <w:pPr>
      <w:tabs>
        <w:tab w:val="left" w:pos="810"/>
      </w:tabs>
      <w:ind w:left="810" w:hanging="600"/>
    </w:pPr>
    <w:rPr>
      <w:rFonts w:ascii="Times New Roman" w:hAnsi="Times New Roman" w:cs="Times New Roman"/>
    </w:rPr>
  </w:style>
  <w:style w:type="paragraph" w:customStyle="1" w:styleId="219">
    <w:name w:val="CM33"/>
    <w:basedOn w:val="173"/>
    <w:next w:val="173"/>
    <w:qFormat/>
    <w:uiPriority w:val="0"/>
    <w:pPr>
      <w:spacing w:line="360" w:lineRule="atLeast"/>
    </w:pPr>
    <w:rPr>
      <w:rFonts w:ascii=".a....ì." w:hAnsi="Times New Roman" w:eastAsia=".a....ì." w:cs="Times New Roman"/>
      <w:color w:val="auto"/>
    </w:rPr>
  </w:style>
  <w:style w:type="paragraph" w:customStyle="1" w:styleId="220">
    <w:name w:val="6'"/>
    <w:basedOn w:val="1"/>
    <w:qFormat/>
    <w:uiPriority w:val="0"/>
    <w:pPr>
      <w:autoSpaceDE w:val="0"/>
      <w:autoSpaceDN w:val="0"/>
      <w:adjustRightInd w:val="0"/>
      <w:snapToGrid w:val="0"/>
      <w:spacing w:line="320" w:lineRule="exact"/>
      <w:jc w:val="center"/>
      <w:textAlignment w:val="baseline"/>
    </w:pPr>
    <w:rPr>
      <w:rFonts w:ascii="Times New Roman" w:hAnsi="Times New Roman" w:cs="Times New Roman"/>
      <w:spacing w:val="20"/>
      <w:kern w:val="28"/>
      <w:szCs w:val="20"/>
    </w:rPr>
  </w:style>
  <w:style w:type="paragraph" w:customStyle="1" w:styleId="221">
    <w:name w:val="列出段落11"/>
    <w:basedOn w:val="1"/>
    <w:qFormat/>
    <w:uiPriority w:val="0"/>
    <w:pPr>
      <w:spacing w:line="360" w:lineRule="auto"/>
      <w:ind w:firstLine="420" w:firstLineChars="200"/>
    </w:pPr>
    <w:rPr>
      <w:rFonts w:ascii="Times New Roman" w:hAnsi="Times New Roman" w:cs="Times New Roman"/>
      <w:szCs w:val="20"/>
    </w:rPr>
  </w:style>
  <w:style w:type="paragraph" w:customStyle="1" w:styleId="222">
    <w:name w:val="CM2"/>
    <w:basedOn w:val="173"/>
    <w:next w:val="173"/>
    <w:qFormat/>
    <w:uiPriority w:val="0"/>
    <w:pPr>
      <w:spacing w:line="1080" w:lineRule="atLeast"/>
    </w:pPr>
    <w:rPr>
      <w:rFonts w:ascii=".a....ì." w:hAnsi="Times New Roman" w:eastAsia=".a....ì." w:cs="Times New Roman"/>
      <w:color w:val="auto"/>
    </w:rPr>
  </w:style>
  <w:style w:type="paragraph" w:customStyle="1" w:styleId="223">
    <w:name w:val="Char1"/>
    <w:basedOn w:val="1"/>
    <w:qFormat/>
    <w:uiPriority w:val="0"/>
    <w:rPr>
      <w:rFonts w:ascii="Tahoma" w:hAnsi="Tahoma" w:cs="Times New Roman"/>
      <w:sz w:val="24"/>
      <w:szCs w:val="20"/>
    </w:rPr>
  </w:style>
  <w:style w:type="paragraph" w:customStyle="1" w:styleId="224">
    <w:name w:val="xl33"/>
    <w:basedOn w:val="1"/>
    <w:qFormat/>
    <w:uiPriority w:val="0"/>
    <w:pPr>
      <w:widowControl/>
      <w:pBdr>
        <w:top w:val="single" w:color="000000" w:sz="8"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25">
    <w:name w:val="注示文本"/>
    <w:basedOn w:val="1"/>
    <w:qFormat/>
    <w:uiPriority w:val="0"/>
    <w:pPr>
      <w:pBdr>
        <w:bottom w:val="single" w:color="000000" w:sz="4" w:space="1"/>
      </w:pBdr>
      <w:autoSpaceDE w:val="0"/>
      <w:autoSpaceDN w:val="0"/>
      <w:adjustRightInd w:val="0"/>
      <w:spacing w:line="360" w:lineRule="auto"/>
      <w:ind w:firstLine="360"/>
    </w:pPr>
    <w:rPr>
      <w:rFonts w:ascii="Arial" w:hAnsi="Arial" w:eastAsia="楷体_GB2312" w:cs="Times New Roman"/>
      <w:snapToGrid w:val="0"/>
      <w:kern w:val="0"/>
      <w:sz w:val="18"/>
      <w:szCs w:val="18"/>
    </w:rPr>
  </w:style>
  <w:style w:type="paragraph" w:customStyle="1" w:styleId="226">
    <w:name w:val="P5"/>
    <w:qFormat/>
    <w:uiPriority w:val="0"/>
    <w:pPr>
      <w:widowControl w:val="0"/>
      <w:adjustRightInd w:val="0"/>
      <w:spacing w:after="240" w:line="0" w:lineRule="atLeast"/>
      <w:ind w:left="2304"/>
      <w:jc w:val="both"/>
      <w:textAlignment w:val="baseline"/>
    </w:pPr>
    <w:rPr>
      <w:rFonts w:ascii="Times New Roman" w:hAnsi="Times New Roman" w:eastAsia="全真中明體" w:cs="Times New Roman"/>
      <w:spacing w:val="20"/>
      <w:sz w:val="24"/>
      <w:lang w:val="en-GB" w:eastAsia="zh-TW" w:bidi="ar-SA"/>
    </w:rPr>
  </w:style>
  <w:style w:type="paragraph" w:customStyle="1" w:styleId="227">
    <w:name w:val="Char21"/>
    <w:basedOn w:val="1"/>
    <w:qFormat/>
    <w:uiPriority w:val="0"/>
    <w:pPr>
      <w:adjustRightInd w:val="0"/>
      <w:spacing w:line="360" w:lineRule="atLeast"/>
      <w:jc w:val="left"/>
      <w:textAlignment w:val="baseline"/>
    </w:pPr>
    <w:rPr>
      <w:rFonts w:ascii="Tahoma" w:hAnsi="Tahoma" w:cs="Times New Roman"/>
      <w:kern w:val="0"/>
      <w:sz w:val="24"/>
      <w:szCs w:val="20"/>
    </w:rPr>
  </w:style>
  <w:style w:type="paragraph" w:customStyle="1" w:styleId="228">
    <w:name w:val="xl29"/>
    <w:basedOn w:val="1"/>
    <w:qFormat/>
    <w:uiPriority w:val="0"/>
    <w:pPr>
      <w:widowControl/>
      <w:shd w:val="clear" w:color="FFFFFF" w:fill="FFFFFF"/>
      <w:spacing w:before="100" w:beforeAutospacing="1" w:after="100" w:afterAutospacing="1"/>
      <w:jc w:val="left"/>
      <w:textAlignment w:val="center"/>
    </w:pPr>
    <w:rPr>
      <w:rFonts w:ascii="Arial Unicode MS" w:hAnsi="Arial Unicode MS" w:eastAsia="Arial Unicode MS" w:cs="Arial Unicode MS"/>
      <w:color w:val="000000"/>
      <w:kern w:val="0"/>
      <w:sz w:val="24"/>
    </w:rPr>
  </w:style>
  <w:style w:type="paragraph" w:customStyle="1" w:styleId="22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4"/>
    </w:rPr>
  </w:style>
  <w:style w:type="paragraph" w:customStyle="1" w:styleId="230">
    <w:name w:val="MTDisplayEquation"/>
    <w:basedOn w:val="1"/>
    <w:next w:val="1"/>
    <w:qFormat/>
    <w:uiPriority w:val="0"/>
    <w:pPr>
      <w:tabs>
        <w:tab w:val="center" w:pos="4160"/>
        <w:tab w:val="right" w:pos="8300"/>
      </w:tabs>
      <w:spacing w:line="500" w:lineRule="exact"/>
      <w:ind w:firstLine="480" w:firstLineChars="200"/>
    </w:pPr>
    <w:rPr>
      <w:rFonts w:ascii="新宋体" w:hAnsi="新宋体" w:eastAsia="新宋体" w:cs="Times New Roman"/>
      <w:sz w:val="24"/>
    </w:rPr>
  </w:style>
  <w:style w:type="paragraph" w:customStyle="1" w:styleId="231">
    <w:name w:val="Char Char Char Char Char Char Char Char Char2 Char Char Char Char Char Char Char Char Char Char Char Char Char Char Char Char"/>
    <w:basedOn w:val="1"/>
    <w:qFormat/>
    <w:uiPriority w:val="0"/>
    <w:pPr>
      <w:spacing w:line="360" w:lineRule="auto"/>
    </w:pPr>
    <w:rPr>
      <w:rFonts w:ascii="Times New Roman" w:hAnsi="Times New Roman" w:cs="Times New Roman"/>
      <w:szCs w:val="20"/>
    </w:rPr>
  </w:style>
  <w:style w:type="paragraph" w:customStyle="1" w:styleId="23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0"/>
      <w:szCs w:val="20"/>
    </w:rPr>
  </w:style>
  <w:style w:type="paragraph" w:customStyle="1" w:styleId="233">
    <w:name w:val="xl25"/>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34">
    <w:name w:val="CM7"/>
    <w:basedOn w:val="173"/>
    <w:next w:val="173"/>
    <w:qFormat/>
    <w:uiPriority w:val="0"/>
    <w:pPr>
      <w:spacing w:line="360" w:lineRule="atLeast"/>
    </w:pPr>
    <w:rPr>
      <w:rFonts w:ascii=".a....ì." w:hAnsi="Times New Roman" w:eastAsia=".a....ì." w:cs="Times New Roman"/>
      <w:color w:val="auto"/>
    </w:rPr>
  </w:style>
  <w:style w:type="paragraph" w:customStyle="1" w:styleId="235">
    <w:name w:val="CM3"/>
    <w:basedOn w:val="173"/>
    <w:next w:val="173"/>
    <w:qFormat/>
    <w:uiPriority w:val="0"/>
    <w:pPr>
      <w:spacing w:line="313" w:lineRule="atLeast"/>
    </w:pPr>
    <w:rPr>
      <w:rFonts w:hAnsi="Times New Roman" w:cs="Times New Roman"/>
      <w:color w:val="auto"/>
    </w:rPr>
  </w:style>
  <w:style w:type="paragraph" w:customStyle="1" w:styleId="236">
    <w:name w:val="xl27"/>
    <w:basedOn w:val="1"/>
    <w:qFormat/>
    <w:uiPriority w:val="0"/>
    <w:pPr>
      <w:widowControl/>
      <w:pBdr>
        <w:top w:val="single" w:color="000000" w:sz="4" w:space="0"/>
        <w:left w:val="single" w:color="000000" w:sz="4" w:space="0"/>
        <w:bottom w:val="single" w:color="000000" w:sz="8" w:space="0"/>
        <w:right w:val="single" w:color="000000" w:sz="4" w:space="0"/>
      </w:pBdr>
      <w:shd w:val="clear" w:color="FFFFFF" w:fill="FFFFFF"/>
      <w:spacing w:before="100" w:beforeAutospacing="1" w:after="100" w:afterAutospacing="1"/>
      <w:jc w:val="right"/>
      <w:textAlignment w:val="center"/>
    </w:pPr>
    <w:rPr>
      <w:rFonts w:ascii="Arial Unicode MS" w:hAnsi="Arial Unicode MS" w:eastAsia="Arial Unicode MS" w:cs="Arial Unicode MS"/>
      <w:color w:val="000000"/>
      <w:kern w:val="0"/>
      <w:sz w:val="24"/>
    </w:rPr>
  </w:style>
  <w:style w:type="paragraph" w:customStyle="1" w:styleId="237">
    <w:name w:val="bullet3"/>
    <w:basedOn w:val="1"/>
    <w:qFormat/>
    <w:uiPriority w:val="0"/>
    <w:pPr>
      <w:widowControl/>
      <w:tabs>
        <w:tab w:val="left" w:pos="852"/>
        <w:tab w:val="left" w:pos="3240"/>
      </w:tabs>
      <w:snapToGrid w:val="0"/>
      <w:ind w:left="3240" w:hanging="57"/>
    </w:pPr>
    <w:rPr>
      <w:rFonts w:ascii="Arial" w:hAnsi="Arial" w:eastAsia="Times New Roman" w:cs="Times New Roman"/>
      <w:kern w:val="0"/>
      <w:sz w:val="22"/>
    </w:rPr>
  </w:style>
  <w:style w:type="paragraph" w:customStyle="1" w:styleId="238">
    <w:name w:val="Char Char1 Char Char Char Char Char Char"/>
    <w:basedOn w:val="1"/>
    <w:qFormat/>
    <w:uiPriority w:val="0"/>
    <w:pPr>
      <w:widowControl/>
      <w:spacing w:after="160" w:line="240" w:lineRule="exact"/>
      <w:jc w:val="left"/>
    </w:pPr>
    <w:rPr>
      <w:rFonts w:ascii="Tahoma" w:hAnsi="Tahoma" w:cs="Times New Roman"/>
      <w:sz w:val="32"/>
    </w:rPr>
  </w:style>
  <w:style w:type="paragraph" w:customStyle="1" w:styleId="239">
    <w:name w:val="LV-TEXT"/>
    <w:basedOn w:val="1"/>
    <w:qFormat/>
    <w:uiPriority w:val="0"/>
    <w:pPr>
      <w:widowControl/>
      <w:spacing w:after="240"/>
    </w:pPr>
    <w:rPr>
      <w:rFonts w:ascii="Univers" w:hAnsi="Univers" w:cs="Times New Roman"/>
      <w:kern w:val="0"/>
      <w:sz w:val="20"/>
      <w:szCs w:val="20"/>
      <w:lang w:val="de-DE" w:eastAsia="de-DE"/>
    </w:rPr>
  </w:style>
  <w:style w:type="paragraph" w:customStyle="1" w:styleId="240">
    <w:name w:val="news"/>
    <w:basedOn w:val="1"/>
    <w:qFormat/>
    <w:uiPriority w:val="0"/>
    <w:pPr>
      <w:widowControl/>
      <w:spacing w:before="100" w:beforeAutospacing="1" w:after="100" w:afterAutospacing="1"/>
      <w:jc w:val="left"/>
    </w:pPr>
    <w:rPr>
      <w:rFonts w:hint="eastAsia" w:cs="Times New Roman"/>
      <w:kern w:val="0"/>
      <w:sz w:val="20"/>
      <w:szCs w:val="20"/>
    </w:rPr>
  </w:style>
  <w:style w:type="paragraph" w:customStyle="1" w:styleId="241">
    <w:name w:val="表格文本"/>
    <w:qFormat/>
    <w:uiPriority w:val="0"/>
    <w:pPr>
      <w:tabs>
        <w:tab w:val="decimal" w:pos="0"/>
      </w:tabs>
    </w:pPr>
    <w:rPr>
      <w:rFonts w:ascii="Arial" w:hAnsi="Arial" w:eastAsia="宋体" w:cs="Times New Roman"/>
      <w:sz w:val="21"/>
      <w:szCs w:val="21"/>
      <w:lang w:val="en-US" w:eastAsia="zh-CN" w:bidi="ar-SA"/>
    </w:rPr>
  </w:style>
  <w:style w:type="paragraph" w:customStyle="1" w:styleId="242">
    <w:name w:val="CM1"/>
    <w:basedOn w:val="173"/>
    <w:next w:val="173"/>
    <w:qFormat/>
    <w:uiPriority w:val="0"/>
    <w:rPr>
      <w:rFonts w:ascii=".a....ì." w:hAnsi="Times New Roman" w:eastAsia=".a....ì." w:cs="Times New Roman"/>
      <w:color w:val="auto"/>
    </w:rPr>
  </w:style>
  <w:style w:type="paragraph" w:customStyle="1" w:styleId="243">
    <w:name w:val="编写建议"/>
    <w:basedOn w:val="1"/>
    <w:qFormat/>
    <w:uiPriority w:val="0"/>
    <w:pPr>
      <w:autoSpaceDE w:val="0"/>
      <w:autoSpaceDN w:val="0"/>
      <w:adjustRightInd w:val="0"/>
      <w:spacing w:line="360" w:lineRule="auto"/>
      <w:ind w:firstLine="420"/>
      <w:jc w:val="left"/>
    </w:pPr>
    <w:rPr>
      <w:rFonts w:ascii="Arial" w:hAnsi="Arial" w:cs="Arial"/>
      <w:i/>
      <w:snapToGrid w:val="0"/>
      <w:color w:val="0000FF"/>
      <w:kern w:val="0"/>
      <w:szCs w:val="21"/>
    </w:rPr>
  </w:style>
  <w:style w:type="paragraph" w:customStyle="1" w:styleId="244">
    <w:name w:val="GICEC正文"/>
    <w:basedOn w:val="1"/>
    <w:qFormat/>
    <w:uiPriority w:val="0"/>
    <w:pPr>
      <w:ind w:left="420" w:leftChars="100" w:right="100" w:rightChars="100" w:firstLine="540" w:firstLineChars="193"/>
    </w:pPr>
    <w:rPr>
      <w:rFonts w:cs="Times New Roman"/>
      <w:iCs/>
      <w:smallCaps/>
      <w:color w:val="000000"/>
      <w:sz w:val="24"/>
    </w:rPr>
  </w:style>
  <w:style w:type="paragraph" w:customStyle="1" w:styleId="245">
    <w:name w:val="CM6"/>
    <w:basedOn w:val="173"/>
    <w:next w:val="173"/>
    <w:qFormat/>
    <w:uiPriority w:val="0"/>
    <w:pPr>
      <w:spacing w:after="213" w:line="360" w:lineRule="auto"/>
    </w:pPr>
    <w:rPr>
      <w:rFonts w:hAnsi="Times New Roman" w:cs="Times New Roman"/>
      <w:color w:val="auto"/>
    </w:rPr>
  </w:style>
  <w:style w:type="paragraph" w:customStyle="1" w:styleId="246">
    <w:name w:val="Para-----"/>
    <w:qFormat/>
    <w:uiPriority w:val="0"/>
    <w:pPr>
      <w:tabs>
        <w:tab w:val="left" w:pos="1152"/>
        <w:tab w:val="left" w:pos="1728"/>
        <w:tab w:val="left" w:pos="2304"/>
        <w:tab w:val="left" w:pos="2880"/>
        <w:tab w:val="left" w:pos="3456"/>
        <w:tab w:val="left" w:pos="4032"/>
        <w:tab w:val="left" w:pos="4608"/>
        <w:tab w:val="left" w:pos="5184"/>
        <w:tab w:val="left" w:leader="underscore" w:pos="5760"/>
        <w:tab w:val="left" w:pos="6912"/>
        <w:tab w:val="left" w:pos="7488"/>
        <w:tab w:val="left" w:pos="8064"/>
        <w:tab w:val="left" w:pos="8640"/>
      </w:tabs>
      <w:spacing w:before="100" w:beforeAutospacing="1"/>
      <w:ind w:left="2880" w:hanging="576"/>
    </w:pPr>
    <w:rPr>
      <w:rFonts w:ascii="Arial" w:hAnsi="Arial" w:eastAsia="宋体" w:cs="Times New Roman"/>
      <w:lang w:val="en-US" w:eastAsia="en-US" w:bidi="ar-SA"/>
    </w:rPr>
  </w:style>
  <w:style w:type="paragraph" w:customStyle="1" w:styleId="247">
    <w:name w:val="Char Char Char Char Char Char Char Char Char Char"/>
    <w:basedOn w:val="1"/>
    <w:qFormat/>
    <w:uiPriority w:val="0"/>
    <w:pPr>
      <w:adjustRightInd w:val="0"/>
      <w:snapToGrid w:val="0"/>
      <w:spacing w:afterLines="50"/>
    </w:pPr>
    <w:rPr>
      <w:rFonts w:ascii="Times New Roman" w:hAnsi="Times New Roman" w:cs="Times New Roman"/>
      <w:kern w:val="0"/>
      <w:sz w:val="24"/>
      <w:szCs w:val="20"/>
    </w:rPr>
  </w:style>
  <w:style w:type="paragraph" w:customStyle="1" w:styleId="248">
    <w:name w:val="目录文字"/>
    <w:basedOn w:val="1"/>
    <w:qFormat/>
    <w:uiPriority w:val="0"/>
    <w:pPr>
      <w:widowControl/>
      <w:spacing w:line="480" w:lineRule="auto"/>
      <w:jc w:val="left"/>
    </w:pPr>
    <w:rPr>
      <w:rFonts w:cs="Times New Roman"/>
      <w:kern w:val="0"/>
      <w:sz w:val="24"/>
      <w:szCs w:val="20"/>
    </w:rPr>
  </w:style>
  <w:style w:type="paragraph" w:customStyle="1" w:styleId="249">
    <w:name w:val="注示头"/>
    <w:basedOn w:val="1"/>
    <w:qFormat/>
    <w:uiPriority w:val="0"/>
    <w:pPr>
      <w:pBdr>
        <w:top w:val="single" w:color="000000" w:sz="4" w:space="1"/>
      </w:pBdr>
      <w:autoSpaceDE w:val="0"/>
      <w:autoSpaceDN w:val="0"/>
      <w:adjustRightInd w:val="0"/>
      <w:spacing w:line="360" w:lineRule="auto"/>
    </w:pPr>
    <w:rPr>
      <w:rFonts w:ascii="Arial" w:hAnsi="Arial" w:eastAsia="黑体" w:cs="Times New Roman"/>
      <w:snapToGrid w:val="0"/>
      <w:kern w:val="0"/>
      <w:sz w:val="18"/>
      <w:szCs w:val="21"/>
    </w:rPr>
  </w:style>
  <w:style w:type="paragraph" w:customStyle="1" w:styleId="250">
    <w:name w:val="CM43"/>
    <w:basedOn w:val="173"/>
    <w:next w:val="173"/>
    <w:qFormat/>
    <w:uiPriority w:val="0"/>
    <w:pPr>
      <w:spacing w:after="450"/>
    </w:pPr>
    <w:rPr>
      <w:rFonts w:ascii=".a....ì." w:hAnsi="Times New Roman" w:eastAsia=".a....ì." w:cs="Times New Roman"/>
      <w:color w:val="auto"/>
    </w:rPr>
  </w:style>
  <w:style w:type="paragraph" w:customStyle="1" w:styleId="251">
    <w:name w:val="Char Char Char"/>
    <w:basedOn w:val="16"/>
    <w:qFormat/>
    <w:uiPriority w:val="0"/>
    <w:rPr>
      <w:rFonts w:ascii="Tahoma" w:hAnsi="Tahoma"/>
      <w:sz w:val="24"/>
    </w:rPr>
  </w:style>
  <w:style w:type="paragraph" w:customStyle="1" w:styleId="252">
    <w:name w:val="F00"/>
    <w:basedOn w:val="1"/>
    <w:qFormat/>
    <w:uiPriority w:val="0"/>
    <w:pPr>
      <w:spacing w:beforeLines="50" w:line="0" w:lineRule="atLeast"/>
      <w:ind w:firstLine="200" w:firstLineChars="200"/>
    </w:pPr>
    <w:rPr>
      <w:rFonts w:ascii="Times New Roman" w:hAnsi="Times New Roman" w:eastAsia="仿宋_GB2312" w:cs="Times New Roman"/>
      <w:kern w:val="24"/>
      <w:sz w:val="28"/>
      <w:szCs w:val="28"/>
    </w:rPr>
  </w:style>
  <w:style w:type="paragraph" w:customStyle="1" w:styleId="253">
    <w:name w:val="CM14"/>
    <w:basedOn w:val="173"/>
    <w:next w:val="173"/>
    <w:qFormat/>
    <w:uiPriority w:val="0"/>
    <w:pPr>
      <w:spacing w:line="360" w:lineRule="atLeast"/>
    </w:pPr>
    <w:rPr>
      <w:rFonts w:ascii=".a....ì." w:hAnsi="Times New Roman" w:eastAsia=".a....ì." w:cs="Times New Roman"/>
      <w:color w:val="auto"/>
    </w:rPr>
  </w:style>
  <w:style w:type="paragraph" w:customStyle="1" w:styleId="254">
    <w:name w:val="样式1"/>
    <w:basedOn w:val="1"/>
    <w:qFormat/>
    <w:uiPriority w:val="0"/>
    <w:pPr>
      <w:adjustRightInd w:val="0"/>
      <w:textAlignment w:val="baseline"/>
    </w:pPr>
    <w:rPr>
      <w:rFonts w:cs="Times New Roman"/>
      <w:kern w:val="0"/>
      <w:szCs w:val="21"/>
    </w:rPr>
  </w:style>
  <w:style w:type="paragraph" w:customStyle="1" w:styleId="255">
    <w:name w:val="xl52"/>
    <w:basedOn w:val="1"/>
    <w:qFormat/>
    <w:uiPriority w:val="0"/>
    <w:pPr>
      <w:widowControl/>
      <w:pBdr>
        <w:right w:val="single" w:color="auto" w:sz="4" w:space="0"/>
      </w:pBdr>
      <w:spacing w:before="100" w:beforeAutospacing="1" w:after="100" w:afterAutospacing="1"/>
      <w:jc w:val="center"/>
    </w:pPr>
    <w:rPr>
      <w:rFonts w:cs="Times New Roman"/>
      <w:b/>
      <w:bCs/>
      <w:kern w:val="0"/>
      <w:sz w:val="24"/>
    </w:rPr>
  </w:style>
  <w:style w:type="paragraph" w:customStyle="1" w:styleId="256">
    <w:name w:val="CM22"/>
    <w:basedOn w:val="173"/>
    <w:next w:val="173"/>
    <w:qFormat/>
    <w:uiPriority w:val="0"/>
    <w:pPr>
      <w:spacing w:line="360" w:lineRule="atLeast"/>
    </w:pPr>
    <w:rPr>
      <w:rFonts w:ascii=".a....ì." w:hAnsi="Times New Roman" w:eastAsia=".a....ì." w:cs="Times New Roman"/>
      <w:color w:val="auto"/>
    </w:rPr>
  </w:style>
  <w:style w:type="paragraph" w:customStyle="1" w:styleId="257">
    <w:name w:val="xl81"/>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pPr>
    <w:rPr>
      <w:b/>
      <w:bCs/>
      <w:kern w:val="0"/>
      <w:sz w:val="20"/>
      <w:szCs w:val="20"/>
    </w:rPr>
  </w:style>
  <w:style w:type="paragraph" w:customStyle="1" w:styleId="258">
    <w:name w:val="xl39"/>
    <w:basedOn w:val="1"/>
    <w:qFormat/>
    <w:uiPriority w:val="0"/>
    <w:pPr>
      <w:widowControl/>
      <w:pBdr>
        <w:top w:val="single" w:color="000000" w:sz="4" w:space="0"/>
        <w:left w:val="single" w:color="000000" w:sz="8" w:space="0"/>
        <w:bottom w:val="single" w:color="000000" w:sz="8"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59">
    <w:name w:val="CM40"/>
    <w:basedOn w:val="173"/>
    <w:next w:val="173"/>
    <w:qFormat/>
    <w:uiPriority w:val="0"/>
    <w:pPr>
      <w:spacing w:after="115"/>
    </w:pPr>
    <w:rPr>
      <w:rFonts w:ascii=".a....ì." w:hAnsi="Times New Roman" w:eastAsia=".a....ì." w:cs="Times New Roman"/>
      <w:color w:val="auto"/>
    </w:rPr>
  </w:style>
  <w:style w:type="paragraph" w:customStyle="1" w:styleId="260">
    <w:name w:val="表格"/>
    <w:basedOn w:val="1"/>
    <w:qFormat/>
    <w:uiPriority w:val="0"/>
    <w:pPr>
      <w:jc w:val="center"/>
      <w:textAlignment w:val="center"/>
    </w:pPr>
    <w:rPr>
      <w:rFonts w:ascii="华文细黑" w:hAnsi="华文细黑" w:cs="Times New Roman"/>
      <w:kern w:val="0"/>
      <w:szCs w:val="20"/>
    </w:rPr>
  </w:style>
  <w:style w:type="paragraph" w:customStyle="1" w:styleId="261">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0"/>
      <w:szCs w:val="20"/>
    </w:rPr>
  </w:style>
  <w:style w:type="paragraph" w:customStyle="1" w:styleId="262">
    <w:name w:val="Char Char Char Char11"/>
    <w:basedOn w:val="1"/>
    <w:qFormat/>
    <w:uiPriority w:val="0"/>
    <w:pPr>
      <w:widowControl/>
      <w:spacing w:after="160" w:line="240" w:lineRule="exact"/>
      <w:jc w:val="left"/>
    </w:pPr>
    <w:rPr>
      <w:rFonts w:ascii="Verdana" w:hAnsi="Verdana" w:cs="Times New Roman"/>
      <w:kern w:val="0"/>
      <w:szCs w:val="20"/>
    </w:rPr>
  </w:style>
  <w:style w:type="paragraph" w:customStyle="1" w:styleId="263">
    <w:name w:val="font5"/>
    <w:basedOn w:val="1"/>
    <w:qFormat/>
    <w:uiPriority w:val="0"/>
    <w:pPr>
      <w:widowControl/>
      <w:spacing w:before="100" w:beforeAutospacing="1" w:after="100" w:afterAutospacing="1"/>
      <w:jc w:val="left"/>
    </w:pPr>
    <w:rPr>
      <w:rFonts w:hint="eastAsia" w:cs="Arial Unicode MS"/>
      <w:kern w:val="0"/>
      <w:sz w:val="18"/>
      <w:szCs w:val="18"/>
    </w:rPr>
  </w:style>
  <w:style w:type="paragraph" w:customStyle="1" w:styleId="264">
    <w:name w:val="样式 样式 文本块 + 宋体 五号 左侧:  0 厘米 右侧:  0 厘米 + 首行缩进:  2 字符"/>
    <w:basedOn w:val="1"/>
    <w:next w:val="1"/>
    <w:qFormat/>
    <w:uiPriority w:val="0"/>
    <w:pPr>
      <w:adjustRightInd w:val="0"/>
      <w:spacing w:line="360" w:lineRule="auto"/>
      <w:ind w:firstLine="480" w:firstLineChars="200"/>
      <w:textAlignment w:val="baseline"/>
    </w:pPr>
    <w:rPr>
      <w:color w:val="000000"/>
      <w:kern w:val="32"/>
      <w:sz w:val="24"/>
      <w:szCs w:val="20"/>
    </w:rPr>
  </w:style>
  <w:style w:type="paragraph" w:customStyle="1" w:styleId="265">
    <w:name w:val="font0"/>
    <w:basedOn w:val="1"/>
    <w:qFormat/>
    <w:uiPriority w:val="0"/>
    <w:pPr>
      <w:widowControl/>
      <w:spacing w:before="100" w:beforeAutospacing="1" w:after="100" w:afterAutospacing="1"/>
      <w:jc w:val="left"/>
    </w:pPr>
    <w:rPr>
      <w:kern w:val="0"/>
      <w:sz w:val="24"/>
    </w:rPr>
  </w:style>
  <w:style w:type="paragraph" w:customStyle="1" w:styleId="266">
    <w:name w:val="标题 21"/>
    <w:basedOn w:val="1"/>
    <w:next w:val="12"/>
    <w:qFormat/>
    <w:uiPriority w:val="0"/>
    <w:pPr>
      <w:spacing w:line="360" w:lineRule="auto"/>
      <w:jc w:val="left"/>
      <w:outlineLvl w:val="1"/>
    </w:pPr>
    <w:rPr>
      <w:rFonts w:cs="Times New Roman"/>
      <w:kern w:val="0"/>
      <w:sz w:val="24"/>
      <w:szCs w:val="20"/>
    </w:rPr>
  </w:style>
  <w:style w:type="paragraph" w:customStyle="1" w:styleId="267">
    <w:name w:val="CM30"/>
    <w:basedOn w:val="173"/>
    <w:next w:val="173"/>
    <w:qFormat/>
    <w:uiPriority w:val="0"/>
    <w:pPr>
      <w:spacing w:line="360" w:lineRule="atLeast"/>
    </w:pPr>
    <w:rPr>
      <w:rFonts w:ascii=".a....ì." w:hAnsi="Times New Roman" w:eastAsia=".a....ì." w:cs="Times New Roman"/>
      <w:color w:val="auto"/>
    </w:rPr>
  </w:style>
  <w:style w:type="paragraph" w:customStyle="1" w:styleId="268">
    <w:name w:val="说明正文缩进"/>
    <w:basedOn w:val="1"/>
    <w:qFormat/>
    <w:uiPriority w:val="0"/>
    <w:pPr>
      <w:spacing w:line="520" w:lineRule="exact"/>
      <w:ind w:left="420" w:leftChars="200" w:firstLine="480" w:firstLineChars="200"/>
    </w:pPr>
    <w:rPr>
      <w:kern w:val="0"/>
      <w:sz w:val="24"/>
      <w:szCs w:val="20"/>
    </w:rPr>
  </w:style>
  <w:style w:type="paragraph" w:customStyle="1" w:styleId="269">
    <w:name w:val="p0"/>
    <w:basedOn w:val="1"/>
    <w:qFormat/>
    <w:uiPriority w:val="0"/>
    <w:pPr>
      <w:widowControl/>
    </w:pPr>
    <w:rPr>
      <w:rFonts w:ascii="Times New Roman" w:hAnsi="Times New Roman" w:cs="Times New Roman"/>
      <w:kern w:val="0"/>
      <w:szCs w:val="21"/>
    </w:rPr>
  </w:style>
  <w:style w:type="paragraph" w:customStyle="1" w:styleId="270">
    <w:name w:val="Char Char Char Char"/>
    <w:basedOn w:val="1"/>
    <w:qFormat/>
    <w:uiPriority w:val="0"/>
    <w:pPr>
      <w:widowControl/>
      <w:spacing w:after="160" w:line="240" w:lineRule="exact"/>
      <w:jc w:val="left"/>
    </w:pPr>
    <w:rPr>
      <w:rFonts w:ascii="Times New Roman" w:hAnsi="Times New Roman" w:cs="Times New Roman"/>
      <w:szCs w:val="20"/>
    </w:rPr>
  </w:style>
  <w:style w:type="paragraph" w:customStyle="1" w:styleId="271">
    <w:name w:val="reader-word-layer"/>
    <w:basedOn w:val="1"/>
    <w:qFormat/>
    <w:uiPriority w:val="0"/>
    <w:pPr>
      <w:widowControl/>
      <w:spacing w:before="100" w:beforeAutospacing="1" w:after="100" w:afterAutospacing="1"/>
      <w:jc w:val="left"/>
    </w:pPr>
    <w:rPr>
      <w:kern w:val="0"/>
      <w:sz w:val="24"/>
    </w:rPr>
  </w:style>
  <w:style w:type="paragraph" w:customStyle="1" w:styleId="272">
    <w:name w:val="CM25"/>
    <w:basedOn w:val="173"/>
    <w:next w:val="173"/>
    <w:qFormat/>
    <w:uiPriority w:val="0"/>
    <w:pPr>
      <w:spacing w:line="360" w:lineRule="atLeast"/>
    </w:pPr>
    <w:rPr>
      <w:rFonts w:ascii=".a....ì." w:hAnsi="Times New Roman" w:eastAsia=".a....ì." w:cs="Times New Roman"/>
      <w:color w:val="auto"/>
    </w:rPr>
  </w:style>
  <w:style w:type="paragraph" w:customStyle="1" w:styleId="273">
    <w:name w:val="xl23"/>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right"/>
      <w:textAlignment w:val="center"/>
    </w:pPr>
    <w:rPr>
      <w:rFonts w:ascii="Arial Unicode MS" w:hAnsi="Arial Unicode MS" w:eastAsia="Arial Unicode MS" w:cs="Arial Unicode MS"/>
      <w:color w:val="000000"/>
      <w:kern w:val="0"/>
      <w:sz w:val="24"/>
    </w:rPr>
  </w:style>
  <w:style w:type="paragraph" w:customStyle="1" w:styleId="274">
    <w:name w:val="Char Char Char Char Char Char Char1"/>
    <w:basedOn w:val="1"/>
    <w:qFormat/>
    <w:uiPriority w:val="0"/>
    <w:pPr>
      <w:adjustRightInd w:val="0"/>
      <w:spacing w:line="360" w:lineRule="atLeast"/>
      <w:jc w:val="left"/>
      <w:textAlignment w:val="baseline"/>
    </w:pPr>
    <w:rPr>
      <w:rFonts w:ascii="仿宋_GB2312" w:hAnsi="Times New Roman" w:eastAsia="仿宋_GB2312" w:cs="Times New Roman"/>
      <w:b/>
      <w:kern w:val="0"/>
      <w:sz w:val="32"/>
      <w:szCs w:val="32"/>
    </w:rPr>
  </w:style>
  <w:style w:type="paragraph" w:customStyle="1" w:styleId="275">
    <w:name w:val="纯文本2"/>
    <w:basedOn w:val="1"/>
    <w:qFormat/>
    <w:uiPriority w:val="0"/>
    <w:pPr>
      <w:adjustRightInd w:val="0"/>
    </w:pPr>
    <w:rPr>
      <w:rFonts w:hAnsi="Courier New" w:cs="Times New Roman"/>
      <w:sz w:val="24"/>
      <w:szCs w:val="20"/>
    </w:rPr>
  </w:style>
  <w:style w:type="paragraph" w:customStyle="1" w:styleId="276">
    <w:name w:val="样式 宋体 小四 黑色 左 行距: 1.5 倍行距1"/>
    <w:basedOn w:val="1"/>
    <w:qFormat/>
    <w:uiPriority w:val="0"/>
    <w:pPr>
      <w:spacing w:line="360" w:lineRule="auto"/>
      <w:jc w:val="left"/>
    </w:pPr>
    <w:rPr>
      <w:color w:val="000000"/>
      <w:sz w:val="24"/>
      <w:szCs w:val="20"/>
    </w:rPr>
  </w:style>
  <w:style w:type="paragraph" w:customStyle="1" w:styleId="277">
    <w:name w:val="表格文字"/>
    <w:basedOn w:val="1"/>
    <w:qFormat/>
    <w:uiPriority w:val="0"/>
    <w:pPr>
      <w:adjustRightInd w:val="0"/>
      <w:spacing w:line="420" w:lineRule="atLeast"/>
      <w:jc w:val="left"/>
      <w:textAlignment w:val="baseline"/>
    </w:pPr>
    <w:rPr>
      <w:rFonts w:ascii="Times New Roman" w:hAnsi="Times New Roman" w:cs="Times New Roman"/>
      <w:kern w:val="0"/>
      <w:szCs w:val="20"/>
    </w:rPr>
  </w:style>
  <w:style w:type="paragraph" w:customStyle="1" w:styleId="278">
    <w:name w:val="Char Char Char1 Char Char Char Char Char Char Char Char Char Char Char Char Char"/>
    <w:basedOn w:val="16"/>
    <w:qFormat/>
    <w:uiPriority w:val="0"/>
    <w:rPr>
      <w:rFonts w:ascii="Tahoma" w:hAnsi="Tahoma"/>
      <w:sz w:val="24"/>
      <w:shd w:val="clear" w:color="auto" w:fill="000080"/>
    </w:rPr>
  </w:style>
  <w:style w:type="paragraph" w:customStyle="1" w:styleId="279">
    <w:name w:val="Para----"/>
    <w:qFormat/>
    <w:uiPriority w:val="0"/>
    <w:pPr>
      <w:keepNext/>
      <w:tabs>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ind w:left="2304" w:hanging="576"/>
    </w:pPr>
    <w:rPr>
      <w:rFonts w:ascii="Arial" w:hAnsi="Arial" w:eastAsia="宋体" w:cs="Times New Roman"/>
      <w:lang w:val="en-US" w:eastAsia="en-US" w:bidi="ar-SA"/>
    </w:rPr>
  </w:style>
  <w:style w:type="paragraph" w:customStyle="1" w:styleId="280">
    <w:name w:val="图样式"/>
    <w:basedOn w:val="1"/>
    <w:qFormat/>
    <w:uiPriority w:val="0"/>
    <w:pPr>
      <w:keepNext/>
      <w:widowControl/>
      <w:autoSpaceDE w:val="0"/>
      <w:autoSpaceDN w:val="0"/>
      <w:adjustRightInd w:val="0"/>
      <w:spacing w:before="80" w:after="80" w:line="360" w:lineRule="auto"/>
      <w:jc w:val="center"/>
    </w:pPr>
    <w:rPr>
      <w:rFonts w:ascii="Times New Roman" w:hAnsi="Times New Roman" w:cs="Times New Roman"/>
      <w:snapToGrid w:val="0"/>
      <w:kern w:val="0"/>
      <w:szCs w:val="21"/>
    </w:rPr>
  </w:style>
  <w:style w:type="paragraph" w:customStyle="1" w:styleId="281">
    <w:name w:val="表头"/>
    <w:basedOn w:val="1"/>
    <w:qFormat/>
    <w:uiPriority w:val="0"/>
    <w:pPr>
      <w:jc w:val="center"/>
    </w:pPr>
    <w:rPr>
      <w:rFonts w:ascii="Times New Roman" w:hAnsi="Times New Roman" w:eastAsia="黑体" w:cs="Times New Roman"/>
      <w:b/>
      <w:szCs w:val="20"/>
    </w:rPr>
  </w:style>
  <w:style w:type="paragraph" w:customStyle="1" w:styleId="282">
    <w:name w:val="样式 标题 2 + Times New Roman 四号 非加粗 段前: 5 磅 段后: 0 磅 行距: 固定值 20..."/>
    <w:basedOn w:val="3"/>
    <w:qFormat/>
    <w:uiPriority w:val="0"/>
    <w:pPr>
      <w:spacing w:before="100" w:after="0" w:line="400" w:lineRule="exact"/>
    </w:pPr>
    <w:rPr>
      <w:rFonts w:ascii="Times New Roman" w:hAnsi="Times New Roman" w:cs="宋体"/>
      <w:b w:val="0"/>
      <w:bCs w:val="0"/>
      <w:sz w:val="28"/>
      <w:szCs w:val="20"/>
    </w:rPr>
  </w:style>
  <w:style w:type="paragraph" w:customStyle="1" w:styleId="283">
    <w:name w:val="CM4"/>
    <w:basedOn w:val="173"/>
    <w:next w:val="173"/>
    <w:qFormat/>
    <w:uiPriority w:val="0"/>
    <w:pPr>
      <w:spacing w:line="360" w:lineRule="atLeast"/>
    </w:pPr>
    <w:rPr>
      <w:rFonts w:ascii=".a....ì." w:hAnsi="Times New Roman" w:eastAsia=".a....ì." w:cs="Times New Roman"/>
      <w:color w:val="auto"/>
    </w:rPr>
  </w:style>
  <w:style w:type="paragraph" w:customStyle="1" w:styleId="284">
    <w:name w:val="xl26"/>
    <w:basedOn w:val="1"/>
    <w:qFormat/>
    <w:uiPriority w:val="0"/>
    <w:pPr>
      <w:widowControl/>
      <w:pBdr>
        <w:top w:val="single" w:color="000000" w:sz="4" w:space="0"/>
        <w:left w:val="single" w:color="000000" w:sz="4" w:space="0"/>
        <w:bottom w:val="single" w:color="000000" w:sz="4" w:space="0"/>
        <w:right w:val="single" w:color="000000" w:sz="8"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85">
    <w:name w:val="样式5"/>
    <w:basedOn w:val="1"/>
    <w:next w:val="286"/>
    <w:qFormat/>
    <w:uiPriority w:val="0"/>
    <w:pPr>
      <w:tabs>
        <w:tab w:val="left" w:pos="850"/>
      </w:tabs>
      <w:spacing w:line="360" w:lineRule="auto"/>
      <w:ind w:left="850" w:right="23" w:rightChars="11" w:hanging="425"/>
    </w:pPr>
    <w:rPr>
      <w:rFonts w:ascii="Times New Roman" w:cs="Times New Roman"/>
      <w:bCs/>
      <w:sz w:val="24"/>
    </w:rPr>
  </w:style>
  <w:style w:type="paragraph" w:customStyle="1" w:styleId="286">
    <w:name w:val="样式4"/>
    <w:basedOn w:val="1"/>
    <w:qFormat/>
    <w:uiPriority w:val="0"/>
    <w:pPr>
      <w:tabs>
        <w:tab w:val="left" w:pos="850"/>
      </w:tabs>
      <w:spacing w:line="360" w:lineRule="auto"/>
      <w:ind w:left="850" w:right="23" w:rightChars="11" w:hanging="425"/>
    </w:pPr>
    <w:rPr>
      <w:rFonts w:ascii="Times New Roman" w:cs="Times New Roman"/>
      <w:bCs/>
      <w:sz w:val="24"/>
    </w:rPr>
  </w:style>
  <w:style w:type="paragraph" w:customStyle="1" w:styleId="287">
    <w:name w:val="CM23"/>
    <w:basedOn w:val="173"/>
    <w:next w:val="173"/>
    <w:qFormat/>
    <w:uiPriority w:val="0"/>
    <w:rPr>
      <w:rFonts w:ascii=".a....ì." w:hAnsi="Times New Roman" w:eastAsia=".a....ì." w:cs="Times New Roman"/>
      <w:color w:val="auto"/>
    </w:rPr>
  </w:style>
  <w:style w:type="paragraph" w:customStyle="1" w:styleId="288">
    <w:name w:val="Char Char Char Char2"/>
    <w:basedOn w:val="1"/>
    <w:qFormat/>
    <w:uiPriority w:val="0"/>
    <w:rPr>
      <w:rFonts w:ascii="仿宋_GB2312" w:hAnsi="Times New Roman" w:eastAsia="仿宋_GB2312" w:cs="Times New Roman"/>
      <w:b/>
      <w:sz w:val="32"/>
      <w:szCs w:val="32"/>
    </w:rPr>
  </w:style>
  <w:style w:type="paragraph" w:customStyle="1" w:styleId="289">
    <w:name w:val="第一节"/>
    <w:basedOn w:val="1"/>
    <w:qFormat/>
    <w:uiPriority w:val="0"/>
    <w:pPr>
      <w:tabs>
        <w:tab w:val="left" w:pos="360"/>
      </w:tabs>
      <w:ind w:left="360" w:hanging="360"/>
    </w:pPr>
    <w:rPr>
      <w:rFonts w:ascii="Times New Roman" w:hAnsi="Times New Roman" w:cs="Times New Roman"/>
      <w:sz w:val="24"/>
    </w:rPr>
  </w:style>
  <w:style w:type="paragraph" w:customStyle="1" w:styleId="290">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291">
    <w:name w:val="xl34"/>
    <w:basedOn w:val="1"/>
    <w:qFormat/>
    <w:uiPriority w:val="0"/>
    <w:pPr>
      <w:widowControl/>
      <w:pBdr>
        <w:top w:val="single" w:color="000000" w:sz="8"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292">
    <w:name w:val="3 Char Char Char Char Char Char Char"/>
    <w:basedOn w:val="1"/>
    <w:qFormat/>
    <w:uiPriority w:val="0"/>
    <w:rPr>
      <w:rFonts w:ascii="仿宋_GB2312" w:hAnsi="Times New Roman" w:eastAsia="仿宋_GB2312" w:cs="Times New Roman"/>
      <w:b/>
      <w:sz w:val="32"/>
      <w:szCs w:val="32"/>
    </w:rPr>
  </w:style>
  <w:style w:type="paragraph" w:customStyle="1" w:styleId="293">
    <w:name w:val="listt"/>
    <w:basedOn w:val="1"/>
    <w:qFormat/>
    <w:uiPriority w:val="0"/>
    <w:pPr>
      <w:tabs>
        <w:tab w:val="left" w:pos="360"/>
      </w:tabs>
      <w:adjustRightInd w:val="0"/>
      <w:spacing w:before="100" w:after="100" w:line="360" w:lineRule="auto"/>
      <w:ind w:firstLine="425"/>
      <w:jc w:val="left"/>
    </w:pPr>
    <w:rPr>
      <w:rFonts w:cs="Times New Roman"/>
      <w:bCs/>
      <w:szCs w:val="20"/>
    </w:rPr>
  </w:style>
  <w:style w:type="paragraph" w:customStyle="1" w:styleId="294">
    <w:name w:val="CM38"/>
    <w:basedOn w:val="173"/>
    <w:next w:val="173"/>
    <w:qFormat/>
    <w:uiPriority w:val="0"/>
    <w:pPr>
      <w:spacing w:after="1813"/>
    </w:pPr>
    <w:rPr>
      <w:rFonts w:ascii=".a....ì." w:hAnsi="Times New Roman" w:eastAsia=".a....ì." w:cs="Times New Roman"/>
      <w:color w:val="auto"/>
    </w:rPr>
  </w:style>
  <w:style w:type="paragraph" w:customStyle="1" w:styleId="295">
    <w:name w:val="*"/>
    <w:basedOn w:val="1"/>
    <w:qFormat/>
    <w:uiPriority w:val="0"/>
    <w:pPr>
      <w:spacing w:line="360" w:lineRule="auto"/>
    </w:pPr>
    <w:rPr>
      <w:rFonts w:cs="Times New Roman"/>
      <w:kern w:val="0"/>
      <w:sz w:val="24"/>
      <w:szCs w:val="20"/>
    </w:rPr>
  </w:style>
  <w:style w:type="paragraph" w:customStyle="1" w:styleId="296">
    <w:name w:val="xl24"/>
    <w:basedOn w:val="1"/>
    <w:qFormat/>
    <w:uiPriority w:val="0"/>
    <w:pPr>
      <w:widowControl/>
      <w:spacing w:before="100" w:after="100"/>
      <w:jc w:val="center"/>
      <w:textAlignment w:val="center"/>
    </w:pPr>
    <w:rPr>
      <w:rFonts w:cs="Times New Roman"/>
      <w:kern w:val="0"/>
      <w:sz w:val="24"/>
      <w:szCs w:val="20"/>
    </w:rPr>
  </w:style>
  <w:style w:type="paragraph" w:customStyle="1" w:styleId="297">
    <w:name w:val="xl63"/>
    <w:basedOn w:val="1"/>
    <w:qFormat/>
    <w:uiPriority w:val="0"/>
    <w:pPr>
      <w:widowControl/>
      <w:spacing w:before="100" w:beforeAutospacing="1" w:after="100" w:afterAutospacing="1"/>
      <w:jc w:val="left"/>
    </w:pPr>
    <w:rPr>
      <w:kern w:val="0"/>
      <w:sz w:val="20"/>
      <w:szCs w:val="20"/>
    </w:rPr>
  </w:style>
  <w:style w:type="paragraph" w:customStyle="1" w:styleId="298">
    <w:name w:val="Char11"/>
    <w:basedOn w:val="1"/>
    <w:qFormat/>
    <w:uiPriority w:val="0"/>
    <w:rPr>
      <w:rFonts w:ascii="Times New Roman" w:hAnsi="Times New Roman" w:cs="Times New Roman"/>
      <w:szCs w:val="20"/>
    </w:rPr>
  </w:style>
  <w:style w:type="paragraph" w:customStyle="1" w:styleId="299">
    <w:name w:val="样式 标题 2 + (西文) 方正书宋简体 (中文) 方正黑体简体 非加粗 黑色 行距: 固定值 15 磅2"/>
    <w:basedOn w:val="3"/>
    <w:qFormat/>
    <w:uiPriority w:val="0"/>
    <w:pPr>
      <w:spacing w:before="0" w:after="0" w:line="300" w:lineRule="exact"/>
      <w:ind w:firstLine="200" w:firstLineChars="200"/>
      <w:jc w:val="left"/>
    </w:pPr>
    <w:rPr>
      <w:rFonts w:ascii="方正书宋简体" w:eastAsia="方正小标宋简体" w:cs="宋体"/>
      <w:b w:val="0"/>
      <w:bCs w:val="0"/>
      <w:color w:val="000000"/>
      <w:sz w:val="21"/>
      <w:szCs w:val="20"/>
    </w:rPr>
  </w:style>
  <w:style w:type="paragraph" w:customStyle="1" w:styleId="300">
    <w:name w:val="xl38"/>
    <w:basedOn w:val="1"/>
    <w:qFormat/>
    <w:uiPriority w:val="0"/>
    <w:pPr>
      <w:widowControl/>
      <w:pBdr>
        <w:top w:val="single" w:color="000000" w:sz="4" w:space="0"/>
        <w:left w:val="single" w:color="000000" w:sz="4" w:space="0"/>
        <w:bottom w:val="single" w:color="000000" w:sz="8"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301">
    <w:name w:val="xl30"/>
    <w:basedOn w:val="1"/>
    <w:qFormat/>
    <w:uiPriority w:val="0"/>
    <w:pPr>
      <w:widowControl/>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302">
    <w:name w:val="CM32"/>
    <w:basedOn w:val="173"/>
    <w:next w:val="173"/>
    <w:qFormat/>
    <w:uiPriority w:val="0"/>
    <w:pPr>
      <w:spacing w:line="360" w:lineRule="atLeast"/>
    </w:pPr>
    <w:rPr>
      <w:rFonts w:ascii=".a....ì." w:hAnsi="Times New Roman" w:eastAsia=".a....ì." w:cs="Times New Roman"/>
      <w:color w:val="auto"/>
    </w:rPr>
  </w:style>
  <w:style w:type="paragraph" w:customStyle="1" w:styleId="303">
    <w:name w:val="四级标题"/>
    <w:basedOn w:val="1"/>
    <w:next w:val="1"/>
    <w:qFormat/>
    <w:uiPriority w:val="0"/>
    <w:pPr>
      <w:tabs>
        <w:tab w:val="left" w:pos="0"/>
      </w:tabs>
      <w:spacing w:beforeLines="50" w:afterLines="50" w:line="400" w:lineRule="exact"/>
      <w:ind w:firstLine="540"/>
    </w:pPr>
    <w:rPr>
      <w:rFonts w:ascii="Times New Roman" w:hAnsi="Times New Roman"/>
      <w:sz w:val="24"/>
      <w:szCs w:val="20"/>
    </w:rPr>
  </w:style>
  <w:style w:type="paragraph" w:customStyle="1" w:styleId="304">
    <w:name w:val="Char2"/>
    <w:basedOn w:val="1"/>
    <w:qFormat/>
    <w:uiPriority w:val="0"/>
    <w:rPr>
      <w:rFonts w:ascii="Tahoma" w:hAnsi="Tahoma" w:cs="Times New Roman"/>
      <w:sz w:val="24"/>
      <w:szCs w:val="20"/>
    </w:rPr>
  </w:style>
  <w:style w:type="paragraph" w:customStyle="1" w:styleId="305">
    <w:name w:val="Char Char Char Char2 Char"/>
    <w:basedOn w:val="1"/>
    <w:qFormat/>
    <w:uiPriority w:val="0"/>
    <w:rPr>
      <w:rFonts w:ascii="仿宋_GB2312" w:hAnsi="Times New Roman" w:eastAsia="仿宋_GB2312" w:cs="Times New Roman"/>
      <w:b/>
      <w:sz w:val="32"/>
      <w:szCs w:val="32"/>
    </w:rPr>
  </w:style>
  <w:style w:type="paragraph" w:customStyle="1" w:styleId="306">
    <w:name w:val="font6"/>
    <w:basedOn w:val="1"/>
    <w:qFormat/>
    <w:uiPriority w:val="0"/>
    <w:pPr>
      <w:widowControl/>
      <w:spacing w:before="100" w:beforeAutospacing="1" w:after="100" w:afterAutospacing="1"/>
      <w:jc w:val="left"/>
    </w:pPr>
    <w:rPr>
      <w:kern w:val="0"/>
      <w:sz w:val="18"/>
      <w:szCs w:val="18"/>
    </w:rPr>
  </w:style>
  <w:style w:type="paragraph" w:customStyle="1" w:styleId="307">
    <w:name w:val="修订1"/>
    <w:qFormat/>
    <w:uiPriority w:val="99"/>
    <w:rPr>
      <w:rFonts w:ascii="Times New Roman" w:hAnsi="Times New Roman" w:eastAsia="宋体" w:cs="Times New Roman"/>
      <w:kern w:val="2"/>
      <w:sz w:val="21"/>
      <w:szCs w:val="24"/>
      <w:lang w:val="en-US" w:eastAsia="zh-CN" w:bidi="ar-SA"/>
    </w:rPr>
  </w:style>
  <w:style w:type="paragraph" w:customStyle="1" w:styleId="30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rPr>
  </w:style>
  <w:style w:type="paragraph" w:customStyle="1" w:styleId="309">
    <w:name w:val="CM10"/>
    <w:basedOn w:val="173"/>
    <w:next w:val="173"/>
    <w:qFormat/>
    <w:uiPriority w:val="0"/>
    <w:pPr>
      <w:spacing w:line="480" w:lineRule="atLeast"/>
    </w:pPr>
    <w:rPr>
      <w:rFonts w:ascii=".a....ì." w:hAnsi="Times New Roman" w:eastAsia=".a....ì." w:cs="Times New Roman"/>
      <w:color w:val="auto"/>
    </w:rPr>
  </w:style>
  <w:style w:type="paragraph" w:customStyle="1" w:styleId="310">
    <w:name w:val="xl71"/>
    <w:basedOn w:val="1"/>
    <w:qFormat/>
    <w:uiPriority w:val="0"/>
    <w:pPr>
      <w:widowControl/>
      <w:spacing w:before="100" w:beforeAutospacing="1" w:after="100" w:afterAutospacing="1"/>
      <w:jc w:val="left"/>
    </w:pPr>
    <w:rPr>
      <w:kern w:val="0"/>
      <w:sz w:val="20"/>
      <w:szCs w:val="20"/>
    </w:rPr>
  </w:style>
  <w:style w:type="paragraph" w:customStyle="1" w:styleId="311">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312">
    <w:name w:val="表格内容"/>
    <w:qFormat/>
    <w:uiPriority w:val="0"/>
    <w:pPr>
      <w:snapToGrid w:val="0"/>
      <w:jc w:val="center"/>
    </w:pPr>
    <w:rPr>
      <w:rFonts w:ascii="Times New Roman" w:hAnsi="Times New Roman" w:eastAsia="宋体" w:cs="Times New Roman"/>
      <w:spacing w:val="-16"/>
      <w:sz w:val="21"/>
      <w:szCs w:val="21"/>
      <w:lang w:val="en-US" w:eastAsia="zh-CN" w:bidi="ar-SA"/>
    </w:rPr>
  </w:style>
  <w:style w:type="paragraph" w:customStyle="1" w:styleId="313">
    <w:name w:val="默认段落字体 Para Char"/>
    <w:basedOn w:val="1"/>
    <w:qFormat/>
    <w:uiPriority w:val="0"/>
    <w:rPr>
      <w:rFonts w:ascii="Times New Roman" w:hAnsi="Times New Roman" w:cs="Times New Roman"/>
      <w:sz w:val="24"/>
    </w:rPr>
  </w:style>
  <w:style w:type="paragraph" w:customStyle="1" w:styleId="314">
    <w:name w:val="xl78"/>
    <w:basedOn w:val="1"/>
    <w:qFormat/>
    <w:uiPriority w:val="0"/>
    <w:pPr>
      <w:widowControl/>
      <w:pBdr>
        <w:top w:val="single" w:color="auto" w:sz="4" w:space="0"/>
        <w:left w:val="single" w:color="auto" w:sz="4" w:space="0"/>
        <w:bottom w:val="single" w:color="auto" w:sz="4" w:space="0"/>
        <w:right w:val="single" w:color="auto" w:sz="4" w:space="0"/>
      </w:pBdr>
      <w:shd w:val="clear" w:color="FFFFFF" w:fill="FFFFFF"/>
      <w:spacing w:before="100" w:beforeAutospacing="1" w:after="100" w:afterAutospacing="1"/>
      <w:jc w:val="center"/>
    </w:pPr>
    <w:rPr>
      <w:b/>
      <w:bCs/>
      <w:kern w:val="0"/>
      <w:sz w:val="18"/>
      <w:szCs w:val="18"/>
    </w:rPr>
  </w:style>
  <w:style w:type="paragraph" w:customStyle="1" w:styleId="315">
    <w:name w:val="标题一"/>
    <w:basedOn w:val="48"/>
    <w:qFormat/>
    <w:uiPriority w:val="0"/>
    <w:pPr>
      <w:adjustRightInd/>
      <w:spacing w:beforeLines="50" w:after="0" w:line="440" w:lineRule="exact"/>
      <w:jc w:val="left"/>
    </w:pPr>
    <w:rPr>
      <w:rFonts w:ascii="宋体" w:hAnsi="宋体"/>
      <w:bCs/>
      <w:sz w:val="21"/>
      <w:szCs w:val="21"/>
    </w:rPr>
  </w:style>
  <w:style w:type="paragraph" w:customStyle="1" w:styleId="316">
    <w:name w:val="Char Char Char Char Char Char Char Char Char Char Char Char Char"/>
    <w:basedOn w:val="1"/>
    <w:qFormat/>
    <w:uiPriority w:val="0"/>
    <w:rPr>
      <w:rFonts w:ascii="仿宋_GB2312" w:hAnsi="Times New Roman" w:eastAsia="仿宋_GB2312" w:cs="Times New Roman"/>
      <w:b/>
      <w:sz w:val="32"/>
      <w:szCs w:val="32"/>
    </w:rPr>
  </w:style>
  <w:style w:type="paragraph" w:customStyle="1" w:styleId="317">
    <w:name w:val="xl35"/>
    <w:basedOn w:val="1"/>
    <w:qFormat/>
    <w:uiPriority w:val="0"/>
    <w:pPr>
      <w:widowControl/>
      <w:pBdr>
        <w:top w:val="single" w:color="000000" w:sz="8" w:space="0"/>
        <w:left w:val="single" w:color="000000" w:sz="4" w:space="0"/>
        <w:bottom w:val="single" w:color="000000" w:sz="4" w:space="0"/>
        <w:right w:val="single" w:color="000000" w:sz="8"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318">
    <w:name w:val="xl32"/>
    <w:basedOn w:val="1"/>
    <w:qFormat/>
    <w:uiPriority w:val="0"/>
    <w:pPr>
      <w:widowControl/>
      <w:shd w:val="clear" w:color="FFFFFF" w:fill="FFFFFF"/>
      <w:spacing w:before="100" w:beforeAutospacing="1" w:after="100" w:afterAutospacing="1"/>
      <w:jc w:val="center"/>
      <w:textAlignment w:val="center"/>
    </w:pPr>
    <w:rPr>
      <w:rFonts w:ascii="Arial Unicode MS" w:hAnsi="Arial Unicode MS" w:eastAsia="Arial Unicode MS" w:cs="Arial Unicode MS"/>
      <w:b/>
      <w:bCs/>
      <w:color w:val="000000"/>
      <w:kern w:val="0"/>
      <w:sz w:val="36"/>
      <w:szCs w:val="36"/>
    </w:rPr>
  </w:style>
  <w:style w:type="paragraph" w:customStyle="1" w:styleId="319">
    <w:name w:val="列出段落2"/>
    <w:basedOn w:val="1"/>
    <w:qFormat/>
    <w:uiPriority w:val="0"/>
    <w:pPr>
      <w:spacing w:line="360" w:lineRule="auto"/>
      <w:ind w:firstLine="420" w:firstLineChars="200"/>
    </w:pPr>
    <w:rPr>
      <w:rFonts w:ascii="Times New Roman" w:hAnsi="Times New Roman" w:cs="Times New Roman"/>
      <w:szCs w:val="20"/>
    </w:rPr>
  </w:style>
  <w:style w:type="paragraph" w:customStyle="1" w:styleId="320">
    <w:name w:val="TOC 标题1"/>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321">
    <w:name w:val="Char Char Char Char Char Char Char Char Char2 Char Char Char Char Char Char Char Char Char Char Char Char Char"/>
    <w:basedOn w:val="1"/>
    <w:qFormat/>
    <w:uiPriority w:val="0"/>
    <w:rPr>
      <w:rFonts w:ascii="仿宋_GB2312" w:hAnsi="Times New Roman" w:eastAsia="仿宋_GB2312" w:cs="Times New Roman"/>
      <w:b/>
      <w:sz w:val="32"/>
      <w:szCs w:val="32"/>
    </w:rPr>
  </w:style>
  <w:style w:type="paragraph" w:customStyle="1" w:styleId="322">
    <w:name w:val="Char4"/>
    <w:basedOn w:val="1"/>
    <w:qFormat/>
    <w:uiPriority w:val="0"/>
    <w:rPr>
      <w:rFonts w:ascii="仿宋_GB2312" w:hAnsi="Times New Roman" w:eastAsia="仿宋_GB2312" w:cs="Times New Roman"/>
      <w:b/>
      <w:sz w:val="32"/>
      <w:szCs w:val="32"/>
    </w:rPr>
  </w:style>
  <w:style w:type="paragraph" w:customStyle="1" w:styleId="323">
    <w:name w:val="样式 正文文本 2 + (西文) Arial (中文) 宋体 五号 加粗 行距: 1.5 倍行距"/>
    <w:basedOn w:val="44"/>
    <w:qFormat/>
    <w:uiPriority w:val="0"/>
    <w:pPr>
      <w:spacing w:line="360" w:lineRule="auto"/>
      <w:jc w:val="both"/>
    </w:pPr>
    <w:rPr>
      <w:rFonts w:ascii="Arial" w:hAnsi="Arial" w:eastAsia="宋体" w:cs="宋体"/>
      <w:b/>
      <w:kern w:val="0"/>
      <w:sz w:val="21"/>
      <w:szCs w:val="20"/>
    </w:rPr>
  </w:style>
  <w:style w:type="paragraph" w:customStyle="1" w:styleId="324">
    <w:name w:val="Char Char Char Char Char Char Char2"/>
    <w:basedOn w:val="1"/>
    <w:qFormat/>
    <w:uiPriority w:val="0"/>
    <w:pPr>
      <w:widowControl/>
      <w:spacing w:after="160" w:line="240" w:lineRule="exact"/>
      <w:jc w:val="left"/>
    </w:pPr>
    <w:rPr>
      <w:rFonts w:ascii="Verdana" w:hAnsi="Verdana" w:cs="Times New Roman"/>
      <w:kern w:val="0"/>
      <w:sz w:val="24"/>
      <w:szCs w:val="20"/>
    </w:rPr>
  </w:style>
  <w:style w:type="paragraph" w:customStyle="1" w:styleId="325">
    <w:name w:val="样式 正文文本 2 + (西文) Arial (中文) 宋体 五号 加粗 行距: 1.5 倍行距1"/>
    <w:basedOn w:val="44"/>
    <w:qFormat/>
    <w:uiPriority w:val="0"/>
    <w:pPr>
      <w:spacing w:line="360" w:lineRule="auto"/>
      <w:jc w:val="both"/>
    </w:pPr>
    <w:rPr>
      <w:rFonts w:ascii="Arial" w:hAnsi="Arial" w:eastAsia="宋体" w:cs="宋体"/>
      <w:b/>
      <w:kern w:val="0"/>
      <w:sz w:val="21"/>
      <w:szCs w:val="20"/>
    </w:rPr>
  </w:style>
  <w:style w:type="paragraph" w:customStyle="1" w:styleId="326">
    <w:name w:val="xl75"/>
    <w:basedOn w:val="1"/>
    <w:qFormat/>
    <w:uiPriority w:val="0"/>
    <w:pPr>
      <w:widowControl/>
      <w:spacing w:before="100" w:beforeAutospacing="1" w:after="100" w:afterAutospacing="1"/>
      <w:jc w:val="center"/>
    </w:pPr>
    <w:rPr>
      <w:kern w:val="0"/>
      <w:sz w:val="20"/>
      <w:szCs w:val="20"/>
    </w:rPr>
  </w:style>
  <w:style w:type="paragraph" w:customStyle="1" w:styleId="327">
    <w:name w:val="标书标题二"/>
    <w:basedOn w:val="1"/>
    <w:qFormat/>
    <w:uiPriority w:val="0"/>
    <w:pPr>
      <w:spacing w:line="360" w:lineRule="auto"/>
    </w:pPr>
    <w:rPr>
      <w:rFonts w:eastAsia="黑体" w:cs="Times New Roman"/>
      <w:sz w:val="24"/>
    </w:rPr>
  </w:style>
  <w:style w:type="paragraph" w:customStyle="1" w:styleId="328">
    <w:name w:val="表头文本"/>
    <w:qFormat/>
    <w:uiPriority w:val="0"/>
    <w:pPr>
      <w:jc w:val="center"/>
    </w:pPr>
    <w:rPr>
      <w:rFonts w:ascii="Arial" w:hAnsi="Arial" w:eastAsia="宋体" w:cs="Times New Roman"/>
      <w:b/>
      <w:sz w:val="21"/>
      <w:szCs w:val="21"/>
      <w:lang w:val="en-US" w:eastAsia="zh-CN" w:bidi="ar-SA"/>
    </w:rPr>
  </w:style>
  <w:style w:type="paragraph" w:customStyle="1" w:styleId="329">
    <w:name w:val="Char Char Char2 Char1 Char Char Char"/>
    <w:basedOn w:val="1"/>
    <w:qFormat/>
    <w:uiPriority w:val="0"/>
    <w:pPr>
      <w:spacing w:line="360" w:lineRule="auto"/>
      <w:ind w:firstLine="200" w:firstLineChars="200"/>
    </w:pPr>
    <w:rPr>
      <w:sz w:val="24"/>
    </w:rPr>
  </w:style>
  <w:style w:type="paragraph" w:customStyle="1" w:styleId="330">
    <w:name w:val="默认段落字体 Para Char Char Char Char Char Char Char"/>
    <w:basedOn w:val="16"/>
    <w:qFormat/>
    <w:uiPriority w:val="0"/>
    <w:pPr>
      <w:adjustRightInd w:val="0"/>
      <w:spacing w:line="436" w:lineRule="exact"/>
      <w:ind w:left="357"/>
      <w:jc w:val="left"/>
      <w:outlineLvl w:val="3"/>
    </w:pPr>
    <w:rPr>
      <w:rFonts w:ascii="Tahoma" w:hAnsi="Tahoma"/>
      <w:b/>
      <w:sz w:val="24"/>
      <w:shd w:val="clear" w:color="auto" w:fill="000080"/>
    </w:rPr>
  </w:style>
  <w:style w:type="paragraph" w:customStyle="1" w:styleId="331">
    <w:name w:val="Report List"/>
    <w:basedOn w:val="1"/>
    <w:qFormat/>
    <w:uiPriority w:val="0"/>
    <w:pPr>
      <w:widowControl/>
      <w:numPr>
        <w:ilvl w:val="0"/>
        <w:numId w:val="1"/>
      </w:numPr>
      <w:tabs>
        <w:tab w:val="left" w:pos="360"/>
        <w:tab w:val="clear" w:pos="1440"/>
      </w:tabs>
      <w:spacing w:before="120" w:after="120"/>
      <w:ind w:left="1080" w:firstLine="0"/>
    </w:pPr>
    <w:rPr>
      <w:rFonts w:ascii="Arial" w:hAnsi="Arial" w:cs="Tahoma"/>
      <w:kern w:val="28"/>
      <w:sz w:val="22"/>
      <w:szCs w:val="20"/>
    </w:rPr>
  </w:style>
  <w:style w:type="paragraph" w:customStyle="1" w:styleId="332">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color w:val="FF0000"/>
      <w:kern w:val="0"/>
      <w:sz w:val="20"/>
      <w:szCs w:val="20"/>
    </w:rPr>
  </w:style>
  <w:style w:type="paragraph" w:customStyle="1" w:styleId="333">
    <w:name w:val="p18"/>
    <w:basedOn w:val="1"/>
    <w:qFormat/>
    <w:uiPriority w:val="0"/>
    <w:pPr>
      <w:widowControl/>
      <w:spacing w:line="300" w:lineRule="auto"/>
    </w:pPr>
    <w:rPr>
      <w:rFonts w:ascii="幼圆" w:eastAsia="幼圆"/>
      <w:kern w:val="0"/>
      <w:sz w:val="24"/>
    </w:rPr>
  </w:style>
  <w:style w:type="paragraph" w:customStyle="1" w:styleId="334">
    <w:name w:val="Para-"/>
    <w:qFormat/>
    <w:uiPriority w:val="0"/>
    <w:pPr>
      <w:keepNext/>
      <w:tabs>
        <w:tab w:val="left" w:pos="576"/>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576" w:hanging="576"/>
    </w:pPr>
    <w:rPr>
      <w:rFonts w:ascii="Arial" w:hAnsi="Arial" w:eastAsia="宋体" w:cs="Times New Roman"/>
      <w:lang w:val="en-US" w:eastAsia="en-US" w:bidi="ar-SA"/>
    </w:rPr>
  </w:style>
  <w:style w:type="paragraph" w:customStyle="1" w:styleId="335">
    <w:name w:val="xl36"/>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left"/>
      <w:textAlignment w:val="center"/>
    </w:pPr>
    <w:rPr>
      <w:rFonts w:ascii="Arial Unicode MS" w:hAnsi="Arial Unicode MS" w:eastAsia="Arial Unicode MS" w:cs="Arial Unicode MS"/>
      <w:color w:val="000000"/>
      <w:kern w:val="0"/>
      <w:sz w:val="24"/>
    </w:rPr>
  </w:style>
  <w:style w:type="paragraph" w:customStyle="1" w:styleId="336">
    <w:name w:val="插图题注"/>
    <w:next w:val="1"/>
    <w:qFormat/>
    <w:uiPriority w:val="0"/>
    <w:pPr>
      <w:spacing w:afterLines="100"/>
      <w:ind w:left="1089" w:hanging="369"/>
      <w:jc w:val="center"/>
    </w:pPr>
    <w:rPr>
      <w:rFonts w:ascii="Arial" w:hAnsi="Arial" w:eastAsia="宋体" w:cs="Times New Roman"/>
      <w:sz w:val="18"/>
      <w:szCs w:val="18"/>
      <w:lang w:val="en-US" w:eastAsia="zh-CN" w:bidi="ar-SA"/>
    </w:rPr>
  </w:style>
  <w:style w:type="paragraph" w:customStyle="1" w:styleId="337">
    <w:name w:val="xl79"/>
    <w:basedOn w:val="1"/>
    <w:qFormat/>
    <w:uiPriority w:val="0"/>
    <w:pPr>
      <w:widowControl/>
      <w:pBdr>
        <w:top w:val="single" w:color="auto" w:sz="4" w:space="0"/>
        <w:left w:val="single" w:color="auto" w:sz="4" w:space="0"/>
        <w:bottom w:val="single" w:color="auto" w:sz="4" w:space="0"/>
        <w:right w:val="single" w:color="auto" w:sz="4" w:space="0"/>
      </w:pBdr>
      <w:shd w:val="clear" w:color="FFFFFF" w:fill="FFFFFF"/>
      <w:spacing w:before="100" w:beforeAutospacing="1" w:after="100" w:afterAutospacing="1"/>
      <w:jc w:val="center"/>
    </w:pPr>
    <w:rPr>
      <w:b/>
      <w:bCs/>
      <w:color w:val="000000"/>
      <w:kern w:val="0"/>
      <w:sz w:val="18"/>
      <w:szCs w:val="18"/>
    </w:rPr>
  </w:style>
  <w:style w:type="paragraph" w:customStyle="1" w:styleId="338">
    <w:name w:val="4级段落"/>
    <w:basedOn w:val="1"/>
    <w:qFormat/>
    <w:uiPriority w:val="0"/>
    <w:pPr>
      <w:spacing w:line="600" w:lineRule="exact"/>
      <w:ind w:left="845" w:hanging="420"/>
    </w:pPr>
    <w:rPr>
      <w:rFonts w:cs="Times New Roman"/>
      <w:sz w:val="28"/>
    </w:rPr>
  </w:style>
  <w:style w:type="paragraph" w:customStyle="1" w:styleId="339">
    <w:name w:val="P1"/>
    <w:qFormat/>
    <w:uiPriority w:val="0"/>
    <w:pPr>
      <w:widowControl w:val="0"/>
      <w:adjustRightInd w:val="0"/>
      <w:spacing w:after="240" w:line="0" w:lineRule="atLeast"/>
      <w:ind w:left="2304" w:hanging="576"/>
      <w:jc w:val="both"/>
      <w:textAlignment w:val="baseline"/>
    </w:pPr>
    <w:rPr>
      <w:rFonts w:ascii="Times New Roman" w:hAnsi="Times New Roman" w:eastAsia="全真中明體" w:cs="Times New Roman"/>
      <w:spacing w:val="20"/>
      <w:sz w:val="24"/>
      <w:lang w:val="en-GB" w:eastAsia="zh-TW" w:bidi="ar-SA"/>
    </w:rPr>
  </w:style>
  <w:style w:type="paragraph" w:customStyle="1" w:styleId="340">
    <w:name w:val="正文 + 宋体"/>
    <w:basedOn w:val="1"/>
    <w:qFormat/>
    <w:uiPriority w:val="0"/>
    <w:pPr>
      <w:widowControl/>
      <w:spacing w:line="360" w:lineRule="auto"/>
      <w:ind w:firstLine="480" w:firstLineChars="200"/>
      <w:jc w:val="left"/>
    </w:pPr>
    <w:rPr>
      <w:rFonts w:cs="Times New Roman"/>
      <w:kern w:val="0"/>
      <w:sz w:val="24"/>
    </w:rPr>
  </w:style>
  <w:style w:type="paragraph" w:customStyle="1" w:styleId="341">
    <w:name w:val="Char1 Char Char Char"/>
    <w:basedOn w:val="16"/>
    <w:qFormat/>
    <w:uiPriority w:val="0"/>
    <w:pPr>
      <w:adjustRightInd w:val="0"/>
      <w:spacing w:line="436" w:lineRule="exact"/>
      <w:ind w:left="357"/>
      <w:jc w:val="left"/>
      <w:outlineLvl w:val="3"/>
    </w:pPr>
    <w:rPr>
      <w:rFonts w:ascii="Tahoma" w:hAnsi="Tahoma"/>
      <w:b/>
      <w:kern w:val="0"/>
      <w:sz w:val="24"/>
    </w:rPr>
  </w:style>
  <w:style w:type="paragraph" w:customStyle="1" w:styleId="342">
    <w:name w:val="p17"/>
    <w:basedOn w:val="1"/>
    <w:qFormat/>
    <w:uiPriority w:val="0"/>
    <w:pPr>
      <w:widowControl/>
    </w:pPr>
    <w:rPr>
      <w:rFonts w:ascii="Times New Roman" w:hAnsi="Times New Roman" w:cs="Times New Roman"/>
      <w:kern w:val="0"/>
      <w:szCs w:val="21"/>
    </w:rPr>
  </w:style>
  <w:style w:type="paragraph" w:customStyle="1" w:styleId="343">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color w:val="FF0000"/>
      <w:kern w:val="0"/>
      <w:sz w:val="20"/>
      <w:szCs w:val="20"/>
    </w:rPr>
  </w:style>
  <w:style w:type="paragraph" w:customStyle="1" w:styleId="344">
    <w:name w:val="Char Char Char Char Char Char Char"/>
    <w:basedOn w:val="1"/>
    <w:qFormat/>
    <w:uiPriority w:val="0"/>
    <w:rPr>
      <w:rFonts w:ascii="仿宋_GB2312" w:hAnsi="Times New Roman" w:eastAsia="仿宋_GB2312" w:cs="Times New Roman"/>
      <w:b/>
      <w:sz w:val="32"/>
      <w:szCs w:val="32"/>
    </w:rPr>
  </w:style>
  <w:style w:type="paragraph" w:customStyle="1" w:styleId="345">
    <w:name w:val="xl37"/>
    <w:basedOn w:val="1"/>
    <w:qFormat/>
    <w:uiPriority w:val="0"/>
    <w:pPr>
      <w:widowControl/>
      <w:pBdr>
        <w:top w:val="single" w:color="000000" w:sz="4" w:space="0"/>
        <w:left w:val="single" w:color="000000" w:sz="8" w:space="0"/>
        <w:bottom w:val="single" w:color="000000" w:sz="8"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346">
    <w:name w:val="CM36"/>
    <w:basedOn w:val="173"/>
    <w:next w:val="173"/>
    <w:qFormat/>
    <w:uiPriority w:val="0"/>
    <w:pPr>
      <w:spacing w:after="733"/>
    </w:pPr>
    <w:rPr>
      <w:rFonts w:ascii=".a....ì." w:hAnsi="Times New Roman" w:eastAsia=".a....ì." w:cs="Times New Roman"/>
      <w:color w:val="auto"/>
    </w:rPr>
  </w:style>
  <w:style w:type="paragraph" w:customStyle="1" w:styleId="347">
    <w:name w:val="Para--"/>
    <w:qFormat/>
    <w:uiPriority w:val="0"/>
    <w:pPr>
      <w:keepNext/>
      <w:tabs>
        <w:tab w:val="left" w:pos="1569"/>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1569" w:hanging="576"/>
    </w:pPr>
    <w:rPr>
      <w:rFonts w:ascii="Arial" w:hAnsi="Arial" w:eastAsia="宋体" w:cs="Times New Roman"/>
      <w:lang w:val="en-US" w:eastAsia="en-US" w:bidi="ar-SA"/>
    </w:rPr>
  </w:style>
  <w:style w:type="paragraph" w:customStyle="1" w:styleId="348">
    <w:name w:val="样式 标题 2 + (西文) 方正书宋简体 (中文) 方正黑体简体 非加粗 黑色 段前: 0 磅 段后: 0 磅 行..."/>
    <w:basedOn w:val="3"/>
    <w:qFormat/>
    <w:uiPriority w:val="0"/>
    <w:pPr>
      <w:spacing w:before="0" w:after="0" w:line="300" w:lineRule="exact"/>
      <w:jc w:val="left"/>
    </w:pPr>
    <w:rPr>
      <w:rFonts w:ascii="方正书宋简体" w:hAnsi="宋体" w:eastAsia="方正小标宋简体" w:cs="宋体"/>
      <w:b w:val="0"/>
      <w:bCs w:val="0"/>
      <w:color w:val="000000"/>
      <w:sz w:val="21"/>
      <w:szCs w:val="20"/>
    </w:rPr>
  </w:style>
  <w:style w:type="paragraph" w:customStyle="1" w:styleId="349">
    <w:name w:val="xl22"/>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Arial Unicode MS" w:hAnsi="Arial Unicode MS" w:eastAsia="Arial Unicode MS" w:cs="Arial Unicode MS"/>
      <w:color w:val="000000"/>
      <w:kern w:val="0"/>
      <w:sz w:val="24"/>
    </w:rPr>
  </w:style>
  <w:style w:type="paragraph" w:customStyle="1" w:styleId="350">
    <w:name w:val="H2"/>
    <w:qFormat/>
    <w:uiPriority w:val="0"/>
    <w:pPr>
      <w:widowControl w:val="0"/>
      <w:adjustRightInd w:val="0"/>
      <w:spacing w:after="240" w:line="0" w:lineRule="atLeast"/>
      <w:textAlignment w:val="baseline"/>
    </w:pPr>
    <w:rPr>
      <w:rFonts w:ascii="Times New Roman" w:hAnsi="Times New Roman" w:eastAsia="全真中明體" w:cs="Times New Roman"/>
      <w:b/>
      <w:spacing w:val="20"/>
      <w:sz w:val="24"/>
      <w:lang w:val="en-GB" w:eastAsia="zh-TW" w:bidi="ar-SA"/>
    </w:rPr>
  </w:style>
  <w:style w:type="paragraph" w:customStyle="1" w:styleId="351">
    <w:name w:val="4"/>
    <w:basedOn w:val="1"/>
    <w:next w:val="21"/>
    <w:qFormat/>
    <w:uiPriority w:val="0"/>
    <w:pPr>
      <w:ind w:left="180" w:firstLine="360"/>
      <w:jc w:val="left"/>
    </w:pPr>
    <w:rPr>
      <w:rFonts w:ascii="Times New Roman" w:hAnsi="Times New Roman" w:cs="Times New Roman"/>
      <w:sz w:val="24"/>
      <w:szCs w:val="20"/>
    </w:rPr>
  </w:style>
  <w:style w:type="paragraph" w:customStyle="1" w:styleId="352">
    <w:name w:val="xl28"/>
    <w:basedOn w:val="1"/>
    <w:qFormat/>
    <w:uiPriority w:val="0"/>
    <w:pPr>
      <w:widowControl/>
      <w:pBdr>
        <w:top w:val="single" w:color="000000" w:sz="4" w:space="0"/>
        <w:left w:val="single" w:color="000000" w:sz="4" w:space="0"/>
        <w:bottom w:val="single" w:color="000000" w:sz="8" w:space="0"/>
        <w:right w:val="single" w:color="000000" w:sz="8" w:space="0"/>
      </w:pBdr>
      <w:shd w:val="clear" w:color="FFFFFF" w:fill="FFFFFF"/>
      <w:spacing w:before="100" w:beforeAutospacing="1" w:after="100" w:afterAutospacing="1"/>
      <w:jc w:val="right"/>
      <w:textAlignment w:val="center"/>
    </w:pPr>
    <w:rPr>
      <w:rFonts w:ascii="Arial Unicode MS" w:hAnsi="Arial Unicode MS" w:eastAsia="Arial Unicode MS" w:cs="Arial Unicode MS"/>
      <w:color w:val="000000"/>
      <w:kern w:val="0"/>
      <w:sz w:val="24"/>
    </w:rPr>
  </w:style>
  <w:style w:type="paragraph" w:customStyle="1" w:styleId="353">
    <w:name w:val="CM39"/>
    <w:basedOn w:val="173"/>
    <w:next w:val="173"/>
    <w:qFormat/>
    <w:uiPriority w:val="0"/>
    <w:pPr>
      <w:spacing w:after="360"/>
    </w:pPr>
    <w:rPr>
      <w:rFonts w:ascii=".a....ì." w:hAnsi="Times New Roman" w:eastAsia=".a....ì." w:cs="Times New Roman"/>
      <w:color w:val="auto"/>
    </w:rPr>
  </w:style>
  <w:style w:type="paragraph" w:customStyle="1" w:styleId="354">
    <w:name w:val="xl73"/>
    <w:basedOn w:val="1"/>
    <w:qFormat/>
    <w:uiPriority w:val="0"/>
    <w:pPr>
      <w:widowControl/>
      <w:spacing w:before="100" w:beforeAutospacing="1" w:after="100" w:afterAutospacing="1"/>
      <w:jc w:val="center"/>
    </w:pPr>
    <w:rPr>
      <w:kern w:val="0"/>
      <w:sz w:val="20"/>
      <w:szCs w:val="20"/>
    </w:rPr>
  </w:style>
  <w:style w:type="paragraph" w:customStyle="1" w:styleId="355">
    <w:name w:val="CM9"/>
    <w:basedOn w:val="173"/>
    <w:next w:val="173"/>
    <w:qFormat/>
    <w:uiPriority w:val="0"/>
    <w:pPr>
      <w:spacing w:line="480" w:lineRule="atLeast"/>
    </w:pPr>
    <w:rPr>
      <w:rFonts w:ascii=".a....ì." w:hAnsi="Times New Roman" w:eastAsia=".a....ì." w:cs="Times New Roman"/>
      <w:color w:val="auto"/>
    </w:rPr>
  </w:style>
  <w:style w:type="paragraph" w:customStyle="1" w:styleId="356">
    <w:name w:val="三级标题"/>
    <w:basedOn w:val="1"/>
    <w:qFormat/>
    <w:uiPriority w:val="0"/>
    <w:pPr>
      <w:tabs>
        <w:tab w:val="left" w:pos="620"/>
      </w:tabs>
      <w:spacing w:beforeLines="50" w:afterLines="50" w:line="520" w:lineRule="exact"/>
      <w:ind w:left="620" w:hanging="420"/>
    </w:pPr>
    <w:rPr>
      <w:rFonts w:ascii="Times New Roman" w:hAnsi="Times New Roman" w:cs="Times New Roman"/>
      <w:sz w:val="24"/>
    </w:rPr>
  </w:style>
  <w:style w:type="paragraph" w:customStyle="1" w:styleId="357">
    <w:name w:val="Char Char Char Char Char Char1 Char"/>
    <w:basedOn w:val="1"/>
    <w:qFormat/>
    <w:uiPriority w:val="0"/>
    <w:pPr>
      <w:widowControl/>
      <w:spacing w:after="160" w:line="240" w:lineRule="exact"/>
      <w:jc w:val="left"/>
    </w:pPr>
    <w:rPr>
      <w:rFonts w:ascii="Verdana" w:hAnsi="Verdana" w:cs="Times New Roman"/>
      <w:kern w:val="0"/>
      <w:szCs w:val="20"/>
      <w:lang w:eastAsia="en-US"/>
    </w:rPr>
  </w:style>
  <w:style w:type="paragraph" w:customStyle="1" w:styleId="358">
    <w:name w:val="CM19"/>
    <w:basedOn w:val="173"/>
    <w:next w:val="173"/>
    <w:qFormat/>
    <w:uiPriority w:val="0"/>
    <w:pPr>
      <w:spacing w:line="360" w:lineRule="atLeast"/>
    </w:pPr>
    <w:rPr>
      <w:rFonts w:ascii=".a....ì." w:hAnsi="Times New Roman" w:eastAsia=".a....ì." w:cs="Times New Roman"/>
      <w:color w:val="auto"/>
    </w:rPr>
  </w:style>
  <w:style w:type="paragraph" w:customStyle="1" w:styleId="359">
    <w:name w:val="样式 标题 2 + (西文) 方正书宋简体 (中文) 方正黑体简体 非加粗 黑色 行距: 固定值 15 磅"/>
    <w:basedOn w:val="3"/>
    <w:qFormat/>
    <w:uiPriority w:val="0"/>
    <w:pPr>
      <w:spacing w:before="0" w:after="0" w:line="300" w:lineRule="exact"/>
      <w:ind w:firstLine="200" w:firstLineChars="200"/>
      <w:jc w:val="left"/>
    </w:pPr>
    <w:rPr>
      <w:rFonts w:ascii="方正书宋简体" w:hAnsi="宋体" w:eastAsia="方正小标宋简体" w:cs="宋体"/>
      <w:b w:val="0"/>
      <w:bCs w:val="0"/>
      <w:color w:val="000000"/>
      <w:sz w:val="21"/>
      <w:szCs w:val="20"/>
    </w:rPr>
  </w:style>
  <w:style w:type="paragraph" w:customStyle="1" w:styleId="360">
    <w:name w:val="Char Char Char2"/>
    <w:basedOn w:val="16"/>
    <w:qFormat/>
    <w:uiPriority w:val="0"/>
    <w:pPr>
      <w:adjustRightInd w:val="0"/>
      <w:spacing w:line="360" w:lineRule="atLeast"/>
      <w:jc w:val="left"/>
      <w:textAlignment w:val="baseline"/>
    </w:pPr>
    <w:rPr>
      <w:rFonts w:ascii="Tahoma" w:hAnsi="Tahoma"/>
      <w:kern w:val="0"/>
      <w:sz w:val="24"/>
    </w:rPr>
  </w:style>
  <w:style w:type="paragraph" w:customStyle="1" w:styleId="361">
    <w:name w:val="样式 标题 3 + 仿宋_GB2312 小四 段前: 12 磅 段后: 3 磅 行距: 单倍行距"/>
    <w:basedOn w:val="1"/>
    <w:qFormat/>
    <w:uiPriority w:val="0"/>
    <w:pPr>
      <w:tabs>
        <w:tab w:val="left" w:pos="930"/>
      </w:tabs>
      <w:ind w:left="930" w:hanging="720"/>
    </w:pPr>
    <w:rPr>
      <w:rFonts w:ascii="Times New Roman" w:hAnsi="Times New Roman" w:cs="Times New Roman"/>
    </w:rPr>
  </w:style>
  <w:style w:type="paragraph" w:customStyle="1" w:styleId="362">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363">
    <w:name w:val="标题二"/>
    <w:basedOn w:val="48"/>
    <w:qFormat/>
    <w:uiPriority w:val="0"/>
    <w:pPr>
      <w:adjustRightInd/>
      <w:spacing w:before="0" w:after="0" w:line="440" w:lineRule="exact"/>
      <w:jc w:val="left"/>
    </w:pPr>
    <w:rPr>
      <w:rFonts w:ascii="宋体" w:hAnsi="宋体"/>
      <w:b w:val="0"/>
      <w:bCs/>
      <w:color w:val="000000"/>
      <w:sz w:val="21"/>
      <w:szCs w:val="21"/>
    </w:rPr>
  </w:style>
  <w:style w:type="paragraph" w:customStyle="1" w:styleId="364">
    <w:name w:val="CM37"/>
    <w:basedOn w:val="173"/>
    <w:next w:val="173"/>
    <w:qFormat/>
    <w:uiPriority w:val="0"/>
    <w:pPr>
      <w:spacing w:after="1245"/>
    </w:pPr>
    <w:rPr>
      <w:rFonts w:ascii=".a....ì." w:hAnsi="Times New Roman" w:eastAsia=".a....ì." w:cs="Times New Roman"/>
      <w:color w:val="auto"/>
    </w:rPr>
  </w:style>
  <w:style w:type="character" w:customStyle="1" w:styleId="365">
    <w:name w:val="正文文本缩进 Char2"/>
    <w:semiHidden/>
    <w:qFormat/>
    <w:uiPriority w:val="0"/>
    <w:rPr>
      <w:kern w:val="2"/>
      <w:sz w:val="21"/>
      <w:szCs w:val="24"/>
    </w:rPr>
  </w:style>
  <w:style w:type="character" w:customStyle="1" w:styleId="366">
    <w:name w:val="正文文本 Char2"/>
    <w:semiHidden/>
    <w:qFormat/>
    <w:uiPriority w:val="0"/>
    <w:rPr>
      <w:kern w:val="2"/>
      <w:sz w:val="21"/>
      <w:szCs w:val="24"/>
    </w:rPr>
  </w:style>
  <w:style w:type="character" w:customStyle="1" w:styleId="367">
    <w:name w:val="正文文本 Char1"/>
    <w:semiHidden/>
    <w:qFormat/>
    <w:uiPriority w:val="99"/>
    <w:rPr>
      <w:rFonts w:ascii="Times New Roman" w:hAnsi="Times New Roman" w:eastAsia="宋体" w:cs="Times New Roman"/>
      <w:szCs w:val="24"/>
    </w:rPr>
  </w:style>
  <w:style w:type="table" w:customStyle="1" w:styleId="368">
    <w:name w:val="网格型1"/>
    <w:basedOn w:val="50"/>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69">
    <w:name w:val="表样式"/>
    <w:basedOn w:val="50"/>
    <w:qFormat/>
    <w:uiPriority w:val="0"/>
    <w:pPr>
      <w:jc w:val="both"/>
    </w:pPr>
    <w:rPr>
      <w:sz w:val="18"/>
      <w:szCs w:val="18"/>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shd w:val="clear" w:color="auto" w:fill="auto"/>
      <w:vAlign w:val="center"/>
    </w:tcPr>
  </w:style>
  <w:style w:type="paragraph" w:customStyle="1" w:styleId="370">
    <w:name w:val="修订11"/>
    <w:qFormat/>
    <w:uiPriority w:val="99"/>
    <w:rPr>
      <w:rFonts w:ascii="Times New Roman" w:hAnsi="Times New Roman" w:eastAsia="宋体" w:cs="Times New Roman"/>
      <w:kern w:val="2"/>
      <w:sz w:val="21"/>
      <w:szCs w:val="24"/>
      <w:lang w:val="en-US" w:eastAsia="zh-CN" w:bidi="ar-SA"/>
    </w:rPr>
  </w:style>
  <w:style w:type="paragraph" w:customStyle="1" w:styleId="371">
    <w:name w:val="TOC 标题11"/>
    <w:basedOn w:val="2"/>
    <w:next w:val="1"/>
    <w:qFormat/>
    <w:uiPriority w:val="39"/>
    <w:pPr>
      <w:widowControl/>
      <w:spacing w:before="480" w:after="0" w:line="276" w:lineRule="auto"/>
      <w:jc w:val="left"/>
      <w:outlineLvl w:val="9"/>
    </w:pPr>
    <w:rPr>
      <w:rFonts w:ascii="Cambria" w:hAnsi="Cambria"/>
      <w:color w:val="365F91"/>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wmf"/><Relationship Id="rId14" Type="http://schemas.openxmlformats.org/officeDocument/2006/relationships/oleObject" Target="embeddings/oleObject1.bin"/><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E19BDB-6402-4AC4-8B62-C2574C3A1C33}">
  <ds:schemaRefs/>
</ds:datastoreItem>
</file>

<file path=docProps/app.xml><?xml version="1.0" encoding="utf-8"?>
<Properties xmlns="http://schemas.openxmlformats.org/officeDocument/2006/extended-properties" xmlns:vt="http://schemas.openxmlformats.org/officeDocument/2006/docPropsVTypes">
  <Template>Normal</Template>
  <Pages>1</Pages>
  <Words>31319</Words>
  <Characters>178524</Characters>
  <Lines>1487</Lines>
  <Paragraphs>418</Paragraphs>
  <TotalTime>14</TotalTime>
  <ScaleCrop>false</ScaleCrop>
  <LinksUpToDate>false</LinksUpToDate>
  <CharactersWithSpaces>209425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2020-07-08T09:54:00Z</dcterms:created>
  <dc:creator>LENOVO</dc:creator>
  <cp:lastModifiedBy>河马</cp:lastModifiedBy>
  <cp:lastPrinted>2021-01-29T09:45:00Z</cp:lastPrinted>
  <dcterms:modified xsi:type="dcterms:W3CDTF">2021-02-03T01:28:00Z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